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EEC" w:rsidRPr="00A05698" w:rsidRDefault="00DC40D7" w:rsidP="005C2BF3">
      <w:pPr>
        <w:pStyle w:val="annex1"/>
        <w:rPr>
          <w:sz w:val="24"/>
          <w:szCs w:val="24"/>
        </w:rPr>
      </w:pPr>
      <w:bookmarkStart w:id="0" w:name="_GoBack"/>
      <w:bookmarkEnd w:id="0"/>
      <w:r w:rsidRPr="00A05698">
        <w:rPr>
          <w:noProof/>
          <w:lang w:val="pt-PT" w:eastAsia="pt-PT"/>
        </w:rPr>
        <w:drawing>
          <wp:anchor distT="0" distB="0" distL="114300" distR="114300" simplePos="0" relativeHeight="251658246" behindDoc="1" locked="0" layoutInCell="1" allowOverlap="1" wp14:anchorId="7C29C212" wp14:editId="69071A15">
            <wp:simplePos x="0" y="0"/>
            <wp:positionH relativeFrom="page">
              <wp:align>right</wp:align>
            </wp:positionH>
            <wp:positionV relativeFrom="page">
              <wp:align>bottom</wp:align>
            </wp:positionV>
            <wp:extent cx="7195820" cy="10331532"/>
            <wp:effectExtent l="171450" t="190500" r="195580" b="1841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s titre-1.jpg"/>
                    <pic:cNvPicPr/>
                  </pic:nvPicPr>
                  <pic:blipFill>
                    <a:blip r:embed="rId12" cstate="email">
                      <a:alphaModFix amt="70000"/>
                      <a:extLst>
                        <a:ext uri="{28A0092B-C50C-407E-A947-70E740481C1C}">
                          <a14:useLocalDpi xmlns:a14="http://schemas.microsoft.com/office/drawing/2010/main"/>
                        </a:ext>
                      </a:extLst>
                    </a:blip>
                    <a:stretch>
                      <a:fillRect/>
                    </a:stretch>
                  </pic:blipFill>
                  <pic:spPr>
                    <a:xfrm>
                      <a:off x="0" y="0"/>
                      <a:ext cx="7195820" cy="103315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0F7F0D" w:rsidRPr="00A05698">
        <w:rPr>
          <w:noProof/>
          <w:sz w:val="44"/>
          <w:szCs w:val="44"/>
          <w:lang w:val="pt-PT" w:eastAsia="pt-PT"/>
        </w:rPr>
        <w:drawing>
          <wp:anchor distT="0" distB="0" distL="114300" distR="114300" simplePos="0" relativeHeight="251658250" behindDoc="1" locked="0" layoutInCell="1" allowOverlap="1" wp14:anchorId="5080870C" wp14:editId="6DC9B504">
            <wp:simplePos x="0" y="0"/>
            <wp:positionH relativeFrom="column">
              <wp:posOffset>2386965</wp:posOffset>
            </wp:positionH>
            <wp:positionV relativeFrom="page">
              <wp:posOffset>542925</wp:posOffset>
            </wp:positionV>
            <wp:extent cx="1008380" cy="906145"/>
            <wp:effectExtent l="0" t="0" r="1270" b="8255"/>
            <wp:wrapTight wrapText="bothSides">
              <wp:wrapPolygon edited="0">
                <wp:start x="6937" y="0"/>
                <wp:lineTo x="3264" y="1816"/>
                <wp:lineTo x="0" y="5449"/>
                <wp:lineTo x="0" y="20889"/>
                <wp:lineTo x="7345" y="21343"/>
                <wp:lineTo x="14282" y="21343"/>
                <wp:lineTo x="21219" y="20889"/>
                <wp:lineTo x="21219" y="5903"/>
                <wp:lineTo x="17955" y="1816"/>
                <wp:lineTo x="14690" y="0"/>
                <wp:lineTo x="6937" y="0"/>
              </wp:wrapPolygon>
            </wp:wrapTight>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Guinee-Bissau"/>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0838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DD9">
        <w:rPr>
          <w:noProof/>
        </w:rPr>
        <w:t xml:space="preserve"> </w:t>
      </w:r>
      <w:r w:rsidR="00857D80" w:rsidRPr="00A05698">
        <w:rPr>
          <w:noProof/>
        </w:rPr>
        <w:t xml:space="preserve"> </w:t>
      </w:r>
    </w:p>
    <w:p w:rsidR="00A45EEC" w:rsidRPr="00A05698" w:rsidRDefault="00A45EEC" w:rsidP="004F4212">
      <w:pPr>
        <w:pStyle w:val="Cabealho"/>
        <w:spacing w:after="0" w:line="240" w:lineRule="auto"/>
        <w:rPr>
          <w:rFonts w:ascii="Times New Roman" w:hAnsi="Times New Roman"/>
          <w:sz w:val="24"/>
          <w:szCs w:val="24"/>
        </w:rPr>
      </w:pPr>
    </w:p>
    <w:p w:rsidR="00A45EEC" w:rsidRPr="00A05698" w:rsidRDefault="00A45EEC" w:rsidP="004F4212"/>
    <w:p w:rsidR="00A45EEC" w:rsidRPr="00A05698" w:rsidRDefault="00A45EEC" w:rsidP="004F4212">
      <w:pPr>
        <w:pStyle w:val="Rodap"/>
      </w:pPr>
      <w:r w:rsidRPr="00A05698">
        <w:rPr>
          <w:noProof/>
          <w:lang w:val="pt-PT" w:eastAsia="pt-PT"/>
        </w:rPr>
        <mc:AlternateContent>
          <mc:Choice Requires="wps">
            <w:drawing>
              <wp:anchor distT="0" distB="0" distL="114300" distR="114300" simplePos="0" relativeHeight="251658251" behindDoc="0" locked="0" layoutInCell="1" allowOverlap="1" wp14:anchorId="7B0CD121" wp14:editId="35BFCF88">
                <wp:simplePos x="0" y="0"/>
                <wp:positionH relativeFrom="page">
                  <wp:posOffset>3179135</wp:posOffset>
                </wp:positionH>
                <wp:positionV relativeFrom="paragraph">
                  <wp:posOffset>-2395442</wp:posOffset>
                </wp:positionV>
                <wp:extent cx="4474417" cy="478466"/>
                <wp:effectExtent l="0" t="0" r="21590" b="17145"/>
                <wp:wrapNone/>
                <wp:docPr id="372" name="Zone de texte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417" cy="47846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851EB" w:rsidRPr="001434C5" w:rsidRDefault="005851EB" w:rsidP="00A45EEC">
                            <w:pPr>
                              <w:jc w:val="center"/>
                              <w:rPr>
                                <w:b/>
                                <w:color w:val="FF0000"/>
                                <w:sz w:val="44"/>
                                <w:szCs w:val="44"/>
                              </w:rPr>
                            </w:pPr>
                            <w:r>
                              <w:rPr>
                                <w:b/>
                                <w:color w:val="FF0000"/>
                                <w:sz w:val="44"/>
                                <w:szCs w:val="44"/>
                              </w:rPr>
                              <w:t>RAPPORT FINALE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B0CD121" id="_x0000_t202" coordsize="21600,21600" o:spt="202" path="m0,0l0,21600,21600,21600,21600,0xe">
                <v:stroke joinstyle="miter"/>
                <v:path gradientshapeok="t" o:connecttype="rect"/>
              </v:shapetype>
              <v:shape id="Zone de texte 372" o:spid="_x0000_s1026" type="#_x0000_t202" style="position:absolute;margin-left:250.35pt;margin-top:-188.55pt;width:352.3pt;height:37.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" fillcolor="white [3201]" strokecolor="#5b9bd5 [3204]" strokeweight="1pt">
                <v:textbox>
                  <w:txbxContent>
                    <w:p w14:paraId="016A055F" w14:textId="77777777" w:rsidR="005851EB" w:rsidRPr="001434C5" w:rsidRDefault="005851EB" w:rsidP="00A45EEC">
                      <w:pPr>
                        <w:jc w:val="center"/>
                        <w:rPr>
                          <w:b/>
                          <w:color w:val="FF0000"/>
                          <w:sz w:val="44"/>
                          <w:szCs w:val="44"/>
                        </w:rPr>
                      </w:pPr>
                      <w:r>
                        <w:rPr>
                          <w:b/>
                          <w:color w:val="FF0000"/>
                          <w:sz w:val="44"/>
                          <w:szCs w:val="44"/>
                        </w:rPr>
                        <w:t>RAPPORT FINALE</w:t>
                      </w:r>
                    </w:p>
                  </w:txbxContent>
                </v:textbox>
                <w10:wrap anchorx="page"/>
              </v:shape>
            </w:pict>
          </mc:Fallback>
        </mc:AlternateContent>
      </w:r>
    </w:p>
    <w:p w:rsidR="00A45EEC" w:rsidRPr="00A05698" w:rsidRDefault="00A45EEC" w:rsidP="004F4212">
      <w:pPr>
        <w:pStyle w:val="Rodap"/>
      </w:pPr>
    </w:p>
    <w:p w:rsidR="00A45EEC" w:rsidRPr="00A05698" w:rsidRDefault="00BC380A" w:rsidP="004F4212">
      <w:pPr>
        <w:pBdr>
          <w:bottom w:val="single" w:sz="6" w:space="1" w:color="auto"/>
        </w:pBdr>
        <w:rPr>
          <w:u w:val="single"/>
        </w:rPr>
      </w:pPr>
      <w:r w:rsidRPr="00A05698">
        <w:rPr>
          <w:noProof/>
          <w:lang w:val="pt-PT" w:eastAsia="pt-PT"/>
        </w:rPr>
        <mc:AlternateContent>
          <mc:Choice Requires="wps">
            <w:drawing>
              <wp:anchor distT="0" distB="0" distL="114300" distR="114300" simplePos="0" relativeHeight="251658254" behindDoc="0" locked="0" layoutInCell="1" allowOverlap="1" wp14:anchorId="1A8967A7" wp14:editId="245A43F1">
                <wp:simplePos x="0" y="0"/>
                <wp:positionH relativeFrom="column">
                  <wp:posOffset>792480</wp:posOffset>
                </wp:positionH>
                <wp:positionV relativeFrom="paragraph">
                  <wp:posOffset>156210</wp:posOffset>
                </wp:positionV>
                <wp:extent cx="4189730" cy="349885"/>
                <wp:effectExtent l="0" t="0" r="0" b="5715"/>
                <wp:wrapSquare wrapText="bothSides"/>
                <wp:docPr id="12" name="Zone de texte 12"/>
                <wp:cNvGraphicFramePr/>
                <a:graphic xmlns:a="http://schemas.openxmlformats.org/drawingml/2006/main">
                  <a:graphicData uri="http://schemas.microsoft.com/office/word/2010/wordprocessingShape">
                    <wps:wsp>
                      <wps:cNvSpPr txBox="1"/>
                      <wps:spPr>
                        <a:xfrm>
                          <a:off x="0" y="0"/>
                          <a:ext cx="4189730" cy="349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851EB" w:rsidRPr="00205D9D" w:rsidRDefault="005851EB">
                            <w:pPr>
                              <w:rPr>
                                <w:b/>
                              </w:rPr>
                            </w:pPr>
                            <w:r w:rsidRPr="004861E1">
                              <w:rPr>
                                <w:rFonts w:ascii="Monotype Corsiva" w:hAnsi="Monotype Corsiva"/>
                                <w:b/>
                                <w:sz w:val="44"/>
                                <w:szCs w:val="44"/>
                                <w:lang w:val="pt-BR"/>
                              </w:rPr>
                              <w:t>REPÚBLICA DA GUINÉ-BISSAU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A8967A7" id="Zone de texte 12" o:spid="_x0000_s1027" type="#_x0000_t202" style="position:absolute;margin-left:62.4pt;margin-top:12.3pt;width:329.9pt;height:27.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" filled="f" stroked="f">
                <v:textbox>
                  <w:txbxContent>
                    <w:p w14:paraId="11FCA939" w14:textId="77777777" w:rsidR="005851EB" w:rsidRPr="00205D9D" w:rsidRDefault="005851EB">
                      <w:pPr>
                        <w:rPr>
                          <w:b/>
                        </w:rPr>
                      </w:pPr>
                      <w:r w:rsidRPr="004861E1">
                        <w:rPr>
                          <w:rFonts w:ascii="Monotype Corsiva" w:hAnsi="Monotype Corsiva"/>
                          <w:b/>
                          <w:sz w:val="44"/>
                          <w:szCs w:val="44"/>
                          <w:lang w:val="pt-BR"/>
                        </w:rPr>
                        <w:t>REPÚBLICA DA GUINÉ-BISSAU</w:t>
                      </w:r>
                    </w:p>
                  </w:txbxContent>
                </v:textbox>
                <w10:wrap type="square"/>
              </v:shape>
            </w:pict>
          </mc:Fallback>
        </mc:AlternateContent>
      </w:r>
      <w:r w:rsidR="00C26B11" w:rsidRPr="00A05698">
        <w:t xml:space="preserve"> </w:t>
      </w:r>
    </w:p>
    <w:p w:rsidR="00A45EEC" w:rsidRPr="00A05698" w:rsidRDefault="00A45EEC" w:rsidP="004F4212"/>
    <w:p w:rsidR="00A45EEC" w:rsidRPr="00A05698" w:rsidRDefault="00A45EEC" w:rsidP="004F4212">
      <w:pPr>
        <w:tabs>
          <w:tab w:val="left" w:pos="3947"/>
        </w:tabs>
      </w:pPr>
    </w:p>
    <w:p w:rsidR="00A45EEC" w:rsidRPr="00A05698" w:rsidRDefault="00A45EEC" w:rsidP="004F4212"/>
    <w:p w:rsidR="00A45EEC" w:rsidRPr="00A05698" w:rsidRDefault="00350777" w:rsidP="004F4212">
      <w:r w:rsidRPr="00A05698">
        <w:rPr>
          <w:noProof/>
          <w:lang w:val="pt-PT" w:eastAsia="pt-PT"/>
        </w:rPr>
        <mc:AlternateContent>
          <mc:Choice Requires="wps">
            <w:drawing>
              <wp:anchor distT="0" distB="0" distL="114300" distR="114300" simplePos="0" relativeHeight="251658256" behindDoc="0" locked="0" layoutInCell="1" allowOverlap="1" wp14:anchorId="35ED38F6" wp14:editId="00D0F5DA">
                <wp:simplePos x="0" y="0"/>
                <wp:positionH relativeFrom="column">
                  <wp:posOffset>1479360</wp:posOffset>
                </wp:positionH>
                <wp:positionV relativeFrom="paragraph">
                  <wp:posOffset>60325</wp:posOffset>
                </wp:positionV>
                <wp:extent cx="2971800" cy="105410"/>
                <wp:effectExtent l="38100" t="19050" r="76200" b="27940"/>
                <wp:wrapThrough wrapText="bothSides">
                  <wp:wrapPolygon edited="0">
                    <wp:start x="-277" y="-3904"/>
                    <wp:lineTo x="-277" y="19518"/>
                    <wp:lineTo x="4569" y="23422"/>
                    <wp:lineTo x="17031" y="23422"/>
                    <wp:lineTo x="20077" y="23422"/>
                    <wp:lineTo x="22015" y="15614"/>
                    <wp:lineTo x="21877" y="-3904"/>
                    <wp:lineTo x="-277" y="-3904"/>
                  </wp:wrapPolygon>
                </wp:wrapThrough>
                <wp:docPr id="14" name="Ruban courbé vers le bas 14"/>
                <wp:cNvGraphicFramePr/>
                <a:graphic xmlns:a="http://schemas.openxmlformats.org/drawingml/2006/main">
                  <a:graphicData uri="http://schemas.microsoft.com/office/word/2010/wordprocessingShape">
                    <wps:wsp>
                      <wps:cNvSpPr/>
                      <wps:spPr>
                        <a:xfrm>
                          <a:off x="0" y="0"/>
                          <a:ext cx="2971800" cy="105410"/>
                        </a:xfrm>
                        <a:prstGeom prst="ellipseRibb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type w14:anchorId="2E66162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courbé vers le bas 14" o:spid="_x0000_s1026" type="#_x0000_t107" style="position:absolute;margin-left:116.5pt;margin-top:4.75pt;width:234pt;height:8.3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" fillcolor="white [3201]" strokecolor="black [3200]" strokeweight="1pt">
                <v:stroke joinstyle="miter"/>
                <w10:wrap type="through"/>
              </v:shape>
            </w:pict>
          </mc:Fallback>
        </mc:AlternateContent>
      </w:r>
    </w:p>
    <w:p w:rsidR="00A45EEC" w:rsidRPr="00A05698" w:rsidRDefault="00350777" w:rsidP="004F4212">
      <w:pPr>
        <w:tabs>
          <w:tab w:val="left" w:pos="1884"/>
        </w:tabs>
      </w:pPr>
      <w:r w:rsidRPr="00A05698">
        <w:rPr>
          <w:noProof/>
          <w:lang w:val="pt-PT" w:eastAsia="pt-PT"/>
        </w:rPr>
        <mc:AlternateContent>
          <mc:Choice Requires="wps">
            <w:drawing>
              <wp:anchor distT="0" distB="0" distL="114300" distR="114300" simplePos="0" relativeHeight="251658255" behindDoc="0" locked="0" layoutInCell="1" allowOverlap="1" wp14:anchorId="186AEECF" wp14:editId="0535F6D6">
                <wp:simplePos x="0" y="0"/>
                <wp:positionH relativeFrom="column">
                  <wp:posOffset>-316230</wp:posOffset>
                </wp:positionH>
                <wp:positionV relativeFrom="paragraph">
                  <wp:posOffset>260985</wp:posOffset>
                </wp:positionV>
                <wp:extent cx="6552565" cy="792480"/>
                <wp:effectExtent l="0" t="50800" r="26035" b="20320"/>
                <wp:wrapThrough wrapText="bothSides">
                  <wp:wrapPolygon edited="0">
                    <wp:start x="21100" y="-1385"/>
                    <wp:lineTo x="0" y="0"/>
                    <wp:lineTo x="0" y="21462"/>
                    <wp:lineTo x="502" y="21462"/>
                    <wp:lineTo x="21602" y="18692"/>
                    <wp:lineTo x="21602" y="-1385"/>
                    <wp:lineTo x="21100" y="-1385"/>
                  </wp:wrapPolygon>
                </wp:wrapThrough>
                <wp:docPr id="13" name="Parchemin horizontal 13"/>
                <wp:cNvGraphicFramePr/>
                <a:graphic xmlns:a="http://schemas.openxmlformats.org/drawingml/2006/main">
                  <a:graphicData uri="http://schemas.microsoft.com/office/word/2010/wordprocessingShape">
                    <wps:wsp>
                      <wps:cNvSpPr/>
                      <wps:spPr>
                        <a:xfrm>
                          <a:off x="0" y="0"/>
                          <a:ext cx="6552565" cy="79248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5851EB" w:rsidRPr="00597314" w:rsidRDefault="005851EB" w:rsidP="00CE1E5C">
                            <w:pPr>
                              <w:jc w:val="center"/>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314">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MINISTERE DE L'AGRICULTURE ET DU DEVELOPPEMENT RURAL</w:t>
                            </w:r>
                          </w:p>
                          <w:p w:rsidR="005851EB" w:rsidRPr="00597314" w:rsidRDefault="005851EB" w:rsidP="00CE1E5C">
                            <w:pPr>
                              <w:jc w:val="center"/>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314">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DEVELOPPEMENT</w:t>
                            </w:r>
                          </w:p>
                          <w:p w:rsidR="005851EB" w:rsidRPr="00597314" w:rsidRDefault="005851EB" w:rsidP="00CE1E5C">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186AEEC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3" o:spid="_x0000_s1028" type="#_x0000_t98" style="position:absolute;margin-left:-24.9pt;margin-top:20.55pt;width:515.95pt;height:62.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" fillcolor="white [3201]" strokecolor="black [3200]" strokeweight="1pt">
                <v:stroke joinstyle="miter"/>
                <v:textbox>
                  <w:txbxContent>
                    <w:p w14:paraId="5855F18C" w14:textId="77777777" w:rsidR="005851EB" w:rsidRPr="00597314" w:rsidRDefault="005851EB" w:rsidP="00CE1E5C">
                      <w:pPr>
                        <w:jc w:val="center"/>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314">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MINISTERE DE L'AGRICULTURE ET DU DEVELOPPEMENT RURAL</w:t>
                      </w:r>
                    </w:p>
                    <w:p w14:paraId="742067EA" w14:textId="77777777" w:rsidR="005851EB" w:rsidRPr="00597314" w:rsidRDefault="005851EB" w:rsidP="00CE1E5C">
                      <w:pPr>
                        <w:jc w:val="center"/>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314">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DEVELOPPEMENT</w:t>
                      </w:r>
                    </w:p>
                    <w:p w14:paraId="1A3F76F8" w14:textId="77777777" w:rsidR="005851EB" w:rsidRPr="00597314" w:rsidRDefault="005851EB" w:rsidP="00CE1E5C">
                      <w:pPr>
                        <w:jc w:val="center"/>
                        <w:rPr>
                          <w:sz w:val="28"/>
                          <w:szCs w:val="28"/>
                        </w:rPr>
                      </w:pPr>
                    </w:p>
                  </w:txbxContent>
                </v:textbox>
                <w10:wrap type="through"/>
              </v:shape>
            </w:pict>
          </mc:Fallback>
        </mc:AlternateContent>
      </w:r>
      <w:r w:rsidR="008B5DDA" w:rsidRPr="00A05698">
        <w:tab/>
      </w:r>
      <w:r w:rsidR="008B5DDA" w:rsidRPr="00A05698">
        <w:tab/>
      </w:r>
    </w:p>
    <w:p w:rsidR="00A45EEC" w:rsidRPr="00A05698" w:rsidRDefault="00A45EEC" w:rsidP="004F4212"/>
    <w:p w:rsidR="00A45EEC" w:rsidRPr="00A05698" w:rsidRDefault="00350777" w:rsidP="004F4212">
      <w:r>
        <w:rPr>
          <w:noProof/>
          <w:lang w:val="pt-PT" w:eastAsia="pt-PT"/>
        </w:rPr>
        <mc:AlternateContent>
          <mc:Choice Requires="wps">
            <w:drawing>
              <wp:anchor distT="0" distB="0" distL="114300" distR="114300" simplePos="0" relativeHeight="251661397" behindDoc="0" locked="0" layoutInCell="1" allowOverlap="1" wp14:anchorId="718B95CA" wp14:editId="7589C91E">
                <wp:simplePos x="0" y="0"/>
                <wp:positionH relativeFrom="column">
                  <wp:posOffset>1973959</wp:posOffset>
                </wp:positionH>
                <wp:positionV relativeFrom="paragraph">
                  <wp:posOffset>96520</wp:posOffset>
                </wp:positionV>
                <wp:extent cx="2125683" cy="95003"/>
                <wp:effectExtent l="0" t="38100" r="27305" b="19685"/>
                <wp:wrapNone/>
                <wp:docPr id="52" name="Parchemin horizontal 52"/>
                <wp:cNvGraphicFramePr/>
                <a:graphic xmlns:a="http://schemas.openxmlformats.org/drawingml/2006/main">
                  <a:graphicData uri="http://schemas.microsoft.com/office/word/2010/wordprocessingShape">
                    <wps:wsp>
                      <wps:cNvSpPr/>
                      <wps:spPr>
                        <a:xfrm>
                          <a:off x="0" y="0"/>
                          <a:ext cx="2125683" cy="95003"/>
                        </a:xfrm>
                        <a:prstGeom prst="horizont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64434F87" id="Parchemin horizontal 52" o:spid="_x0000_s1026" type="#_x0000_t98" style="position:absolute;margin-left:155.45pt;margin-top:7.6pt;width:167.4pt;height:7.5pt;z-index:2516613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" fillcolor="white [3201]" strokecolor="#70ad47 [3209]" strokeweight="1pt">
                <v:stroke joinstyle="miter"/>
              </v:shape>
            </w:pict>
          </mc:Fallback>
        </mc:AlternateContent>
      </w:r>
    </w:p>
    <w:p w:rsidR="00A45EEC" w:rsidRPr="00A05698" w:rsidRDefault="00A45EEC" w:rsidP="004F4212"/>
    <w:p w:rsidR="00A45EEC" w:rsidRPr="00A05698" w:rsidRDefault="00DC40D7" w:rsidP="004F4212">
      <w:r w:rsidRPr="00A05698">
        <w:rPr>
          <w:noProof/>
          <w:lang w:val="pt-PT" w:eastAsia="pt-PT"/>
        </w:rPr>
        <mc:AlternateContent>
          <mc:Choice Requires="wps">
            <w:drawing>
              <wp:anchor distT="0" distB="0" distL="114300" distR="114300" simplePos="0" relativeHeight="251658259" behindDoc="0" locked="0" layoutInCell="1" allowOverlap="1" wp14:anchorId="3768B723" wp14:editId="63F95659">
                <wp:simplePos x="0" y="0"/>
                <wp:positionH relativeFrom="margin">
                  <wp:posOffset>-225301</wp:posOffset>
                </wp:positionH>
                <wp:positionV relativeFrom="paragraph">
                  <wp:posOffset>176010</wp:posOffset>
                </wp:positionV>
                <wp:extent cx="6457950" cy="352425"/>
                <wp:effectExtent l="0" t="0" r="19050" b="28575"/>
                <wp:wrapNone/>
                <wp:docPr id="220" name="Organigramme : Alternativ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0" cy="352425"/>
                        </a:xfrm>
                        <a:prstGeom prst="flowChartAlternateProcess">
                          <a:avLst/>
                        </a:prstGeom>
                        <a:gradFill flip="none" rotWithShape="1">
                          <a:gsLst>
                            <a:gs pos="0">
                              <a:srgbClr val="9BBB59">
                                <a:lumMod val="60000"/>
                                <a:lumOff val="40000"/>
                                <a:tint val="66000"/>
                                <a:satMod val="160000"/>
                              </a:srgbClr>
                            </a:gs>
                            <a:gs pos="50000">
                              <a:srgbClr val="9BBB59">
                                <a:lumMod val="60000"/>
                                <a:lumOff val="40000"/>
                                <a:tint val="44500"/>
                                <a:satMod val="160000"/>
                              </a:srgbClr>
                            </a:gs>
                            <a:gs pos="100000">
                              <a:srgbClr val="9BBB59">
                                <a:lumMod val="60000"/>
                                <a:lumOff val="40000"/>
                                <a:tint val="23500"/>
                                <a:satMod val="160000"/>
                              </a:srgbClr>
                            </a:gs>
                          </a:gsLst>
                          <a:lin ang="5400000" scaled="1"/>
                          <a:tileRect/>
                        </a:gradFill>
                        <a:ln w="12700" cap="flat" cmpd="sng" algn="ctr">
                          <a:solidFill>
                            <a:schemeClr val="accent6">
                              <a:lumMod val="50000"/>
                            </a:schemeClr>
                          </a:solidFill>
                          <a:prstDash val="solid"/>
                        </a:ln>
                        <a:effectLst/>
                      </wps:spPr>
                      <wps:txbx>
                        <w:txbxContent>
                          <w:p w:rsidR="005851EB" w:rsidRPr="00E053BC" w:rsidRDefault="005851EB" w:rsidP="00055951">
                            <w:pPr>
                              <w:pStyle w:val="NormalWeb1"/>
                              <w:spacing w:before="0" w:beforeAutospacing="0" w:after="0" w:afterAutospacing="0"/>
                              <w:jc w:val="center"/>
                              <w:rPr>
                                <w:sz w:val="32"/>
                                <w:szCs w:val="32"/>
                                <w:lang w:val="fr-CA"/>
                              </w:rPr>
                            </w:pPr>
                            <w:r>
                              <w:rPr>
                                <w:b/>
                                <w:bCs/>
                                <w:sz w:val="32"/>
                                <w:szCs w:val="32"/>
                                <w:lang w:val="fr-CA"/>
                              </w:rPr>
                              <w:t>CADRE DE GESTION ENVIRONNEMENTAL ET SOCIAL (CGES</w:t>
                            </w:r>
                            <w:r w:rsidRPr="00E053BC">
                              <w:rPr>
                                <w:b/>
                                <w:bCs/>
                                <w:sz w:val="32"/>
                                <w:szCs w:val="32"/>
                                <w:lang w:val="fr-CA"/>
                              </w:rPr>
                              <w:t xml:space="preserve">) </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3768B723"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69" o:spid="_x0000_s1029" type="#_x0000_t176" style="position:absolute;margin-left:-17.75pt;margin-top:13.85pt;width:508.5pt;height:27.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" fillcolor="#ddefbb" strokecolor="#375623 [1609]" strokeweight="1pt">
                <v:fill color2="#f3f9ea" rotate="t" colors="0 #ddefbb;.5 #e9f4d4;1 #f3f9ea" focus="100%" type="gradient"/>
                <v:path arrowok="t"/>
                <v:textbox>
                  <w:txbxContent>
                    <w:p w14:paraId="636CDCCB" w14:textId="77777777" w:rsidR="005851EB" w:rsidRPr="00E053BC" w:rsidRDefault="005851EB" w:rsidP="00055951">
                      <w:pPr>
                        <w:pStyle w:val="NormalWeb1"/>
                        <w:spacing w:before="0" w:beforeAutospacing="0" w:after="0" w:afterAutospacing="0"/>
                        <w:jc w:val="center"/>
                        <w:rPr>
                          <w:sz w:val="32"/>
                          <w:szCs w:val="32"/>
                          <w:lang w:val="fr-CA"/>
                        </w:rPr>
                      </w:pPr>
                      <w:r>
                        <w:rPr>
                          <w:b/>
                          <w:bCs/>
                          <w:sz w:val="32"/>
                          <w:szCs w:val="32"/>
                          <w:lang w:val="fr-CA"/>
                        </w:rPr>
                        <w:t>CADRE DE GESTION ENVIRONNEMENTAL ET SOCIAL (CGES</w:t>
                      </w:r>
                      <w:r w:rsidRPr="00E053BC">
                        <w:rPr>
                          <w:b/>
                          <w:bCs/>
                          <w:sz w:val="32"/>
                          <w:szCs w:val="32"/>
                          <w:lang w:val="fr-CA"/>
                        </w:rPr>
                        <w:t xml:space="preserve">) </w:t>
                      </w:r>
                    </w:p>
                  </w:txbxContent>
                </v:textbox>
                <w10:wrap anchorx="margin"/>
              </v:shape>
            </w:pict>
          </mc:Fallback>
        </mc:AlternateContent>
      </w:r>
    </w:p>
    <w:p w:rsidR="00A45EEC" w:rsidRPr="00A05698" w:rsidRDefault="00A45EEC" w:rsidP="004F4212"/>
    <w:p w:rsidR="002E3B6C" w:rsidRPr="00A05698" w:rsidRDefault="002E3B6C" w:rsidP="004F4212">
      <w:pPr>
        <w:pStyle w:val="Ttulo"/>
        <w:rPr>
          <w:lang w:val="fr-FR"/>
        </w:rPr>
      </w:pPr>
    </w:p>
    <w:p w:rsidR="002E3B6C" w:rsidRPr="00A05698" w:rsidRDefault="002E3B6C" w:rsidP="00DC40D7">
      <w:pPr>
        <w:pStyle w:val="Ttulo"/>
        <w:rPr>
          <w:lang w:val="fr-FR"/>
        </w:rPr>
      </w:pPr>
      <w:r w:rsidRPr="00A05698">
        <w:rPr>
          <w:noProof/>
          <w:lang w:val="pt-PT" w:eastAsia="pt-PT"/>
        </w:rPr>
        <mc:AlternateContent>
          <mc:Choice Requires="wps">
            <w:drawing>
              <wp:anchor distT="0" distB="0" distL="114300" distR="114300" simplePos="0" relativeHeight="251658258" behindDoc="0" locked="0" layoutInCell="1" allowOverlap="1" wp14:anchorId="7863EE18" wp14:editId="0CEB8EDB">
                <wp:simplePos x="0" y="0"/>
                <wp:positionH relativeFrom="column">
                  <wp:posOffset>-441770</wp:posOffset>
                </wp:positionH>
                <wp:positionV relativeFrom="paragraph">
                  <wp:posOffset>439172</wp:posOffset>
                </wp:positionV>
                <wp:extent cx="6856730" cy="1713865"/>
                <wp:effectExtent l="0" t="0" r="26670" b="13335"/>
                <wp:wrapThrough wrapText="bothSides">
                  <wp:wrapPolygon edited="0">
                    <wp:start x="640" y="0"/>
                    <wp:lineTo x="560" y="640"/>
                    <wp:lineTo x="480" y="15366"/>
                    <wp:lineTo x="0" y="18887"/>
                    <wp:lineTo x="0" y="21448"/>
                    <wp:lineTo x="20964" y="21448"/>
                    <wp:lineTo x="21044" y="21448"/>
                    <wp:lineTo x="21124" y="5122"/>
                    <wp:lineTo x="21604" y="2561"/>
                    <wp:lineTo x="21604" y="0"/>
                    <wp:lineTo x="640" y="0"/>
                  </wp:wrapPolygon>
                </wp:wrapThrough>
                <wp:docPr id="16" name="Parchemin vertical 16"/>
                <wp:cNvGraphicFramePr/>
                <a:graphic xmlns:a="http://schemas.openxmlformats.org/drawingml/2006/main">
                  <a:graphicData uri="http://schemas.microsoft.com/office/word/2010/wordprocessingShape">
                    <wps:wsp>
                      <wps:cNvSpPr/>
                      <wps:spPr>
                        <a:xfrm>
                          <a:off x="0" y="0"/>
                          <a:ext cx="6856730" cy="1713865"/>
                        </a:xfrm>
                        <a:prstGeom prst="verticalScroll">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5851EB" w:rsidRPr="000A0C7D" w:rsidRDefault="005851EB" w:rsidP="0058581D">
                            <w:pPr>
                              <w:pStyle w:val="Cabealho"/>
                              <w:spacing w:after="0" w:line="240" w:lineRule="auto"/>
                              <w:jc w:val="center"/>
                              <w:rPr>
                                <w:rFonts w:ascii="Times New Roman" w:hAnsi="Times New Roman"/>
                                <w:b/>
                                <w:bCs/>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0A0C7D">
                              <w:rPr>
                                <w:rFonts w:ascii="Times New Roman" w:hAnsi="Times New Roman"/>
                                <w:b/>
                                <w:bCs/>
                                <w:iCs/>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PROJET DE SECURITE ALIMENTAIRE D'URGENCE EN GUINEE BISSAU (PUSA)</w:t>
                            </w:r>
                            <w:r w:rsidRPr="000A0C7D">
                              <w:rPr>
                                <w:rFonts w:ascii="Times New Roman" w:hAnsi="Times New Roman"/>
                                <w:b/>
                                <w:noProof/>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863EE18"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16" o:spid="_x0000_s1030" type="#_x0000_t97" style="position:absolute;left:0;text-align:left;margin-left:-34.8pt;margin-top:34.6pt;width:539.9pt;height:134.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" fillcolor="white [3201]" strokecolor="black [3213]" strokeweight="1pt">
                <v:stroke joinstyle="miter"/>
                <v:textbox>
                  <w:txbxContent>
                    <w:p w14:paraId="7E33DD27" w14:textId="77777777" w:rsidR="005851EB" w:rsidRPr="000A0C7D" w:rsidRDefault="005851EB" w:rsidP="0058581D">
                      <w:pPr>
                        <w:pStyle w:val="En-tte"/>
                        <w:spacing w:after="0" w:line="240" w:lineRule="auto"/>
                        <w:jc w:val="center"/>
                        <w:rPr>
                          <w:rFonts w:ascii="Times New Roman" w:hAnsi="Times New Roman"/>
                          <w:b/>
                          <w:bCs/>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0A0C7D">
                        <w:rPr>
                          <w:rFonts w:ascii="Times New Roman" w:hAnsi="Times New Roman"/>
                          <w:b/>
                          <w:bCs/>
                          <w:iCs/>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PROJET DE SECURITE ALIMENTAIRE D'URGENCE EN GUINEE BISSAU (PUSA)</w:t>
                      </w:r>
                      <w:r w:rsidRPr="000A0C7D">
                        <w:rPr>
                          <w:rFonts w:ascii="Times New Roman" w:hAnsi="Times New Roman"/>
                          <w:b/>
                          <w:noProof/>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w:t>
                      </w:r>
                    </w:p>
                  </w:txbxContent>
                </v:textbox>
                <w10:wrap type="through"/>
              </v:shape>
            </w:pict>
          </mc:Fallback>
        </mc:AlternateContent>
      </w:r>
      <w:r w:rsidR="00DC40D7">
        <w:rPr>
          <w:lang w:val="fr-FR"/>
        </w:rPr>
        <w:t>*******************</w:t>
      </w:r>
    </w:p>
    <w:p w:rsidR="002E3B6C" w:rsidRPr="00A05698" w:rsidRDefault="002E3B6C" w:rsidP="004F4212">
      <w:pPr>
        <w:pStyle w:val="Ttulo"/>
        <w:rPr>
          <w:lang w:val="fr-FR"/>
        </w:rPr>
      </w:pPr>
    </w:p>
    <w:p w:rsidR="00A45EEC" w:rsidRPr="00A05698" w:rsidRDefault="00DC40D7" w:rsidP="004F4212">
      <w:r w:rsidRPr="00A05698">
        <w:rPr>
          <w:noProof/>
          <w:lang w:val="pt-PT" w:eastAsia="pt-PT"/>
        </w:rPr>
        <mc:AlternateContent>
          <mc:Choice Requires="wps">
            <w:drawing>
              <wp:anchor distT="0" distB="0" distL="114300" distR="114300" simplePos="0" relativeHeight="251658248" behindDoc="0" locked="0" layoutInCell="1" allowOverlap="1" wp14:anchorId="42F987D4" wp14:editId="45607A11">
                <wp:simplePos x="0" y="0"/>
                <wp:positionH relativeFrom="column">
                  <wp:posOffset>-344359</wp:posOffset>
                </wp:positionH>
                <wp:positionV relativeFrom="paragraph">
                  <wp:posOffset>161306</wp:posOffset>
                </wp:positionV>
                <wp:extent cx="3567430" cy="574040"/>
                <wp:effectExtent l="0" t="0" r="13970" b="35560"/>
                <wp:wrapThrough wrapText="bothSides">
                  <wp:wrapPolygon edited="0">
                    <wp:start x="1845" y="0"/>
                    <wp:lineTo x="0" y="2867"/>
                    <wp:lineTo x="0" y="17204"/>
                    <wp:lineTo x="1384" y="21982"/>
                    <wp:lineTo x="1845" y="21982"/>
                    <wp:lineTo x="19685" y="21982"/>
                    <wp:lineTo x="20147" y="21982"/>
                    <wp:lineTo x="21531" y="17204"/>
                    <wp:lineTo x="21531" y="2867"/>
                    <wp:lineTo x="19685" y="0"/>
                    <wp:lineTo x="1845" y="0"/>
                  </wp:wrapPolygon>
                </wp:wrapThrough>
                <wp:docPr id="221" name="Terminaison 221"/>
                <wp:cNvGraphicFramePr/>
                <a:graphic xmlns:a="http://schemas.openxmlformats.org/drawingml/2006/main">
                  <a:graphicData uri="http://schemas.microsoft.com/office/word/2010/wordprocessingShape">
                    <wps:wsp>
                      <wps:cNvSpPr/>
                      <wps:spPr>
                        <a:xfrm>
                          <a:off x="0" y="0"/>
                          <a:ext cx="3567430" cy="574040"/>
                        </a:xfrm>
                        <a:prstGeom prst="flowChartTerminator">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5851EB" w:rsidRPr="00BC380A" w:rsidRDefault="005851EB" w:rsidP="002C7AD8">
                            <w:pPr>
                              <w:jc w:val="center"/>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C380A">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Rapport </w:t>
                            </w:r>
                            <w:r>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Final </w:t>
                            </w:r>
                          </w:p>
                          <w:p w:rsidR="005851EB" w:rsidRDefault="005851EB" w:rsidP="002C7A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2F987D4" id="_x0000_t116" coordsize="21600,21600" o:spt="116" path="m3475,0qx0,10800,3475,21600l18125,21600qx21600,10800,18125,0xe">
                <v:stroke joinstyle="miter"/>
                <v:path gradientshapeok="t" o:connecttype="rect" textboxrect="1018,3163,20582,18437"/>
              </v:shapetype>
              <v:shape id="Terminaison 221" o:spid="_x0000_s1031" type="#_x0000_t116" style="position:absolute;margin-left:-27.1pt;margin-top:12.7pt;width:280.9pt;height:45.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" fillcolor="white [3201]" strokecolor="red" strokeweight="1pt">
                <v:textbox>
                  <w:txbxContent>
                    <w:p w14:paraId="01B9C1B1" w14:textId="35D9846D" w:rsidR="005851EB" w:rsidRPr="00BC380A" w:rsidRDefault="005851EB" w:rsidP="002C7AD8">
                      <w:pPr>
                        <w:jc w:val="center"/>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C380A">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Rapport </w:t>
                      </w:r>
                      <w:r>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Final </w:t>
                      </w:r>
                    </w:p>
                    <w:p w14:paraId="4E485F3E" w14:textId="77777777" w:rsidR="005851EB" w:rsidRDefault="005851EB" w:rsidP="002C7AD8">
                      <w:pPr>
                        <w:jc w:val="center"/>
                      </w:pPr>
                    </w:p>
                  </w:txbxContent>
                </v:textbox>
                <w10:wrap type="through"/>
              </v:shape>
            </w:pict>
          </mc:Fallback>
        </mc:AlternateContent>
      </w:r>
    </w:p>
    <w:p w:rsidR="00A45EEC" w:rsidRPr="00A05698" w:rsidRDefault="00A45EEC" w:rsidP="004F4212"/>
    <w:p w:rsidR="00A45EEC" w:rsidRPr="00A05698" w:rsidRDefault="00A45EEC" w:rsidP="004F4212"/>
    <w:p w:rsidR="00A45EEC" w:rsidRPr="00A05698" w:rsidRDefault="00095C19" w:rsidP="004F4212">
      <w:r w:rsidRPr="00A05698">
        <w:rPr>
          <w:noProof/>
          <w:lang w:val="pt-PT" w:eastAsia="pt-PT"/>
        </w:rPr>
        <mc:AlternateContent>
          <mc:Choice Requires="wps">
            <w:drawing>
              <wp:anchor distT="0" distB="0" distL="114300" distR="114300" simplePos="0" relativeHeight="251658244" behindDoc="0" locked="0" layoutInCell="1" allowOverlap="1" wp14:anchorId="2CFA61E4" wp14:editId="53580E22">
                <wp:simplePos x="0" y="0"/>
                <wp:positionH relativeFrom="column">
                  <wp:posOffset>3377988</wp:posOffset>
                </wp:positionH>
                <wp:positionV relativeFrom="paragraph">
                  <wp:posOffset>59055</wp:posOffset>
                </wp:positionV>
                <wp:extent cx="2893060" cy="479425"/>
                <wp:effectExtent l="0" t="0" r="2540" b="0"/>
                <wp:wrapNone/>
                <wp:docPr id="370" name="Rectangle à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479425"/>
                        </a:xfrm>
                        <a:prstGeom prst="roundRect">
                          <a:avLst>
                            <a:gd name="adj" fmla="val 10759"/>
                          </a:avLst>
                        </a:prstGeom>
                        <a:ln>
                          <a:headEnd/>
                          <a:tailEnd/>
                        </a:ln>
                      </wps:spPr>
                      <wps:style>
                        <a:lnRef idx="2">
                          <a:schemeClr val="accent1"/>
                        </a:lnRef>
                        <a:fillRef idx="1">
                          <a:schemeClr val="lt1"/>
                        </a:fillRef>
                        <a:effectRef idx="0">
                          <a:schemeClr val="accent1"/>
                        </a:effectRef>
                        <a:fontRef idx="minor">
                          <a:schemeClr val="dk1"/>
                        </a:fontRef>
                      </wps:style>
                      <wps:txbx>
                        <w:txbxContent>
                          <w:p w:rsidR="005851EB" w:rsidRPr="00C70416" w:rsidRDefault="005851EB" w:rsidP="00A45EEC">
                            <w:pPr>
                              <w:jc w:val="center"/>
                            </w:pPr>
                            <w:r w:rsidRPr="00C70416">
                              <w:rPr>
                                <w:b/>
                                <w:bCs/>
                                <w:color w:val="002060"/>
                                <w:kern w:val="24"/>
                              </w:rPr>
                              <w:t>Dr BEROUBA GUISSE</w:t>
                            </w:r>
                          </w:p>
                          <w:p w:rsidR="005851EB" w:rsidRPr="00C70416" w:rsidRDefault="005851EB" w:rsidP="00A45EEC">
                            <w:pPr>
                              <w:jc w:val="center"/>
                            </w:pPr>
                            <w:r w:rsidRPr="00C70416">
                              <w:rPr>
                                <w:b/>
                                <w:bCs/>
                                <w:color w:val="002060"/>
                                <w:kern w:val="24"/>
                              </w:rPr>
                              <w:t>Expert consultant agréé</w:t>
                            </w:r>
                          </w:p>
                          <w:p w:rsidR="005851EB" w:rsidRDefault="005851EB" w:rsidP="00A45EEC">
                            <w:pPr>
                              <w:jc w:val="center"/>
                            </w:pPr>
                            <w:r>
                              <w:rPr>
                                <w:b/>
                                <w:bCs/>
                                <w:color w:val="943634"/>
                                <w:kern w:val="24"/>
                              </w:rPr>
                              <w:t> </w:t>
                            </w:r>
                          </w:p>
                          <w:p w:rsidR="005851EB" w:rsidRDefault="005851EB" w:rsidP="00A45EEC">
                            <w:pPr>
                              <w:jc w:val="center"/>
                            </w:pPr>
                            <w:r>
                              <w:rPr>
                                <w:b/>
                                <w:bCs/>
                                <w:color w:val="943634"/>
                                <w:kern w:val="24"/>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w14:anchorId="2CFA61E4" id="Rectangle à coins arrondis 14" o:spid="_x0000_s1032" style="position:absolute;margin-left:266pt;margin-top:4.65pt;width:227.8pt;height:3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5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" fillcolor="white [3201]" strokecolor="#5b9bd5 [3204]" strokeweight="1pt">
                <v:stroke joinstyle="miter"/>
                <v:textbox>
                  <w:txbxContent>
                    <w:p w14:paraId="033F6EC6" w14:textId="77777777" w:rsidR="005851EB" w:rsidRPr="00C70416" w:rsidRDefault="005851EB" w:rsidP="00A45EEC">
                      <w:pPr>
                        <w:jc w:val="center"/>
                      </w:pPr>
                      <w:r w:rsidRPr="00C70416">
                        <w:rPr>
                          <w:b/>
                          <w:bCs/>
                          <w:color w:val="002060"/>
                          <w:kern w:val="24"/>
                        </w:rPr>
                        <w:t>Dr BEROUBA GUISSE</w:t>
                      </w:r>
                    </w:p>
                    <w:p w14:paraId="338944B3" w14:textId="77777777" w:rsidR="005851EB" w:rsidRPr="00C70416" w:rsidRDefault="005851EB" w:rsidP="00A45EEC">
                      <w:pPr>
                        <w:jc w:val="center"/>
                      </w:pPr>
                      <w:r w:rsidRPr="00C70416">
                        <w:rPr>
                          <w:b/>
                          <w:bCs/>
                          <w:color w:val="002060"/>
                          <w:kern w:val="24"/>
                        </w:rPr>
                        <w:t>Expert consultant agréé</w:t>
                      </w:r>
                    </w:p>
                    <w:p w14:paraId="341D454C" w14:textId="77777777" w:rsidR="005851EB" w:rsidRDefault="005851EB" w:rsidP="00A45EEC">
                      <w:pPr>
                        <w:jc w:val="center"/>
                      </w:pPr>
                      <w:r>
                        <w:rPr>
                          <w:b/>
                          <w:bCs/>
                          <w:color w:val="943634"/>
                          <w:kern w:val="24"/>
                        </w:rPr>
                        <w:t> </w:t>
                      </w:r>
                    </w:p>
                    <w:p w14:paraId="61F83CEA" w14:textId="77777777" w:rsidR="005851EB" w:rsidRDefault="005851EB" w:rsidP="00A45EEC">
                      <w:pPr>
                        <w:jc w:val="center"/>
                      </w:pPr>
                      <w:r>
                        <w:rPr>
                          <w:b/>
                          <w:bCs/>
                          <w:color w:val="943634"/>
                          <w:kern w:val="24"/>
                        </w:rPr>
                        <w:t> </w:t>
                      </w:r>
                    </w:p>
                  </w:txbxContent>
                </v:textbox>
              </v:roundrect>
            </w:pict>
          </mc:Fallback>
        </mc:AlternateContent>
      </w:r>
    </w:p>
    <w:p w:rsidR="00A45EEC" w:rsidRPr="00A05698" w:rsidRDefault="00A45EEC" w:rsidP="004F4212"/>
    <w:p w:rsidR="00A45EEC" w:rsidRPr="00A05698" w:rsidRDefault="00A45EEC" w:rsidP="004F4212"/>
    <w:p w:rsidR="00A45EEC" w:rsidRPr="00A05698" w:rsidRDefault="00DC40D7" w:rsidP="004F4212">
      <w:r w:rsidRPr="00A05698">
        <w:rPr>
          <w:noProof/>
          <w:lang w:val="pt-PT" w:eastAsia="pt-PT"/>
        </w:rPr>
        <w:drawing>
          <wp:anchor distT="0" distB="0" distL="114300" distR="114300" simplePos="0" relativeHeight="251658249" behindDoc="1" locked="0" layoutInCell="1" allowOverlap="1" wp14:anchorId="2061B443" wp14:editId="2A4F4C19">
            <wp:simplePos x="0" y="0"/>
            <wp:positionH relativeFrom="column">
              <wp:posOffset>-77181</wp:posOffset>
            </wp:positionH>
            <wp:positionV relativeFrom="margin">
              <wp:posOffset>7558165</wp:posOffset>
            </wp:positionV>
            <wp:extent cx="1933575" cy="1598930"/>
            <wp:effectExtent l="0" t="0" r="9525" b="1270"/>
            <wp:wrapTight wrapText="bothSides">
              <wp:wrapPolygon edited="0">
                <wp:start x="7023" y="257"/>
                <wp:lineTo x="2341" y="2573"/>
                <wp:lineTo x="1915" y="3860"/>
                <wp:lineTo x="2767" y="4890"/>
                <wp:lineTo x="851" y="9007"/>
                <wp:lineTo x="0" y="11581"/>
                <wp:lineTo x="0" y="13639"/>
                <wp:lineTo x="1490" y="17242"/>
                <wp:lineTo x="1702" y="18014"/>
                <wp:lineTo x="6810" y="20845"/>
                <wp:lineTo x="8512" y="21360"/>
                <wp:lineTo x="13620" y="21360"/>
                <wp:lineTo x="15109" y="20845"/>
                <wp:lineTo x="19578" y="18014"/>
                <wp:lineTo x="19791" y="17242"/>
                <wp:lineTo x="21494" y="13639"/>
                <wp:lineTo x="21494" y="12867"/>
                <wp:lineTo x="20642" y="9007"/>
                <wp:lineTo x="18514" y="4890"/>
                <wp:lineTo x="19366" y="1544"/>
                <wp:lineTo x="18089" y="1029"/>
                <wp:lineTo x="8087" y="257"/>
                <wp:lineTo x="7023" y="257"/>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4" cstate="email">
                      <a:extLst>
                        <a:ext uri="{28A0092B-C50C-407E-A947-70E740481C1C}">
                          <a14:useLocalDpi xmlns:a14="http://schemas.microsoft.com/office/drawing/2010/main"/>
                        </a:ext>
                      </a:extLst>
                    </a:blip>
                    <a:stretch>
                      <a:fillRect/>
                    </a:stretch>
                  </pic:blipFill>
                  <pic:spPr>
                    <a:xfrm>
                      <a:off x="0" y="0"/>
                      <a:ext cx="1933575" cy="1598930"/>
                    </a:xfrm>
                    <a:prstGeom prst="rect">
                      <a:avLst/>
                    </a:prstGeom>
                  </pic:spPr>
                </pic:pic>
              </a:graphicData>
            </a:graphic>
            <wp14:sizeRelH relativeFrom="margin">
              <wp14:pctWidth>0</wp14:pctWidth>
            </wp14:sizeRelH>
            <wp14:sizeRelV relativeFrom="margin">
              <wp14:pctHeight>0</wp14:pctHeight>
            </wp14:sizeRelV>
          </wp:anchor>
        </w:drawing>
      </w:r>
    </w:p>
    <w:p w:rsidR="00A45EEC" w:rsidRPr="00A05698" w:rsidRDefault="000F7F0D" w:rsidP="004F4212">
      <w:r w:rsidRPr="00A05698">
        <w:rPr>
          <w:noProof/>
          <w:lang w:val="pt-PT" w:eastAsia="pt-PT"/>
        </w:rPr>
        <mc:AlternateContent>
          <mc:Choice Requires="wps">
            <w:drawing>
              <wp:anchor distT="0" distB="0" distL="114300" distR="114300" simplePos="0" relativeHeight="251658245" behindDoc="0" locked="0" layoutInCell="1" allowOverlap="1" wp14:anchorId="7F620AA7" wp14:editId="6F3F97A2">
                <wp:simplePos x="0" y="0"/>
                <wp:positionH relativeFrom="margin">
                  <wp:posOffset>3717290</wp:posOffset>
                </wp:positionH>
                <wp:positionV relativeFrom="paragraph">
                  <wp:posOffset>13335</wp:posOffset>
                </wp:positionV>
                <wp:extent cx="2256790" cy="653415"/>
                <wp:effectExtent l="0" t="0" r="29210" b="32385"/>
                <wp:wrapNone/>
                <wp:docPr id="371" name="Rectangle à coins arrondis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790" cy="653415"/>
                        </a:xfrm>
                        <a:prstGeom prst="roundRect">
                          <a:avLst>
                            <a:gd name="adj" fmla="val 10759"/>
                          </a:avLst>
                        </a:prstGeom>
                        <a:ln/>
                      </wps:spPr>
                      <wps:style>
                        <a:lnRef idx="2">
                          <a:schemeClr val="accent1"/>
                        </a:lnRef>
                        <a:fillRef idx="1">
                          <a:schemeClr val="lt1"/>
                        </a:fillRef>
                        <a:effectRef idx="0">
                          <a:schemeClr val="accent1"/>
                        </a:effectRef>
                        <a:fontRef idx="minor">
                          <a:schemeClr val="dk1"/>
                        </a:fontRef>
                      </wps:style>
                      <wps:txbx>
                        <w:txbxContent>
                          <w:p w:rsidR="005851EB" w:rsidRPr="000A01BA" w:rsidRDefault="005851EB" w:rsidP="00A45EEC">
                            <w:pPr>
                              <w:jc w:val="center"/>
                              <w:rPr>
                                <w:b/>
                                <w:color w:val="943634"/>
                                <w:sz w:val="16"/>
                                <w:szCs w:val="16"/>
                              </w:rPr>
                            </w:pPr>
                            <w:r w:rsidRPr="000A01BA">
                              <w:rPr>
                                <w:b/>
                                <w:color w:val="943634"/>
                                <w:sz w:val="16"/>
                                <w:szCs w:val="16"/>
                              </w:rPr>
                              <w:t>Villa N° 190, La Linguère – Keur</w:t>
                            </w:r>
                            <w:r>
                              <w:rPr>
                                <w:b/>
                                <w:color w:val="943634"/>
                                <w:sz w:val="16"/>
                                <w:szCs w:val="16"/>
                              </w:rPr>
                              <w:t xml:space="preserve"> </w:t>
                            </w:r>
                            <w:r w:rsidRPr="000A01BA">
                              <w:rPr>
                                <w:b/>
                                <w:color w:val="943634"/>
                                <w:sz w:val="16"/>
                                <w:szCs w:val="16"/>
                              </w:rPr>
                              <w:t>Massar</w:t>
                            </w:r>
                          </w:p>
                          <w:p w:rsidR="005851EB" w:rsidRDefault="005851EB" w:rsidP="00A45EEC">
                            <w:pPr>
                              <w:jc w:val="center"/>
                              <w:rPr>
                                <w:b/>
                                <w:color w:val="943634"/>
                                <w:sz w:val="16"/>
                                <w:szCs w:val="16"/>
                              </w:rPr>
                            </w:pPr>
                            <w:r w:rsidRPr="000A01BA">
                              <w:rPr>
                                <w:b/>
                                <w:color w:val="943634"/>
                                <w:sz w:val="16"/>
                                <w:szCs w:val="16"/>
                              </w:rPr>
                              <w:t>Tél. :</w:t>
                            </w:r>
                            <w:r w:rsidRPr="00C9614C">
                              <w:rPr>
                                <w:b/>
                                <w:color w:val="943634"/>
                                <w:sz w:val="16"/>
                                <w:szCs w:val="16"/>
                              </w:rPr>
                              <w:t xml:space="preserve">+221 33 837 80 36 </w:t>
                            </w:r>
                            <w:r>
                              <w:rPr>
                                <w:b/>
                                <w:color w:val="943634"/>
                                <w:sz w:val="16"/>
                                <w:szCs w:val="16"/>
                              </w:rPr>
                              <w:t xml:space="preserve"> /  </w:t>
                            </w:r>
                            <w:r w:rsidRPr="000A01BA">
                              <w:rPr>
                                <w:b/>
                                <w:color w:val="943634"/>
                                <w:sz w:val="16"/>
                                <w:szCs w:val="16"/>
                              </w:rPr>
                              <w:t xml:space="preserve"> 77 648 9533</w:t>
                            </w:r>
                          </w:p>
                          <w:p w:rsidR="005851EB" w:rsidRDefault="005851EB" w:rsidP="00A45EEC">
                            <w:pPr>
                              <w:jc w:val="center"/>
                              <w:rPr>
                                <w:b/>
                                <w:sz w:val="16"/>
                                <w:szCs w:val="16"/>
                              </w:rPr>
                            </w:pPr>
                            <w:r w:rsidRPr="000A01BA">
                              <w:rPr>
                                <w:b/>
                                <w:color w:val="943634"/>
                                <w:sz w:val="16"/>
                                <w:szCs w:val="16"/>
                              </w:rPr>
                              <w:t xml:space="preserve">Email : </w:t>
                            </w:r>
                            <w:hyperlink r:id="rId15" w:history="1">
                              <w:r w:rsidRPr="001E6215">
                                <w:rPr>
                                  <w:b/>
                                  <w:sz w:val="16"/>
                                  <w:szCs w:val="16"/>
                                </w:rPr>
                                <w:t>ecienvironnement@gmail.com</w:t>
                              </w:r>
                            </w:hyperlink>
                          </w:p>
                          <w:p w:rsidR="005851EB" w:rsidRPr="000A01BA" w:rsidRDefault="00D00D1D" w:rsidP="00A45EEC">
                            <w:pPr>
                              <w:jc w:val="center"/>
                              <w:rPr>
                                <w:b/>
                                <w:color w:val="943634"/>
                                <w:sz w:val="16"/>
                                <w:szCs w:val="16"/>
                              </w:rPr>
                            </w:pPr>
                            <w:hyperlink r:id="rId16" w:history="1">
                              <w:r w:rsidR="005851EB" w:rsidRPr="00E26149">
                                <w:rPr>
                                  <w:rStyle w:val="TextodebaloCarcter"/>
                                  <w:rFonts w:eastAsiaTheme="minorHAnsi"/>
                                  <w:sz w:val="16"/>
                                  <w:szCs w:val="16"/>
                                </w:rPr>
                                <w:t>beroubaguisse@yahoo.fr</w:t>
                              </w:r>
                            </w:hyperlink>
                          </w:p>
                          <w:p w:rsidR="005851EB" w:rsidRPr="000A01BA" w:rsidRDefault="005851EB" w:rsidP="00A45EEC">
                            <w:pPr>
                              <w:jc w:val="center"/>
                              <w:rPr>
                                <w:b/>
                                <w:color w:val="943634"/>
                                <w:sz w:val="16"/>
                                <w:szCs w:val="16"/>
                              </w:rPr>
                            </w:pPr>
                          </w:p>
                          <w:p w:rsidR="005851EB" w:rsidRDefault="005851EB" w:rsidP="00A45EEC">
                            <w:pPr>
                              <w:jc w:val="center"/>
                              <w:rPr>
                                <w:b/>
                                <w:color w:val="943634"/>
                              </w:rPr>
                            </w:pPr>
                          </w:p>
                          <w:p w:rsidR="005851EB" w:rsidRPr="00EA6A4C" w:rsidRDefault="005851EB" w:rsidP="00A45EEC">
                            <w:pPr>
                              <w:rPr>
                                <w:b/>
                                <w:color w:val="9436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oundrect w14:anchorId="7F620AA7" id="Rectangle à coins arrondis 269" o:spid="_x0000_s1033" style="position:absolute;margin-left:292.7pt;margin-top:1.05pt;width:177.7pt;height:51.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05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" fillcolor="white [3201]" strokecolor="#5b9bd5 [3204]" strokeweight="1pt">
                <v:stroke joinstyle="miter"/>
                <v:textbox>
                  <w:txbxContent>
                    <w:p w14:paraId="0E2541C1" w14:textId="77777777" w:rsidR="005851EB" w:rsidRPr="000A01BA" w:rsidRDefault="005851EB" w:rsidP="00A45EEC">
                      <w:pPr>
                        <w:jc w:val="center"/>
                        <w:rPr>
                          <w:b/>
                          <w:color w:val="943634"/>
                          <w:sz w:val="16"/>
                          <w:szCs w:val="16"/>
                        </w:rPr>
                      </w:pPr>
                      <w:r w:rsidRPr="000A01BA">
                        <w:rPr>
                          <w:b/>
                          <w:color w:val="943634"/>
                          <w:sz w:val="16"/>
                          <w:szCs w:val="16"/>
                        </w:rPr>
                        <w:t>Villa N° 190, La Linguère – Keur</w:t>
                      </w:r>
                      <w:r>
                        <w:rPr>
                          <w:b/>
                          <w:color w:val="943634"/>
                          <w:sz w:val="16"/>
                          <w:szCs w:val="16"/>
                        </w:rPr>
                        <w:t xml:space="preserve"> </w:t>
                      </w:r>
                      <w:r w:rsidRPr="000A01BA">
                        <w:rPr>
                          <w:b/>
                          <w:color w:val="943634"/>
                          <w:sz w:val="16"/>
                          <w:szCs w:val="16"/>
                        </w:rPr>
                        <w:t>Massar</w:t>
                      </w:r>
                    </w:p>
                    <w:p w14:paraId="46584C66" w14:textId="77777777" w:rsidR="005851EB" w:rsidRDefault="005851EB" w:rsidP="00A45EEC">
                      <w:pPr>
                        <w:jc w:val="center"/>
                        <w:rPr>
                          <w:b/>
                          <w:color w:val="943634"/>
                          <w:sz w:val="16"/>
                          <w:szCs w:val="16"/>
                        </w:rPr>
                      </w:pPr>
                      <w:r w:rsidRPr="000A01BA">
                        <w:rPr>
                          <w:b/>
                          <w:color w:val="943634"/>
                          <w:sz w:val="16"/>
                          <w:szCs w:val="16"/>
                        </w:rPr>
                        <w:t>Tél. :</w:t>
                      </w:r>
                      <w:r w:rsidRPr="00C9614C">
                        <w:rPr>
                          <w:b/>
                          <w:color w:val="943634"/>
                          <w:sz w:val="16"/>
                          <w:szCs w:val="16"/>
                        </w:rPr>
                        <w:t xml:space="preserve">+221 33 837 80 36 </w:t>
                      </w:r>
                      <w:r>
                        <w:rPr>
                          <w:b/>
                          <w:color w:val="943634"/>
                          <w:sz w:val="16"/>
                          <w:szCs w:val="16"/>
                        </w:rPr>
                        <w:t xml:space="preserve"> /  </w:t>
                      </w:r>
                      <w:r w:rsidRPr="000A01BA">
                        <w:rPr>
                          <w:b/>
                          <w:color w:val="943634"/>
                          <w:sz w:val="16"/>
                          <w:szCs w:val="16"/>
                        </w:rPr>
                        <w:t xml:space="preserve"> 77 648 9533</w:t>
                      </w:r>
                    </w:p>
                    <w:p w14:paraId="4477C33D" w14:textId="77777777" w:rsidR="005851EB" w:rsidRDefault="005851EB" w:rsidP="00A45EEC">
                      <w:pPr>
                        <w:jc w:val="center"/>
                        <w:rPr>
                          <w:b/>
                          <w:sz w:val="16"/>
                          <w:szCs w:val="16"/>
                        </w:rPr>
                      </w:pPr>
                      <w:r w:rsidRPr="000A01BA">
                        <w:rPr>
                          <w:b/>
                          <w:color w:val="943634"/>
                          <w:sz w:val="16"/>
                          <w:szCs w:val="16"/>
                        </w:rPr>
                        <w:t xml:space="preserve">Email : </w:t>
                      </w:r>
                      <w:hyperlink r:id="rId17" w:history="1">
                        <w:r w:rsidRPr="001E6215">
                          <w:rPr>
                            <w:b/>
                            <w:sz w:val="16"/>
                            <w:szCs w:val="16"/>
                          </w:rPr>
                          <w:t>ecienvironnement@gmail.com</w:t>
                        </w:r>
                      </w:hyperlink>
                    </w:p>
                    <w:p w14:paraId="4189E15D" w14:textId="77777777" w:rsidR="005851EB" w:rsidRPr="000A01BA" w:rsidRDefault="005851EB" w:rsidP="00A45EEC">
                      <w:pPr>
                        <w:jc w:val="center"/>
                        <w:rPr>
                          <w:b/>
                          <w:color w:val="943634"/>
                          <w:sz w:val="16"/>
                          <w:szCs w:val="16"/>
                        </w:rPr>
                      </w:pPr>
                      <w:hyperlink r:id="rId18" w:history="1">
                        <w:r w:rsidRPr="00E26149">
                          <w:rPr>
                            <w:rStyle w:val="TextedebullesCar"/>
                            <w:rFonts w:eastAsiaTheme="minorHAnsi"/>
                            <w:sz w:val="16"/>
                            <w:szCs w:val="16"/>
                          </w:rPr>
                          <w:t>beroubaguisse@yahoo.fr</w:t>
                        </w:r>
                      </w:hyperlink>
                    </w:p>
                    <w:p w14:paraId="61977D55" w14:textId="77777777" w:rsidR="005851EB" w:rsidRPr="000A01BA" w:rsidRDefault="005851EB" w:rsidP="00A45EEC">
                      <w:pPr>
                        <w:jc w:val="center"/>
                        <w:rPr>
                          <w:b/>
                          <w:color w:val="943634"/>
                          <w:sz w:val="16"/>
                          <w:szCs w:val="16"/>
                        </w:rPr>
                      </w:pPr>
                    </w:p>
                    <w:p w14:paraId="0BB009D6" w14:textId="77777777" w:rsidR="005851EB" w:rsidRDefault="005851EB" w:rsidP="00A45EEC">
                      <w:pPr>
                        <w:jc w:val="center"/>
                        <w:rPr>
                          <w:b/>
                          <w:color w:val="943634"/>
                        </w:rPr>
                      </w:pPr>
                    </w:p>
                    <w:p w14:paraId="7B76160E" w14:textId="77777777" w:rsidR="005851EB" w:rsidRPr="00EA6A4C" w:rsidRDefault="005851EB" w:rsidP="00A45EEC">
                      <w:pPr>
                        <w:rPr>
                          <w:b/>
                          <w:color w:val="943634"/>
                        </w:rPr>
                      </w:pPr>
                    </w:p>
                  </w:txbxContent>
                </v:textbox>
                <w10:wrap anchorx="margin"/>
              </v:roundrect>
            </w:pict>
          </mc:Fallback>
        </mc:AlternateContent>
      </w:r>
    </w:p>
    <w:p w:rsidR="00A45EEC" w:rsidRPr="00A05698" w:rsidRDefault="00A45EEC" w:rsidP="004F4212"/>
    <w:p w:rsidR="00A45EEC" w:rsidRPr="00A05698" w:rsidRDefault="00A45EEC" w:rsidP="004F4212"/>
    <w:p w:rsidR="00A45EEC" w:rsidRPr="00A05698" w:rsidRDefault="00A45EEC" w:rsidP="004F4212"/>
    <w:p w:rsidR="00A45EEC" w:rsidRPr="00A05698" w:rsidRDefault="00A45EEC" w:rsidP="004F4212"/>
    <w:p w:rsidR="00A45EEC" w:rsidRPr="00A05698" w:rsidRDefault="00A45EEC" w:rsidP="004F4212"/>
    <w:p w:rsidR="00C11961" w:rsidRPr="00A05698" w:rsidRDefault="00DE4423" w:rsidP="002E3B6C">
      <w:pPr>
        <w:jc w:val="center"/>
      </w:pPr>
      <w:r w:rsidRPr="00A05698">
        <w:rPr>
          <w:noProof/>
          <w:lang w:val="pt-PT" w:eastAsia="pt-PT"/>
        </w:rPr>
        <mc:AlternateContent>
          <mc:Choice Requires="wps">
            <w:drawing>
              <wp:anchor distT="0" distB="0" distL="114300" distR="114300" simplePos="0" relativeHeight="251658260" behindDoc="0" locked="0" layoutInCell="1" allowOverlap="1" wp14:anchorId="75A92280" wp14:editId="345EF3F1">
                <wp:simplePos x="0" y="0"/>
                <wp:positionH relativeFrom="column">
                  <wp:posOffset>3375511</wp:posOffset>
                </wp:positionH>
                <wp:positionV relativeFrom="paragraph">
                  <wp:posOffset>-7545</wp:posOffset>
                </wp:positionV>
                <wp:extent cx="2676525" cy="504825"/>
                <wp:effectExtent l="0" t="0" r="28575" b="28575"/>
                <wp:wrapThrough wrapText="bothSides">
                  <wp:wrapPolygon edited="0">
                    <wp:start x="2152" y="0"/>
                    <wp:lineTo x="0" y="2445"/>
                    <wp:lineTo x="0" y="17932"/>
                    <wp:lineTo x="1845" y="22008"/>
                    <wp:lineTo x="19832" y="22008"/>
                    <wp:lineTo x="21677" y="17932"/>
                    <wp:lineTo x="21677" y="3260"/>
                    <wp:lineTo x="19678" y="0"/>
                    <wp:lineTo x="2152" y="0"/>
                  </wp:wrapPolygon>
                </wp:wrapThrough>
                <wp:docPr id="18" name="Terminaison 18"/>
                <wp:cNvGraphicFramePr/>
                <a:graphic xmlns:a="http://schemas.openxmlformats.org/drawingml/2006/main">
                  <a:graphicData uri="http://schemas.microsoft.com/office/word/2010/wordprocessingShape">
                    <wps:wsp>
                      <wps:cNvSpPr/>
                      <wps:spPr>
                        <a:xfrm>
                          <a:off x="0" y="0"/>
                          <a:ext cx="2676525" cy="50482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5851EB" w:rsidRPr="009C178F" w:rsidRDefault="005851EB" w:rsidP="006C4554">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AVRIL 2021</w:t>
                            </w:r>
                          </w:p>
                          <w:p w:rsidR="005851EB" w:rsidRDefault="005851EB" w:rsidP="006C45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5A92280" id="Terminaison 18" o:spid="_x0000_s1034" type="#_x0000_t116" style="position:absolute;left:0;text-align:left;margin-left:265.8pt;margin-top:-.55pt;width:210.75pt;height:39.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" fillcolor="white [3201]" strokecolor="#5b9bd5 [3204]" strokeweight="1pt">
                <v:textbox>
                  <w:txbxContent>
                    <w:p w14:paraId="324B4592" w14:textId="2976F4BA" w:rsidR="005851EB" w:rsidRPr="009C178F" w:rsidRDefault="005851EB" w:rsidP="006C4554">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AVRIL 2021</w:t>
                      </w:r>
                    </w:p>
                    <w:p w14:paraId="0CB8AECF" w14:textId="77777777" w:rsidR="005851EB" w:rsidRDefault="005851EB" w:rsidP="006C4554">
                      <w:pPr>
                        <w:jc w:val="center"/>
                      </w:pPr>
                    </w:p>
                  </w:txbxContent>
                </v:textbox>
                <w10:wrap type="through"/>
              </v:shape>
            </w:pict>
          </mc:Fallback>
        </mc:AlternateContent>
      </w:r>
    </w:p>
    <w:p w:rsidR="00A45EEC" w:rsidRPr="00A05698" w:rsidRDefault="00A45EEC" w:rsidP="007056AF">
      <w:pPr>
        <w:pStyle w:val="PargrafodaLista"/>
        <w:keepNext/>
        <w:keepLines/>
        <w:pBdr>
          <w:bottom w:val="thickThinSmallGap" w:sz="24" w:space="1" w:color="auto"/>
        </w:pBdr>
        <w:shd w:val="clear" w:color="auto" w:fill="DEEAF6" w:themeFill="accent1" w:themeFillTint="33"/>
        <w:spacing w:after="0" w:line="240" w:lineRule="auto"/>
        <w:ind w:left="76" w:right="-995"/>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53716477"/>
      <w:bookmarkStart w:id="2" w:name="_Toc62919080"/>
      <w:bookmarkStart w:id="3" w:name="_Toc62927739"/>
      <w:bookmarkStart w:id="4" w:name="_Toc73459693"/>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TABLE DES MATIERES</w:t>
      </w:r>
      <w:bookmarkEnd w:id="1"/>
      <w:bookmarkEnd w:id="2"/>
      <w:bookmarkEnd w:id="3"/>
      <w:bookmarkEnd w:id="4"/>
    </w:p>
    <w:p w:rsidR="007056AF" w:rsidRPr="00A05698" w:rsidRDefault="007056AF" w:rsidP="007056AF"/>
    <w:p w:rsidR="00BB7875" w:rsidRPr="00BE0248" w:rsidRDefault="003C6DA9">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r w:rsidRPr="00BE0248">
        <w:rPr>
          <w:sz w:val="20"/>
          <w:szCs w:val="20"/>
          <w14:shadow w14:blurRad="38100" w14:dist="25400" w14:dir="5400000" w14:sx="100000" w14:sy="100000" w14:kx="0" w14:ky="0" w14:algn="ctr">
            <w14:srgbClr w14:val="6E747A">
              <w14:alpha w14:val="57000"/>
            </w14:srgbClr>
          </w14:shadow>
        </w:rPr>
        <w:fldChar w:fldCharType="begin"/>
      </w:r>
      <w:r w:rsidRPr="00BE0248">
        <w:rPr>
          <w:sz w:val="20"/>
          <w:szCs w:val="20"/>
        </w:rPr>
        <w:instrText xml:space="preserve"> </w:instrText>
      </w:r>
      <w:r w:rsidR="006C5620" w:rsidRPr="00BE0248">
        <w:rPr>
          <w:sz w:val="20"/>
          <w:szCs w:val="20"/>
        </w:rPr>
        <w:instrText>TOC</w:instrText>
      </w:r>
      <w:r w:rsidRPr="00BE0248">
        <w:rPr>
          <w:sz w:val="20"/>
          <w:szCs w:val="20"/>
        </w:rPr>
        <w:instrText xml:space="preserve"> \o "1-2" \h \z \u </w:instrText>
      </w:r>
      <w:r w:rsidRPr="00BE0248">
        <w:rPr>
          <w:sz w:val="20"/>
          <w:szCs w:val="20"/>
          <w14:shadow w14:blurRad="38100" w14:dist="25400" w14:dir="5400000" w14:sx="100000" w14:sy="100000" w14:kx="0" w14:ky="0" w14:algn="ctr">
            <w14:srgbClr w14:val="6E747A">
              <w14:alpha w14:val="57000"/>
            </w14:srgbClr>
          </w14:shadow>
        </w:rPr>
        <w:fldChar w:fldCharType="separate"/>
      </w:r>
      <w:hyperlink w:anchor="_Toc73459693"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TABLE DES MATIERES</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_Toc73459693 \h </w:instrText>
        </w:r>
        <w:r w:rsidR="00BB7875" w:rsidRPr="00BE0248">
          <w:rPr>
            <w:webHidden/>
            <w:sz w:val="20"/>
            <w:szCs w:val="20"/>
          </w:rPr>
        </w:r>
        <w:r w:rsidR="00BB7875" w:rsidRPr="00BE0248">
          <w:rPr>
            <w:webHidden/>
            <w:sz w:val="20"/>
            <w:szCs w:val="20"/>
          </w:rPr>
          <w:fldChar w:fldCharType="separate"/>
        </w:r>
        <w:r w:rsidR="00A31E4F">
          <w:rPr>
            <w:webHidden/>
            <w:sz w:val="20"/>
            <w:szCs w:val="20"/>
          </w:rPr>
          <w:t>2</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694"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LISTE DES TABLEAUX</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_Toc73459694 \h </w:instrText>
        </w:r>
        <w:r w:rsidR="00BB7875" w:rsidRPr="00BE0248">
          <w:rPr>
            <w:webHidden/>
            <w:sz w:val="20"/>
            <w:szCs w:val="20"/>
          </w:rPr>
        </w:r>
        <w:r w:rsidR="00BB7875" w:rsidRPr="00BE0248">
          <w:rPr>
            <w:webHidden/>
            <w:sz w:val="20"/>
            <w:szCs w:val="20"/>
          </w:rPr>
          <w:fldChar w:fldCharType="separate"/>
        </w:r>
        <w:r w:rsidR="00A31E4F">
          <w:rPr>
            <w:webHidden/>
            <w:sz w:val="20"/>
            <w:szCs w:val="20"/>
          </w:rPr>
          <w:t>4</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695"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LISTE DES FIGURES</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_Toc73459695 \h </w:instrText>
        </w:r>
        <w:r w:rsidR="00BB7875" w:rsidRPr="00BE0248">
          <w:rPr>
            <w:webHidden/>
            <w:sz w:val="20"/>
            <w:szCs w:val="20"/>
          </w:rPr>
        </w:r>
        <w:r w:rsidR="00BB7875" w:rsidRPr="00BE0248">
          <w:rPr>
            <w:webHidden/>
            <w:sz w:val="20"/>
            <w:szCs w:val="20"/>
          </w:rPr>
          <w:fldChar w:fldCharType="separate"/>
        </w:r>
        <w:r w:rsidR="00A31E4F">
          <w:rPr>
            <w:webHidden/>
            <w:sz w:val="20"/>
            <w:szCs w:val="20"/>
          </w:rPr>
          <w:t>4</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696"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LISTE DES DIAGRAMME</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_Toc73459696 \h </w:instrText>
        </w:r>
        <w:r w:rsidR="00BB7875" w:rsidRPr="00BE0248">
          <w:rPr>
            <w:webHidden/>
            <w:sz w:val="20"/>
            <w:szCs w:val="20"/>
          </w:rPr>
        </w:r>
        <w:r w:rsidR="00BB7875" w:rsidRPr="00BE0248">
          <w:rPr>
            <w:webHidden/>
            <w:sz w:val="20"/>
            <w:szCs w:val="20"/>
          </w:rPr>
          <w:fldChar w:fldCharType="separate"/>
        </w:r>
        <w:r w:rsidR="00A31E4F">
          <w:rPr>
            <w:webHidden/>
            <w:sz w:val="20"/>
            <w:szCs w:val="20"/>
          </w:rPr>
          <w:t>4</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697"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LISTE DES SIGLES ET ABREVIATIONS</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_Toc73459697 \h </w:instrText>
        </w:r>
        <w:r w:rsidR="00BB7875" w:rsidRPr="00BE0248">
          <w:rPr>
            <w:webHidden/>
            <w:sz w:val="20"/>
            <w:szCs w:val="20"/>
          </w:rPr>
        </w:r>
        <w:r w:rsidR="00BB7875" w:rsidRPr="00BE0248">
          <w:rPr>
            <w:webHidden/>
            <w:sz w:val="20"/>
            <w:szCs w:val="20"/>
          </w:rPr>
          <w:fldChar w:fldCharType="separate"/>
        </w:r>
        <w:r w:rsidR="00A31E4F">
          <w:rPr>
            <w:webHidden/>
            <w:sz w:val="20"/>
            <w:szCs w:val="20"/>
          </w:rPr>
          <w:t>5</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698"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1.</w:t>
        </w:r>
        <w:r w:rsidR="00BB7875" w:rsidRPr="00BE0248">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INTRODUCTION</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_Toc73459698 \h </w:instrText>
        </w:r>
        <w:r w:rsidR="00BB7875" w:rsidRPr="00BE0248">
          <w:rPr>
            <w:webHidden/>
            <w:sz w:val="20"/>
            <w:szCs w:val="20"/>
          </w:rPr>
        </w:r>
        <w:r w:rsidR="00BB7875" w:rsidRPr="00BE0248">
          <w:rPr>
            <w:webHidden/>
            <w:sz w:val="20"/>
            <w:szCs w:val="20"/>
          </w:rPr>
          <w:fldChar w:fldCharType="separate"/>
        </w:r>
        <w:r w:rsidR="00A31E4F">
          <w:rPr>
            <w:webHidden/>
            <w:sz w:val="20"/>
            <w:szCs w:val="20"/>
          </w:rPr>
          <w:t>6</w:t>
        </w:r>
        <w:r w:rsidR="00BB7875" w:rsidRPr="00BE0248">
          <w:rPr>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699" w:history="1">
        <w:r w:rsidR="00BB7875" w:rsidRPr="00BE0248">
          <w:rPr>
            <w:rStyle w:val="Hiperligao"/>
            <w:rFonts w:ascii="Times New Roman" w:hAnsi="Times New Roman"/>
            <w:noProof/>
            <w:sz w:val="20"/>
            <w:szCs w:val="20"/>
          </w:rPr>
          <w:t>1.1</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CONTEXTE ET JUSTIFICATION DU PROJET</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_Toc73459699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6</w:t>
        </w:r>
        <w:r w:rsidR="00BB7875" w:rsidRPr="00BE0248">
          <w:rPr>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00" w:history="1">
        <w:r w:rsidR="00BB7875" w:rsidRPr="00BE0248">
          <w:rPr>
            <w:rStyle w:val="Hiperligao"/>
            <w:rFonts w:ascii="Times New Roman" w:hAnsi="Times New Roman"/>
            <w:noProof/>
            <w:sz w:val="20"/>
            <w:szCs w:val="20"/>
          </w:rPr>
          <w:t>1.2</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DEFINITION DU CGES</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_Toc73459700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7</w:t>
        </w:r>
        <w:r w:rsidR="00BB7875" w:rsidRPr="00BE0248">
          <w:rPr>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01" w:history="1">
        <w:r w:rsidR="00BB7875" w:rsidRPr="00BE0248">
          <w:rPr>
            <w:rStyle w:val="Hiperligao"/>
            <w:rFonts w:ascii="Times New Roman" w:hAnsi="Times New Roman"/>
            <w:noProof/>
            <w:sz w:val="20"/>
            <w:szCs w:val="20"/>
          </w:rPr>
          <w:t>1.3</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DÉMARCHE MÉTHODOLOGIQUE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_Toc73459701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7</w:t>
        </w:r>
        <w:r w:rsidR="00BB7875" w:rsidRPr="00BE0248">
          <w:rPr>
            <w:noProof/>
            <w:webHidden/>
            <w:sz w:val="20"/>
            <w:szCs w:val="20"/>
          </w:rPr>
          <w:fldChar w:fldCharType="end"/>
        </w:r>
      </w:hyperlink>
    </w:p>
    <w:p w:rsidR="00BB7875" w:rsidRPr="00BE0248" w:rsidRDefault="00D00D1D" w:rsidP="00BB7875">
      <w:pPr>
        <w:pStyle w:val="ndice2"/>
        <w:tabs>
          <w:tab w:val="left" w:pos="960"/>
        </w:tabs>
        <w:ind w:left="708"/>
        <w:rPr>
          <w:rFonts w:eastAsiaTheme="minorEastAsia" w:cstheme="minorBidi"/>
          <w:b w:val="0"/>
          <w:bCs w:val="0"/>
          <w:noProof/>
          <w:sz w:val="20"/>
          <w:szCs w:val="20"/>
        </w:rPr>
      </w:pPr>
      <w:hyperlink w:anchor="_Toc73459702" w:history="1">
        <w:r w:rsidR="00BB7875" w:rsidRPr="00BE0248">
          <w:rPr>
            <w:rStyle w:val="Hiperligao"/>
            <w:rFonts w:ascii="Times New Roman" w:hAnsi="Times New Roman"/>
            <w:b w:val="0"/>
            <w:noProof/>
            <w:sz w:val="20"/>
            <w:szCs w:val="20"/>
          </w:rPr>
          <w:t>1.3.1</w:t>
        </w:r>
        <w:r w:rsidR="00BB7875" w:rsidRPr="00BE0248">
          <w:rPr>
            <w:rFonts w:eastAsiaTheme="minorEastAsia" w:cstheme="minorBidi"/>
            <w:b w:val="0"/>
            <w:bCs w:val="0"/>
            <w:noProof/>
            <w:sz w:val="20"/>
            <w:szCs w:val="20"/>
          </w:rPr>
          <w:t xml:space="preserve"> </w:t>
        </w:r>
        <w:r w:rsidR="00BB7875" w:rsidRPr="00BE0248">
          <w:rPr>
            <w:rStyle w:val="Hiperligao"/>
            <w:rFonts w:ascii="Times New Roman" w:hAnsi="Times New Roman"/>
            <w:b w:val="0"/>
            <w:noProof/>
            <w:sz w:val="20"/>
            <w:szCs w:val="20"/>
          </w:rPr>
          <w:t>La collecte des données</w:t>
        </w:r>
        <w:r w:rsidR="00BB7875" w:rsidRPr="00BE0248">
          <w:rPr>
            <w:b w:val="0"/>
            <w:noProof/>
            <w:webHidden/>
            <w:sz w:val="20"/>
            <w:szCs w:val="20"/>
          </w:rPr>
          <w:tab/>
        </w:r>
        <w:r w:rsidR="00BB7875" w:rsidRPr="00BE0248">
          <w:rPr>
            <w:b w:val="0"/>
            <w:noProof/>
            <w:webHidden/>
            <w:sz w:val="20"/>
            <w:szCs w:val="20"/>
          </w:rPr>
          <w:fldChar w:fldCharType="begin"/>
        </w:r>
        <w:r w:rsidR="00BB7875" w:rsidRPr="00BE0248">
          <w:rPr>
            <w:b w:val="0"/>
            <w:noProof/>
            <w:webHidden/>
            <w:sz w:val="20"/>
            <w:szCs w:val="20"/>
          </w:rPr>
          <w:instrText xml:space="preserve"> PAGEREF _Toc73459702 \h </w:instrText>
        </w:r>
        <w:r w:rsidR="00BB7875" w:rsidRPr="00BE0248">
          <w:rPr>
            <w:b w:val="0"/>
            <w:noProof/>
            <w:webHidden/>
            <w:sz w:val="20"/>
            <w:szCs w:val="20"/>
          </w:rPr>
        </w:r>
        <w:r w:rsidR="00BB7875" w:rsidRPr="00BE0248">
          <w:rPr>
            <w:b w:val="0"/>
            <w:noProof/>
            <w:webHidden/>
            <w:sz w:val="20"/>
            <w:szCs w:val="20"/>
          </w:rPr>
          <w:fldChar w:fldCharType="separate"/>
        </w:r>
        <w:r w:rsidR="00A31E4F">
          <w:rPr>
            <w:b w:val="0"/>
            <w:noProof/>
            <w:webHidden/>
            <w:sz w:val="20"/>
            <w:szCs w:val="20"/>
          </w:rPr>
          <w:t>8</w:t>
        </w:r>
        <w:r w:rsidR="00BB7875" w:rsidRPr="00BE0248">
          <w:rPr>
            <w:b w:val="0"/>
            <w:noProof/>
            <w:webHidden/>
            <w:sz w:val="20"/>
            <w:szCs w:val="20"/>
          </w:rPr>
          <w:fldChar w:fldCharType="end"/>
        </w:r>
      </w:hyperlink>
    </w:p>
    <w:p w:rsidR="00BB7875" w:rsidRPr="00BE0248" w:rsidRDefault="00D00D1D" w:rsidP="00BB7875">
      <w:pPr>
        <w:pStyle w:val="ndice2"/>
        <w:tabs>
          <w:tab w:val="left" w:pos="960"/>
        </w:tabs>
        <w:ind w:left="708"/>
        <w:rPr>
          <w:rFonts w:eastAsiaTheme="minorEastAsia" w:cstheme="minorBidi"/>
          <w:b w:val="0"/>
          <w:bCs w:val="0"/>
          <w:noProof/>
          <w:sz w:val="20"/>
          <w:szCs w:val="20"/>
        </w:rPr>
      </w:pPr>
      <w:hyperlink w:anchor="_Toc73459703" w:history="1">
        <w:r w:rsidR="00BB7875" w:rsidRPr="00BE0248">
          <w:rPr>
            <w:rStyle w:val="Hiperligao"/>
            <w:rFonts w:ascii="Times New Roman" w:hAnsi="Times New Roman"/>
            <w:b w:val="0"/>
            <w:noProof/>
            <w:sz w:val="20"/>
            <w:szCs w:val="20"/>
          </w:rPr>
          <w:t>1.3.2</w:t>
        </w:r>
        <w:r w:rsidR="00BB7875" w:rsidRPr="00BE0248">
          <w:rPr>
            <w:rFonts w:eastAsiaTheme="minorEastAsia" w:cstheme="minorBidi"/>
            <w:b w:val="0"/>
            <w:bCs w:val="0"/>
            <w:noProof/>
            <w:sz w:val="20"/>
            <w:szCs w:val="20"/>
          </w:rPr>
          <w:t xml:space="preserve"> </w:t>
        </w:r>
        <w:r w:rsidR="00BB7875" w:rsidRPr="00BE0248">
          <w:rPr>
            <w:rStyle w:val="Hiperligao"/>
            <w:rFonts w:ascii="Times New Roman" w:hAnsi="Times New Roman"/>
            <w:b w:val="0"/>
            <w:noProof/>
            <w:sz w:val="20"/>
            <w:szCs w:val="20"/>
          </w:rPr>
          <w:t>Traitement et analyse de l’information, rédaction du rapport</w:t>
        </w:r>
        <w:r w:rsidR="00BB7875" w:rsidRPr="00BE0248">
          <w:rPr>
            <w:b w:val="0"/>
            <w:noProof/>
            <w:webHidden/>
            <w:sz w:val="20"/>
            <w:szCs w:val="20"/>
          </w:rPr>
          <w:tab/>
        </w:r>
        <w:r w:rsidR="00BB7875" w:rsidRPr="00BE0248">
          <w:rPr>
            <w:b w:val="0"/>
            <w:noProof/>
            <w:webHidden/>
            <w:sz w:val="20"/>
            <w:szCs w:val="20"/>
          </w:rPr>
          <w:fldChar w:fldCharType="begin"/>
        </w:r>
        <w:r w:rsidR="00BB7875" w:rsidRPr="00BE0248">
          <w:rPr>
            <w:b w:val="0"/>
            <w:noProof/>
            <w:webHidden/>
            <w:sz w:val="20"/>
            <w:szCs w:val="20"/>
          </w:rPr>
          <w:instrText xml:space="preserve"> PAGEREF _Toc73459703 \h </w:instrText>
        </w:r>
        <w:r w:rsidR="00BB7875" w:rsidRPr="00BE0248">
          <w:rPr>
            <w:b w:val="0"/>
            <w:noProof/>
            <w:webHidden/>
            <w:sz w:val="20"/>
            <w:szCs w:val="20"/>
          </w:rPr>
        </w:r>
        <w:r w:rsidR="00BB7875" w:rsidRPr="00BE0248">
          <w:rPr>
            <w:b w:val="0"/>
            <w:noProof/>
            <w:webHidden/>
            <w:sz w:val="20"/>
            <w:szCs w:val="20"/>
          </w:rPr>
          <w:fldChar w:fldCharType="separate"/>
        </w:r>
        <w:r w:rsidR="00A31E4F">
          <w:rPr>
            <w:b w:val="0"/>
            <w:noProof/>
            <w:webHidden/>
            <w:sz w:val="20"/>
            <w:szCs w:val="20"/>
          </w:rPr>
          <w:t>8</w:t>
        </w:r>
        <w:r w:rsidR="00BB7875" w:rsidRPr="00BE0248">
          <w:rPr>
            <w:b w:val="0"/>
            <w:noProof/>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04"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2.</w:t>
        </w:r>
        <w:r w:rsidR="00BB7875" w:rsidRPr="00BE0248">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DESCRIPTION DU PROJET</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_Toc73459704 \h </w:instrText>
        </w:r>
        <w:r w:rsidR="00BB7875" w:rsidRPr="00BE0248">
          <w:rPr>
            <w:webHidden/>
            <w:sz w:val="20"/>
            <w:szCs w:val="20"/>
          </w:rPr>
        </w:r>
        <w:r w:rsidR="00BB7875" w:rsidRPr="00BE0248">
          <w:rPr>
            <w:webHidden/>
            <w:sz w:val="20"/>
            <w:szCs w:val="20"/>
          </w:rPr>
          <w:fldChar w:fldCharType="separate"/>
        </w:r>
        <w:r w:rsidR="00A31E4F">
          <w:rPr>
            <w:webHidden/>
            <w:sz w:val="20"/>
            <w:szCs w:val="20"/>
          </w:rPr>
          <w:t>9</w:t>
        </w:r>
        <w:r w:rsidR="00BB7875" w:rsidRPr="00BE0248">
          <w:rPr>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05" w:history="1">
        <w:r w:rsidR="00BB7875" w:rsidRPr="00BE0248">
          <w:rPr>
            <w:rStyle w:val="Hiperligao"/>
            <w:rFonts w:ascii="Times New Roman" w:hAnsi="Times New Roman"/>
            <w:noProof/>
            <w:sz w:val="20"/>
            <w:szCs w:val="20"/>
          </w:rPr>
          <w:t>2.1 PRESENTATION DU PROJET</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_Toc73459705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9</w:t>
        </w:r>
        <w:r w:rsidR="00BB7875" w:rsidRPr="00BE0248">
          <w:rPr>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06" w:history="1">
        <w:r w:rsidR="00BB7875" w:rsidRPr="00BE0248">
          <w:rPr>
            <w:rStyle w:val="Hiperligao"/>
            <w:rFonts w:ascii="Times New Roman" w:hAnsi="Times New Roman"/>
            <w:noProof/>
            <w:sz w:val="20"/>
            <w:szCs w:val="20"/>
          </w:rPr>
          <w:t>2.2 OBJECTIF DU PROJET PUSA</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_Toc73459706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9</w:t>
        </w:r>
        <w:r w:rsidR="00BB7875" w:rsidRPr="00BE0248">
          <w:rPr>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07" w:history="1">
        <w:r w:rsidR="00BB7875" w:rsidRPr="00BE0248">
          <w:rPr>
            <w:rStyle w:val="Hiperligao"/>
            <w:rFonts w:ascii="Times New Roman" w:hAnsi="Times New Roman"/>
            <w:noProof/>
            <w:sz w:val="20"/>
            <w:szCs w:val="20"/>
          </w:rPr>
          <w:t>2.3 COMPOSANTES DU PROJET</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_Toc73459707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9</w:t>
        </w:r>
        <w:r w:rsidR="00BB7875" w:rsidRPr="00BE0248">
          <w:rPr>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11" w:history="1">
        <w:r w:rsidR="00BB7875" w:rsidRPr="00BE0248">
          <w:rPr>
            <w:rStyle w:val="Hiperligao"/>
            <w:rFonts w:ascii="Times New Roman" w:hAnsi="Times New Roman"/>
            <w:noProof/>
            <w:sz w:val="20"/>
            <w:szCs w:val="20"/>
          </w:rPr>
          <w:t>2.4 ZONES D’INTERVENTION DU PROJET PUSA</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_Toc73459711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11</w:t>
        </w:r>
        <w:r w:rsidR="00BB7875" w:rsidRPr="00BE0248">
          <w:rPr>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12" w:history="1">
        <w:r w:rsidR="00BB7875" w:rsidRPr="00BE0248">
          <w:rPr>
            <w:rStyle w:val="Hiperligao"/>
            <w:rFonts w:ascii="Times New Roman" w:hAnsi="Times New Roman"/>
            <w:noProof/>
            <w:sz w:val="20"/>
            <w:szCs w:val="20"/>
          </w:rPr>
          <w:t>2.5 CIBLAGE DES DIFFERENTS BENEFICIAIRES DU PROJET</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_Toc73459712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11</w:t>
        </w:r>
        <w:r w:rsidR="00BB7875" w:rsidRPr="00BE0248">
          <w:rPr>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13" w:history="1">
        <w:r w:rsidR="00BB7875" w:rsidRPr="00BE0248">
          <w:rPr>
            <w:rStyle w:val="Hiperligao"/>
            <w:rFonts w:ascii="Times New Roman" w:hAnsi="Times New Roman"/>
            <w:noProof/>
            <w:sz w:val="20"/>
            <w:szCs w:val="20"/>
          </w:rPr>
          <w:t>2.6 SITUATION ALIMENTAIRE ET NUTRITIONNELLE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_Toc73459713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12</w:t>
        </w:r>
        <w:r w:rsidR="00BB7875" w:rsidRPr="00BE0248">
          <w:rPr>
            <w:noProof/>
            <w:webHidden/>
            <w:sz w:val="20"/>
            <w:szCs w:val="20"/>
          </w:rPr>
          <w:fldChar w:fldCharType="end"/>
        </w:r>
      </w:hyperlink>
    </w:p>
    <w:p w:rsidR="00BB7875" w:rsidRPr="00BE0248" w:rsidRDefault="00D00D1D" w:rsidP="00BB7875">
      <w:pPr>
        <w:pStyle w:val="ndice2"/>
        <w:tabs>
          <w:tab w:val="left" w:pos="960"/>
        </w:tabs>
        <w:ind w:left="708"/>
        <w:rPr>
          <w:rStyle w:val="Hiperligao"/>
          <w:rFonts w:ascii="Times New Roman" w:hAnsi="Times New Roman"/>
          <w:noProof/>
          <w:sz w:val="20"/>
          <w:szCs w:val="20"/>
        </w:rPr>
      </w:pPr>
      <w:hyperlink w:anchor="_Toc73459714" w:history="1">
        <w:r w:rsidR="00BB7875" w:rsidRPr="00BE0248">
          <w:rPr>
            <w:rStyle w:val="Hiperligao"/>
            <w:rFonts w:ascii="Times New Roman" w:hAnsi="Times New Roman"/>
            <w:b w:val="0"/>
            <w:noProof/>
            <w:sz w:val="20"/>
            <w:szCs w:val="20"/>
          </w:rPr>
          <w:t>2.6.1. Situation des marchés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_Toc73459714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12</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BB7875">
      <w:pPr>
        <w:pStyle w:val="ndice2"/>
        <w:tabs>
          <w:tab w:val="left" w:pos="960"/>
        </w:tabs>
        <w:ind w:left="708"/>
        <w:rPr>
          <w:rStyle w:val="Hiperligao"/>
          <w:rFonts w:ascii="Times New Roman" w:hAnsi="Times New Roman"/>
          <w:noProof/>
          <w:sz w:val="20"/>
          <w:szCs w:val="20"/>
        </w:rPr>
      </w:pPr>
      <w:hyperlink w:anchor="_Toc73459715" w:history="1">
        <w:r w:rsidR="00BB7875" w:rsidRPr="00BE0248">
          <w:rPr>
            <w:rStyle w:val="Hiperligao"/>
            <w:rFonts w:ascii="Times New Roman" w:hAnsi="Times New Roman"/>
            <w:b w:val="0"/>
            <w:noProof/>
            <w:sz w:val="20"/>
            <w:szCs w:val="20"/>
          </w:rPr>
          <w:t>2.6.2 Analyse de la Situation nutritionnelle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_Toc73459715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13</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BB7875">
      <w:pPr>
        <w:pStyle w:val="ndice2"/>
        <w:tabs>
          <w:tab w:val="left" w:pos="960"/>
        </w:tabs>
        <w:ind w:left="960"/>
        <w:rPr>
          <w:rStyle w:val="Hiperligao"/>
          <w:rFonts w:ascii="Times New Roman" w:hAnsi="Times New Roman"/>
          <w:noProof/>
          <w:sz w:val="20"/>
          <w:szCs w:val="20"/>
        </w:rPr>
      </w:pPr>
      <w:hyperlink w:anchor="_Toc73459717" w:history="1">
        <w:r w:rsidR="00BB7875" w:rsidRPr="00BE0248">
          <w:rPr>
            <w:rStyle w:val="Hiperligao"/>
            <w:rFonts w:ascii="Times New Roman" w:hAnsi="Times New Roman"/>
            <w:b w:val="0"/>
            <w:noProof/>
            <w:sz w:val="20"/>
            <w:szCs w:val="20"/>
          </w:rPr>
          <w:t>2.6.2.1 Analyse des indicateurs de résultats de la sécurité alimentaire/résultats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_Toc73459717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13</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BB7875">
      <w:pPr>
        <w:pStyle w:val="ndice2"/>
        <w:tabs>
          <w:tab w:val="left" w:pos="960"/>
        </w:tabs>
        <w:ind w:left="960"/>
        <w:rPr>
          <w:rStyle w:val="Hiperligao"/>
          <w:rFonts w:ascii="Times New Roman" w:hAnsi="Times New Roman"/>
          <w:noProof/>
          <w:sz w:val="20"/>
          <w:szCs w:val="20"/>
        </w:rPr>
      </w:pPr>
      <w:hyperlink w:anchor="_Toc73459718" w:history="1">
        <w:r w:rsidR="00BB7875" w:rsidRPr="00BE0248">
          <w:rPr>
            <w:rStyle w:val="Hiperligao"/>
            <w:rFonts w:ascii="Times New Roman" w:hAnsi="Times New Roman"/>
            <w:b w:val="0"/>
            <w:noProof/>
            <w:sz w:val="20"/>
            <w:szCs w:val="20"/>
          </w:rPr>
          <w:t>2.6.2 Evaluation de l’insécurité alimentaire (cadre harmonisé)</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_Toc73459718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14</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BB7875">
      <w:pPr>
        <w:pStyle w:val="ndice2"/>
        <w:tabs>
          <w:tab w:val="left" w:pos="960"/>
        </w:tabs>
        <w:ind w:left="960"/>
        <w:rPr>
          <w:rStyle w:val="Hiperligao"/>
          <w:rFonts w:ascii="Times New Roman" w:hAnsi="Times New Roman"/>
          <w:noProof/>
          <w:sz w:val="20"/>
          <w:szCs w:val="20"/>
        </w:rPr>
      </w:pPr>
      <w:hyperlink w:anchor="_Toc73459719" w:history="1">
        <w:r w:rsidR="00BB7875" w:rsidRPr="00BE0248">
          <w:rPr>
            <w:rStyle w:val="Hiperligao"/>
            <w:rFonts w:ascii="Times New Roman" w:hAnsi="Times New Roman"/>
            <w:b w:val="0"/>
            <w:noProof/>
            <w:sz w:val="20"/>
            <w:szCs w:val="20"/>
          </w:rPr>
          <w:t>2.6.2.1 Rappel de la méthodologie utilisée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_Toc73459719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14</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BB7875">
      <w:pPr>
        <w:pStyle w:val="ndice2"/>
        <w:tabs>
          <w:tab w:val="left" w:pos="960"/>
        </w:tabs>
        <w:ind w:left="960"/>
        <w:rPr>
          <w:rStyle w:val="Hiperligao"/>
          <w:rFonts w:ascii="Times New Roman" w:hAnsi="Times New Roman"/>
          <w:noProof/>
          <w:sz w:val="20"/>
          <w:szCs w:val="20"/>
        </w:rPr>
      </w:pPr>
      <w:hyperlink w:anchor="_Toc73459720" w:history="1">
        <w:r w:rsidR="00BB7875" w:rsidRPr="00BE0248">
          <w:rPr>
            <w:rStyle w:val="Hiperligao"/>
            <w:rFonts w:ascii="Times New Roman" w:hAnsi="Times New Roman"/>
            <w:b w:val="0"/>
            <w:noProof/>
            <w:sz w:val="20"/>
            <w:szCs w:val="20"/>
          </w:rPr>
          <w:t>2.6.2.2. Situation courante et projetée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_Toc73459720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14</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BB7875">
      <w:pPr>
        <w:pStyle w:val="ndice2"/>
        <w:tabs>
          <w:tab w:val="left" w:pos="960"/>
        </w:tabs>
        <w:ind w:left="960"/>
        <w:rPr>
          <w:rStyle w:val="Hiperligao"/>
          <w:rFonts w:ascii="Times New Roman" w:hAnsi="Times New Roman"/>
          <w:noProof/>
          <w:sz w:val="20"/>
          <w:szCs w:val="20"/>
        </w:rPr>
      </w:pPr>
      <w:hyperlink w:anchor="_Toc73459721" w:history="1">
        <w:r w:rsidR="00BB7875" w:rsidRPr="00BE0248">
          <w:rPr>
            <w:rStyle w:val="Hiperligao"/>
            <w:rFonts w:ascii="Times New Roman" w:hAnsi="Times New Roman"/>
            <w:b w:val="0"/>
            <w:noProof/>
            <w:sz w:val="20"/>
            <w:szCs w:val="20"/>
          </w:rPr>
          <w:t>2.6.2.3. Estimation des populations en situation courante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_Toc73459721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15</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BB7875">
      <w:pPr>
        <w:pStyle w:val="ndice2"/>
        <w:tabs>
          <w:tab w:val="left" w:pos="960"/>
        </w:tabs>
        <w:ind w:left="960"/>
        <w:rPr>
          <w:rStyle w:val="Hiperligao"/>
          <w:rFonts w:ascii="Times New Roman" w:hAnsi="Times New Roman"/>
          <w:noProof/>
          <w:sz w:val="20"/>
          <w:szCs w:val="20"/>
        </w:rPr>
      </w:pPr>
      <w:hyperlink w:anchor="_Toc73459722" w:history="1">
        <w:r w:rsidR="00BB7875" w:rsidRPr="00BE0248">
          <w:rPr>
            <w:rStyle w:val="Hiperligao"/>
            <w:rFonts w:ascii="Times New Roman" w:hAnsi="Times New Roman"/>
            <w:b w:val="0"/>
            <w:noProof/>
            <w:sz w:val="20"/>
            <w:szCs w:val="20"/>
          </w:rPr>
          <w:t>2.6.2.4. Situation projetée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_Toc73459722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15</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BB7875">
      <w:pPr>
        <w:pStyle w:val="ndice2"/>
        <w:tabs>
          <w:tab w:val="left" w:pos="960"/>
        </w:tabs>
        <w:ind w:left="960"/>
        <w:rPr>
          <w:rStyle w:val="Hiperligao"/>
          <w:rFonts w:ascii="Times New Roman" w:hAnsi="Times New Roman"/>
          <w:noProof/>
          <w:sz w:val="20"/>
          <w:szCs w:val="20"/>
        </w:rPr>
      </w:pPr>
      <w:hyperlink w:anchor="_Toc73459723" w:history="1">
        <w:r w:rsidR="00BB7875" w:rsidRPr="00BE0248">
          <w:rPr>
            <w:rStyle w:val="Hiperligao"/>
            <w:rFonts w:ascii="Times New Roman" w:hAnsi="Times New Roman"/>
            <w:b w:val="0"/>
            <w:noProof/>
            <w:sz w:val="20"/>
            <w:szCs w:val="20"/>
          </w:rPr>
          <w:t>2.6.2.5. Estimation des populations en situation projetée (juin à août 2021)</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_Toc73459723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16</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24" w:history="1">
        <w:r w:rsidR="00BB7875" w:rsidRPr="00BE0248">
          <w:rPr>
            <w:rStyle w:val="Hiperligao"/>
            <w:rFonts w:ascii="Times New Roman" w:hAnsi="Times New Roman"/>
            <w:b w:val="0"/>
            <w:noProof/>
            <w:sz w:val="20"/>
            <w:szCs w:val="20"/>
          </w:rPr>
          <w:t>2.6.</w:t>
        </w:r>
        <w:r w:rsidR="00EE5F92" w:rsidRPr="00BE0248">
          <w:rPr>
            <w:rStyle w:val="Hiperligao"/>
            <w:rFonts w:ascii="Times New Roman" w:hAnsi="Times New Roman"/>
            <w:b w:val="0"/>
            <w:noProof/>
            <w:sz w:val="20"/>
            <w:szCs w:val="20"/>
          </w:rPr>
          <w:t>3</w:t>
        </w:r>
        <w:r w:rsidR="00BB7875" w:rsidRPr="00BE0248">
          <w:rPr>
            <w:rStyle w:val="Hiperligao"/>
            <w:rFonts w:ascii="Times New Roman" w:hAnsi="Times New Roman"/>
            <w:b w:val="0"/>
            <w:noProof/>
            <w:sz w:val="20"/>
            <w:szCs w:val="20"/>
          </w:rPr>
          <w:t xml:space="preserve"> Détermination des zones à risque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_Toc73459724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16</w:t>
        </w:r>
        <w:r w:rsidR="00BB7875" w:rsidRPr="00BE0248">
          <w:rPr>
            <w:rStyle w:val="Hiperligao"/>
            <w:rFonts w:ascii="Times New Roman" w:hAnsi="Times New Roman"/>
            <w:b w:val="0"/>
            <w:noProof/>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25"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3.</w:t>
        </w:r>
        <w:r w:rsidR="00BB7875" w:rsidRPr="00BE0248">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CADRE POLITIQUE, JURIDIQUE ET INSTITUTIONNEL</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_Toc73459725 \h </w:instrText>
        </w:r>
        <w:r w:rsidR="00BB7875" w:rsidRPr="00BE0248">
          <w:rPr>
            <w:webHidden/>
            <w:sz w:val="20"/>
            <w:szCs w:val="20"/>
          </w:rPr>
        </w:r>
        <w:r w:rsidR="00BB7875" w:rsidRPr="00BE0248">
          <w:rPr>
            <w:webHidden/>
            <w:sz w:val="20"/>
            <w:szCs w:val="20"/>
          </w:rPr>
          <w:fldChar w:fldCharType="separate"/>
        </w:r>
        <w:r w:rsidR="00A31E4F">
          <w:rPr>
            <w:webHidden/>
            <w:sz w:val="20"/>
            <w:szCs w:val="20"/>
          </w:rPr>
          <w:t>17</w:t>
        </w:r>
        <w:r w:rsidR="00BB7875" w:rsidRPr="00BE0248">
          <w:rPr>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26" w:history="1">
        <w:r w:rsidR="00BB7875" w:rsidRPr="00BE0248">
          <w:rPr>
            <w:rStyle w:val="Hiperligao"/>
            <w:rFonts w:ascii="Times New Roman" w:hAnsi="Times New Roman"/>
            <w:noProof/>
            <w:sz w:val="20"/>
            <w:szCs w:val="20"/>
          </w:rPr>
          <w:t>3.1</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CADRE POLITIQUE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_Toc73459726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17</w:t>
        </w:r>
        <w:r w:rsidR="00BB7875" w:rsidRPr="00BE0248">
          <w:rPr>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27" w:history="1">
        <w:r w:rsidR="00BB7875" w:rsidRPr="00BE0248">
          <w:rPr>
            <w:rStyle w:val="Hiperligao"/>
            <w:rFonts w:ascii="Times New Roman" w:hAnsi="Times New Roman"/>
            <w:b w:val="0"/>
            <w:noProof/>
            <w:sz w:val="20"/>
            <w:szCs w:val="20"/>
          </w:rPr>
          <w:t>3.1.1</w:t>
        </w:r>
        <w:r w:rsidR="00EE5F92"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Documents de Politique dans le secteur de l’agriculture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_Toc73459727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17</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28" w:history="1">
        <w:r w:rsidR="00BB7875" w:rsidRPr="00BE0248">
          <w:rPr>
            <w:rStyle w:val="Hiperligao"/>
            <w:rFonts w:ascii="Times New Roman" w:hAnsi="Times New Roman"/>
            <w:b w:val="0"/>
            <w:noProof/>
            <w:sz w:val="20"/>
            <w:szCs w:val="20"/>
          </w:rPr>
          <w:t>3.1.2</w:t>
        </w:r>
        <w:r w:rsidR="00EE5F92"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Documents de Politiques et de Stratégies Environnementales et Sociales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_Toc73459728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17</w:t>
        </w:r>
        <w:r w:rsidR="00BB7875" w:rsidRPr="00BE0248">
          <w:rPr>
            <w:rStyle w:val="Hiperligao"/>
            <w:rFonts w:ascii="Times New Roman" w:hAnsi="Times New Roman"/>
            <w:b w:val="0"/>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29" w:history="1">
        <w:r w:rsidR="00BB7875" w:rsidRPr="00BE0248">
          <w:rPr>
            <w:rStyle w:val="Hiperligao"/>
            <w:rFonts w:ascii="Times New Roman" w:hAnsi="Times New Roman"/>
            <w:noProof/>
            <w:sz w:val="20"/>
            <w:szCs w:val="20"/>
          </w:rPr>
          <w:t>3.2</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CADRE JURIDIQUE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_Toc73459729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20</w:t>
        </w:r>
        <w:r w:rsidR="00BB7875" w:rsidRPr="00BE0248">
          <w:rPr>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30" w:history="1">
        <w:r w:rsidR="00BB7875" w:rsidRPr="00BE0248">
          <w:rPr>
            <w:rStyle w:val="Hiperligao"/>
            <w:rFonts w:ascii="Times New Roman" w:hAnsi="Times New Roman"/>
            <w:noProof/>
            <w:sz w:val="20"/>
            <w:szCs w:val="20"/>
          </w:rPr>
          <w:t>3.3</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CADRE INSTITUTIONNEL</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_Toc73459730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25</w:t>
        </w:r>
        <w:r w:rsidR="00BB7875" w:rsidRPr="00BE0248">
          <w:rPr>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31" w:history="1">
        <w:r w:rsidR="00BB7875" w:rsidRPr="00BE0248">
          <w:rPr>
            <w:rStyle w:val="Hiperligao"/>
            <w:rFonts w:ascii="Times New Roman" w:hAnsi="Times New Roman"/>
            <w:noProof/>
            <w:sz w:val="20"/>
            <w:szCs w:val="20"/>
          </w:rPr>
          <w:t>3.</w:t>
        </w:r>
        <w:r w:rsidR="00EE5F92" w:rsidRPr="00BE0248">
          <w:rPr>
            <w:rStyle w:val="Hiperligao"/>
            <w:rFonts w:ascii="Times New Roman" w:hAnsi="Times New Roman"/>
            <w:noProof/>
            <w:sz w:val="20"/>
            <w:szCs w:val="20"/>
          </w:rPr>
          <w:t>4</w:t>
        </w:r>
        <w:r w:rsidR="00BB7875" w:rsidRPr="00BE0248">
          <w:rPr>
            <w:rStyle w:val="Hiperligao"/>
            <w:rFonts w:ascii="Times New Roman" w:hAnsi="Times New Roman"/>
            <w:noProof/>
            <w:sz w:val="20"/>
            <w:szCs w:val="20"/>
          </w:rPr>
          <w:t>. LES DIRECTIVES ENVIRONNEMENTALES, SANITAIRES ET SECURITAIRES (EHS) GENERALES ET SPECIFIQUES DE LA BANQUE MONDIALE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_Toc73459731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31</w:t>
        </w:r>
        <w:r w:rsidR="00BB7875" w:rsidRPr="00BE0248">
          <w:rPr>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32" w:history="1">
        <w:r w:rsidR="00BB7875" w:rsidRPr="00BE0248">
          <w:rPr>
            <w:rStyle w:val="Hiperligao"/>
            <w:rFonts w:ascii="Times New Roman" w:hAnsi="Times New Roman"/>
            <w:noProof/>
            <w:sz w:val="20"/>
            <w:szCs w:val="20"/>
          </w:rPr>
          <w:t>3.</w:t>
        </w:r>
        <w:r w:rsidR="00EE5F92" w:rsidRPr="00BE0248">
          <w:rPr>
            <w:rStyle w:val="Hiperligao"/>
            <w:rFonts w:ascii="Times New Roman" w:hAnsi="Times New Roman"/>
            <w:noProof/>
            <w:sz w:val="20"/>
            <w:szCs w:val="20"/>
          </w:rPr>
          <w:t>5</w:t>
        </w:r>
        <w:r w:rsidR="00BB7875" w:rsidRPr="00BE0248">
          <w:rPr>
            <w:rStyle w:val="Hiperligao"/>
            <w:rFonts w:ascii="Times New Roman" w:hAnsi="Times New Roman"/>
            <w:noProof/>
            <w:sz w:val="20"/>
            <w:szCs w:val="20"/>
          </w:rPr>
          <w:t xml:space="preserve"> L’ANALYSE COMPARATIVE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_Toc73459732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33</w:t>
        </w:r>
        <w:r w:rsidR="00BB7875" w:rsidRPr="00BE0248">
          <w:rPr>
            <w:noProof/>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33"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4.</w:t>
        </w:r>
        <w:r w:rsidR="00BB7875" w:rsidRPr="00BE0248">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DESCRIPTION DU MILIEU RECEPTEUR</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_Toc73459733 \h </w:instrText>
        </w:r>
        <w:r w:rsidR="00BB7875" w:rsidRPr="00BE0248">
          <w:rPr>
            <w:webHidden/>
            <w:sz w:val="20"/>
            <w:szCs w:val="20"/>
          </w:rPr>
        </w:r>
        <w:r w:rsidR="00BB7875" w:rsidRPr="00BE0248">
          <w:rPr>
            <w:webHidden/>
            <w:sz w:val="20"/>
            <w:szCs w:val="20"/>
          </w:rPr>
          <w:fldChar w:fldCharType="separate"/>
        </w:r>
        <w:r w:rsidR="00A31E4F">
          <w:rPr>
            <w:webHidden/>
            <w:sz w:val="20"/>
            <w:szCs w:val="20"/>
          </w:rPr>
          <w:t>34</w:t>
        </w:r>
        <w:r w:rsidR="00BB7875" w:rsidRPr="00BE0248">
          <w:rPr>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r:id="rId19" w:anchor="_Toc73459734" w:history="1">
        <w:r w:rsidR="00BB7875" w:rsidRPr="00BE0248">
          <w:rPr>
            <w:rStyle w:val="Hiperligao"/>
            <w:rFonts w:ascii="Times New Roman" w:hAnsi="Times New Roman"/>
            <w:noProof/>
            <w:sz w:val="20"/>
            <w:szCs w:val="20"/>
          </w:rPr>
          <w:t>4.1. SITUATION GEOGRAPHIQUE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_Toc73459734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35</w:t>
        </w:r>
        <w:r w:rsidR="00BB7875" w:rsidRPr="00BE0248">
          <w:rPr>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35" w:history="1">
        <w:r w:rsidR="00BB7875" w:rsidRPr="00BE0248">
          <w:rPr>
            <w:rStyle w:val="Hiperligao"/>
            <w:rFonts w:ascii="Times New Roman" w:hAnsi="Times New Roman"/>
            <w:noProof/>
            <w:sz w:val="20"/>
            <w:szCs w:val="20"/>
          </w:rPr>
          <w:t>4.2. ENVIRONNEMENT PHYSIQUE ET BIOPHYSIQUE DE LA ZONE D’INFLUENCE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_Toc73459735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36</w:t>
        </w:r>
        <w:r w:rsidR="00BB7875" w:rsidRPr="00BE0248">
          <w:rPr>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36" w:history="1">
        <w:r w:rsidR="00BB7875" w:rsidRPr="00BE0248">
          <w:rPr>
            <w:rStyle w:val="Hiperligao"/>
            <w:rFonts w:ascii="Times New Roman" w:hAnsi="Times New Roman"/>
            <w:noProof/>
            <w:sz w:val="20"/>
            <w:szCs w:val="20"/>
          </w:rPr>
          <w:t>4.4. Activités socio-économiques et culturelles de la zone d’implantation du projet</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_Toc73459736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43</w:t>
        </w:r>
        <w:r w:rsidR="00BB7875" w:rsidRPr="00BE0248">
          <w:rPr>
            <w:noProof/>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37"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5.</w:t>
        </w:r>
        <w:r w:rsidR="00BB7875" w:rsidRPr="00BE0248">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ENJEUX ENVIRONNEMENTAUX ET SOCIAUX</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_Toc73459737 \h </w:instrText>
        </w:r>
        <w:r w:rsidR="00BB7875" w:rsidRPr="00BE0248">
          <w:rPr>
            <w:webHidden/>
            <w:sz w:val="20"/>
            <w:szCs w:val="20"/>
          </w:rPr>
        </w:r>
        <w:r w:rsidR="00BB7875" w:rsidRPr="00BE0248">
          <w:rPr>
            <w:webHidden/>
            <w:sz w:val="20"/>
            <w:szCs w:val="20"/>
          </w:rPr>
          <w:fldChar w:fldCharType="separate"/>
        </w:r>
        <w:r w:rsidR="00A31E4F">
          <w:rPr>
            <w:webHidden/>
            <w:sz w:val="20"/>
            <w:szCs w:val="20"/>
          </w:rPr>
          <w:t>50</w:t>
        </w:r>
        <w:r w:rsidR="00BB7875" w:rsidRPr="00BE0248">
          <w:rPr>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38" w:history="1">
        <w:r w:rsidR="00BB7875" w:rsidRPr="00BE0248">
          <w:rPr>
            <w:rStyle w:val="Hiperligao"/>
            <w:rFonts w:ascii="Times New Roman" w:hAnsi="Times New Roman"/>
            <w:noProof/>
            <w:sz w:val="20"/>
            <w:szCs w:val="20"/>
          </w:rPr>
          <w:t>5.1</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Les enjeux politiques et juridiques</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_Toc73459738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50</w:t>
        </w:r>
        <w:r w:rsidR="00BB7875" w:rsidRPr="00BE0248">
          <w:rPr>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39" w:history="1">
        <w:r w:rsidR="00BB7875" w:rsidRPr="00BE0248">
          <w:rPr>
            <w:rStyle w:val="Hiperligao"/>
            <w:rFonts w:ascii="Times New Roman" w:hAnsi="Times New Roman"/>
            <w:noProof/>
            <w:sz w:val="20"/>
            <w:szCs w:val="20"/>
          </w:rPr>
          <w:t>5.2</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Enjeux du projet PUSA</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_Toc73459739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51</w:t>
        </w:r>
        <w:r w:rsidR="00BB7875" w:rsidRPr="00BE0248">
          <w:rPr>
            <w:noProof/>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40"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6.</w:t>
        </w:r>
        <w:r w:rsidR="00BB7875" w:rsidRPr="00BE0248">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ANALYSE DES ALTERNATIVES ;</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_Toc73459740 \h </w:instrText>
        </w:r>
        <w:r w:rsidR="00BB7875" w:rsidRPr="00BE0248">
          <w:rPr>
            <w:webHidden/>
            <w:sz w:val="20"/>
            <w:szCs w:val="20"/>
          </w:rPr>
        </w:r>
        <w:r w:rsidR="00BB7875" w:rsidRPr="00BE0248">
          <w:rPr>
            <w:webHidden/>
            <w:sz w:val="20"/>
            <w:szCs w:val="20"/>
          </w:rPr>
          <w:fldChar w:fldCharType="separate"/>
        </w:r>
        <w:r w:rsidR="00A31E4F">
          <w:rPr>
            <w:webHidden/>
            <w:sz w:val="20"/>
            <w:szCs w:val="20"/>
          </w:rPr>
          <w:t>56</w:t>
        </w:r>
        <w:r w:rsidR="00BB7875" w:rsidRPr="00BE0248">
          <w:rPr>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41" w:history="1">
        <w:r w:rsidR="00BB7875" w:rsidRPr="00BE0248">
          <w:rPr>
            <w:rStyle w:val="Hiperligao"/>
            <w:rFonts w:ascii="Times New Roman" w:hAnsi="Times New Roman"/>
            <w:noProof/>
            <w:sz w:val="20"/>
            <w:szCs w:val="20"/>
          </w:rPr>
          <w:t>6.1</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PRESENTATION ET ANALYSE DES ALTERNATIVES</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_Toc73459741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56</w:t>
        </w:r>
        <w:r w:rsidR="00BB7875" w:rsidRPr="00BE0248">
          <w:rPr>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42" w:history="1">
        <w:r w:rsidR="00BB7875" w:rsidRPr="00BE0248">
          <w:rPr>
            <w:rStyle w:val="Hiperligao"/>
            <w:rFonts w:ascii="Times New Roman" w:hAnsi="Times New Roman"/>
            <w:noProof/>
            <w:sz w:val="20"/>
            <w:szCs w:val="20"/>
          </w:rPr>
          <w:t>6.2</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ANALYSE MULTICRITERE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_Toc73459742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56</w:t>
        </w:r>
        <w:r w:rsidR="00BB7875" w:rsidRPr="00BE0248">
          <w:rPr>
            <w:noProof/>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43"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7.</w:t>
        </w:r>
        <w:r w:rsidR="00BB7875" w:rsidRPr="00BE0248">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L’ANALYSE DES RISQUES ET DES IMPACTS PREVISIONNELS SUR L’ENVIRONNEMENT ET LE SOCIAL</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_Toc73459743 \h </w:instrText>
        </w:r>
        <w:r w:rsidR="00BB7875" w:rsidRPr="00BE0248">
          <w:rPr>
            <w:webHidden/>
            <w:sz w:val="20"/>
            <w:szCs w:val="20"/>
          </w:rPr>
        </w:r>
        <w:r w:rsidR="00BB7875" w:rsidRPr="00BE0248">
          <w:rPr>
            <w:webHidden/>
            <w:sz w:val="20"/>
            <w:szCs w:val="20"/>
          </w:rPr>
          <w:fldChar w:fldCharType="separate"/>
        </w:r>
        <w:r w:rsidR="00A31E4F">
          <w:rPr>
            <w:webHidden/>
            <w:sz w:val="20"/>
            <w:szCs w:val="20"/>
          </w:rPr>
          <w:t>59</w:t>
        </w:r>
        <w:r w:rsidR="00BB7875" w:rsidRPr="00BE0248">
          <w:rPr>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44" w:history="1">
        <w:r w:rsidR="00BB7875" w:rsidRPr="00BE0248">
          <w:rPr>
            <w:rStyle w:val="Hiperligao"/>
            <w:rFonts w:ascii="Times New Roman" w:hAnsi="Times New Roman"/>
            <w:noProof/>
            <w:sz w:val="20"/>
            <w:szCs w:val="20"/>
          </w:rPr>
          <w:t>7.1</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IMPACTS POSITIFS DU PROJET</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_Toc73459744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60</w:t>
        </w:r>
        <w:r w:rsidR="00BB7875" w:rsidRPr="00BE0248">
          <w:rPr>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45" w:history="1">
        <w:r w:rsidR="00BB7875" w:rsidRPr="00BE0248">
          <w:rPr>
            <w:rStyle w:val="Hiperligao"/>
            <w:rFonts w:ascii="Times New Roman" w:hAnsi="Times New Roman"/>
            <w:b w:val="0"/>
            <w:noProof/>
            <w:sz w:val="20"/>
            <w:szCs w:val="20"/>
          </w:rPr>
          <w:t>7.1.1</w:t>
        </w:r>
        <w:r w:rsidR="00EE5F92"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Les impacts positifs du projet</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_Toc73459745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60</w:t>
        </w:r>
        <w:r w:rsidR="00BB7875" w:rsidRPr="00BE0248">
          <w:rPr>
            <w:rStyle w:val="Hiperligao"/>
            <w:rFonts w:ascii="Times New Roman" w:hAnsi="Times New Roman"/>
            <w:b w:val="0"/>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46" w:history="1">
        <w:r w:rsidR="00BB7875" w:rsidRPr="00BE0248">
          <w:rPr>
            <w:rStyle w:val="Hiperligao"/>
            <w:rFonts w:ascii="Times New Roman" w:hAnsi="Times New Roman"/>
            <w:noProof/>
            <w:sz w:val="20"/>
            <w:szCs w:val="20"/>
          </w:rPr>
          <w:t>7.2</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IMPACTS NEGATIFS DU PROJET</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_Toc73459746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64</w:t>
        </w:r>
        <w:r w:rsidR="00BB7875" w:rsidRPr="00BE0248">
          <w:rPr>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47" w:history="1">
        <w:r w:rsidR="00BB7875" w:rsidRPr="00BE0248">
          <w:rPr>
            <w:rStyle w:val="Hiperligao"/>
            <w:rFonts w:ascii="Times New Roman" w:hAnsi="Times New Roman"/>
            <w:noProof/>
            <w:sz w:val="20"/>
            <w:szCs w:val="20"/>
          </w:rPr>
          <w:t>7.3</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Atténuation et/ou évitement des impacts négatifs du projet</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_Toc73459747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67</w:t>
        </w:r>
        <w:r w:rsidR="00BB7875" w:rsidRPr="00BE0248">
          <w:rPr>
            <w:noProof/>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48"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8.</w:t>
        </w:r>
        <w:r w:rsidR="00BB7875" w:rsidRPr="00BE0248">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PROCEDURE DE GESTION ENVIRONNEMENTALE ET SOCIALE</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_Toc73459748 \h </w:instrText>
        </w:r>
        <w:r w:rsidR="00BB7875" w:rsidRPr="00BE0248">
          <w:rPr>
            <w:webHidden/>
            <w:sz w:val="20"/>
            <w:szCs w:val="20"/>
          </w:rPr>
        </w:r>
        <w:r w:rsidR="00BB7875" w:rsidRPr="00BE0248">
          <w:rPr>
            <w:webHidden/>
            <w:sz w:val="20"/>
            <w:szCs w:val="20"/>
          </w:rPr>
          <w:fldChar w:fldCharType="separate"/>
        </w:r>
        <w:r w:rsidR="00A31E4F">
          <w:rPr>
            <w:webHidden/>
            <w:sz w:val="20"/>
            <w:szCs w:val="20"/>
          </w:rPr>
          <w:t>75</w:t>
        </w:r>
        <w:r w:rsidR="00BB7875" w:rsidRPr="00BE0248">
          <w:rPr>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49" w:history="1">
        <w:r w:rsidR="00BB7875" w:rsidRPr="00BE0248">
          <w:rPr>
            <w:rStyle w:val="Hiperligao"/>
            <w:rFonts w:ascii="Times New Roman" w:hAnsi="Times New Roman"/>
            <w:noProof/>
            <w:sz w:val="20"/>
            <w:szCs w:val="20"/>
          </w:rPr>
          <w:t>8.1</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LES DIFFERENTES ETAPES DE LA MISE EN PLACE DE LA PROCEDURE DE GESTION ENVIRONNEMENTALE ET SOCIALE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_Toc73459749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75</w:t>
        </w:r>
        <w:r w:rsidR="00BB7875" w:rsidRPr="00BE0248">
          <w:rPr>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50" w:history="1">
        <w:r w:rsidR="00BB7875" w:rsidRPr="00BE0248">
          <w:rPr>
            <w:rStyle w:val="Hiperligao"/>
            <w:rFonts w:ascii="Times New Roman" w:hAnsi="Times New Roman"/>
            <w:noProof/>
            <w:sz w:val="20"/>
            <w:szCs w:val="20"/>
          </w:rPr>
          <w:t>8.2</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MESURES D’ATTENUATION</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_Toc73459750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75</w:t>
        </w:r>
        <w:r w:rsidR="00BB7875" w:rsidRPr="00BE0248">
          <w:rPr>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51" w:history="1">
        <w:r w:rsidR="00BB7875" w:rsidRPr="00BE0248">
          <w:rPr>
            <w:rStyle w:val="Hiperligao"/>
            <w:rFonts w:ascii="Times New Roman" w:hAnsi="Times New Roman"/>
            <w:noProof/>
            <w:sz w:val="20"/>
            <w:szCs w:val="20"/>
          </w:rPr>
          <w:t>8.3</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Procédure de gestion environnementale et sociale des sous-projets</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_Toc73459751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76</w:t>
        </w:r>
        <w:r w:rsidR="00BB7875" w:rsidRPr="00BE0248">
          <w:rPr>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52" w:history="1">
        <w:r w:rsidR="00BB7875" w:rsidRPr="00BE0248">
          <w:rPr>
            <w:rStyle w:val="Hiperligao"/>
            <w:rFonts w:ascii="Times New Roman" w:hAnsi="Times New Roman"/>
            <w:b w:val="0"/>
            <w:noProof/>
            <w:sz w:val="20"/>
            <w:szCs w:val="20"/>
          </w:rPr>
          <w:t>8.3.1</w:t>
        </w:r>
        <w:r w:rsidR="00EE5F92"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Le processus et les étapes de sélection environnementale et sociale des activités PUSA</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_Toc73459752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76</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53" w:history="1">
        <w:r w:rsidR="00BB7875" w:rsidRPr="00BE0248">
          <w:rPr>
            <w:rStyle w:val="Hiperligao"/>
            <w:rFonts w:ascii="Times New Roman" w:hAnsi="Times New Roman"/>
            <w:b w:val="0"/>
            <w:noProof/>
            <w:sz w:val="20"/>
            <w:szCs w:val="20"/>
          </w:rPr>
          <w:t>8.3.2</w:t>
        </w:r>
        <w:r w:rsidR="00EE5F92" w:rsidRPr="00BE0248">
          <w:rPr>
            <w:rStyle w:val="Hiperligao"/>
            <w:rFonts w:ascii="Times New Roman" w:hAnsi="Times New Roman"/>
            <w:b w:val="0"/>
            <w:noProof/>
            <w:sz w:val="20"/>
            <w:szCs w:val="20"/>
          </w:rPr>
          <w:t xml:space="preserve"> </w:t>
        </w:r>
        <w:r w:rsidR="00BB7875" w:rsidRPr="00BE0248">
          <w:rPr>
            <w:rStyle w:val="Hiperligao"/>
            <w:rFonts w:ascii="Times New Roman" w:hAnsi="Times New Roman"/>
            <w:b w:val="0"/>
            <w:noProof/>
            <w:sz w:val="20"/>
            <w:szCs w:val="20"/>
          </w:rPr>
          <w:t>Etape 3 : Réalisation du « travail » environnemental et social</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_Toc73459753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78</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54" w:history="1">
        <w:r w:rsidR="00BB7875" w:rsidRPr="00BE0248">
          <w:rPr>
            <w:rStyle w:val="Hiperligao"/>
            <w:rFonts w:ascii="Times New Roman" w:hAnsi="Times New Roman"/>
            <w:b w:val="0"/>
            <w:noProof/>
            <w:sz w:val="20"/>
            <w:szCs w:val="20"/>
          </w:rPr>
          <w:t>8.3.3</w:t>
        </w:r>
        <w:r w:rsidR="00EE5F92" w:rsidRPr="00BE0248">
          <w:rPr>
            <w:rStyle w:val="Hiperligao"/>
            <w:rFonts w:ascii="Times New Roman" w:hAnsi="Times New Roman"/>
            <w:b w:val="0"/>
            <w:noProof/>
            <w:sz w:val="20"/>
            <w:szCs w:val="20"/>
          </w:rPr>
          <w:t xml:space="preserve"> </w:t>
        </w:r>
        <w:r w:rsidR="00BB7875" w:rsidRPr="00BE0248">
          <w:rPr>
            <w:rStyle w:val="Hiperligao"/>
            <w:rFonts w:ascii="Times New Roman" w:hAnsi="Times New Roman"/>
            <w:b w:val="0"/>
            <w:noProof/>
            <w:sz w:val="20"/>
            <w:szCs w:val="20"/>
          </w:rPr>
          <w:t>Intégration dans DAO</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_Toc73459754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80</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55" w:history="1">
        <w:r w:rsidR="00BB7875" w:rsidRPr="00BE0248">
          <w:rPr>
            <w:rStyle w:val="Hiperligao"/>
            <w:rFonts w:ascii="Times New Roman" w:hAnsi="Times New Roman"/>
            <w:b w:val="0"/>
            <w:noProof/>
            <w:sz w:val="20"/>
            <w:szCs w:val="20"/>
          </w:rPr>
          <w:t>8.3.4</w:t>
        </w:r>
        <w:r w:rsidR="00EE5F92" w:rsidRPr="00BE0248">
          <w:rPr>
            <w:rStyle w:val="Hiperligao"/>
            <w:rFonts w:ascii="Times New Roman" w:hAnsi="Times New Roman"/>
            <w:b w:val="0"/>
            <w:noProof/>
            <w:sz w:val="20"/>
            <w:szCs w:val="20"/>
          </w:rPr>
          <w:t xml:space="preserve"> </w:t>
        </w:r>
        <w:r w:rsidR="00BB7875" w:rsidRPr="00BE0248">
          <w:rPr>
            <w:rStyle w:val="Hiperligao"/>
            <w:rFonts w:ascii="Times New Roman" w:hAnsi="Times New Roman"/>
            <w:b w:val="0"/>
            <w:noProof/>
            <w:sz w:val="20"/>
            <w:szCs w:val="20"/>
          </w:rPr>
          <w:t>La supervision et le suivi-évaluation</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_Toc73459755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80</w:t>
        </w:r>
        <w:r w:rsidR="00BB7875" w:rsidRPr="00BE0248">
          <w:rPr>
            <w:rStyle w:val="Hiperligao"/>
            <w:rFonts w:ascii="Times New Roman" w:hAnsi="Times New Roman"/>
            <w:b w:val="0"/>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56" w:history="1">
        <w:r w:rsidR="00BB7875" w:rsidRPr="00BE0248">
          <w:rPr>
            <w:rStyle w:val="Hiperligao"/>
            <w:rFonts w:ascii="Times New Roman" w:hAnsi="Times New Roman"/>
            <w:noProof/>
            <w:sz w:val="20"/>
            <w:szCs w:val="20"/>
          </w:rPr>
          <w:t>8.4</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Arrangements institutionnels et recommandations de mise en œuvre du CGES</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_Toc73459756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81</w:t>
        </w:r>
        <w:r w:rsidR="00BB7875" w:rsidRPr="00BE0248">
          <w:rPr>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57" w:history="1">
        <w:r w:rsidR="00BB7875" w:rsidRPr="00BE0248">
          <w:rPr>
            <w:rStyle w:val="Hiperligao"/>
            <w:rFonts w:ascii="Times New Roman" w:hAnsi="Times New Roman"/>
            <w:b w:val="0"/>
            <w:noProof/>
            <w:sz w:val="20"/>
            <w:szCs w:val="20"/>
          </w:rPr>
          <w:t>8.4.1</w:t>
        </w:r>
        <w:r w:rsidR="00EE5F92"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Les indicateurs de suivi du processus de mise en œuvre du projet</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_Toc73459757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83</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EE5F92">
      <w:pPr>
        <w:pStyle w:val="ndice2"/>
        <w:tabs>
          <w:tab w:val="left" w:pos="960"/>
        </w:tabs>
        <w:ind w:left="708"/>
        <w:rPr>
          <w:rStyle w:val="Hiperligao"/>
          <w:rFonts w:ascii="Times New Roman" w:hAnsi="Times New Roman"/>
          <w:noProof/>
          <w:sz w:val="20"/>
          <w:szCs w:val="20"/>
        </w:rPr>
      </w:pPr>
      <w:hyperlink w:anchor="_Toc73459758" w:history="1">
        <w:r w:rsidR="00BB7875" w:rsidRPr="00BE0248">
          <w:rPr>
            <w:rStyle w:val="Hiperligao"/>
            <w:rFonts w:ascii="Times New Roman" w:hAnsi="Times New Roman"/>
            <w:b w:val="0"/>
            <w:noProof/>
            <w:sz w:val="20"/>
            <w:szCs w:val="20"/>
          </w:rPr>
          <w:t>8.4.2</w:t>
        </w:r>
        <w:r w:rsidR="00EE5F92"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Calendrier de mise en œuvre des mesures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_Toc73459758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88</w:t>
        </w:r>
        <w:r w:rsidR="00BB7875" w:rsidRPr="00BE0248">
          <w:rPr>
            <w:rStyle w:val="Hiperligao"/>
            <w:rFonts w:ascii="Times New Roman" w:hAnsi="Times New Roman"/>
            <w:b w:val="0"/>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59" w:history="1">
        <w:r w:rsidR="00BB7875" w:rsidRPr="00BE0248">
          <w:rPr>
            <w:rStyle w:val="Hiperligao"/>
            <w:rFonts w:ascii="Times New Roman" w:hAnsi="Times New Roman"/>
            <w:noProof/>
            <w:sz w:val="20"/>
            <w:szCs w:val="20"/>
          </w:rPr>
          <w:t>8.5</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DESCRIPTION DU RENFORCEMENT DES CAPACITES, DE LA FORMATION ET DE L’ASSISTANCE TECHNIQUE</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_Toc73459759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89</w:t>
        </w:r>
        <w:r w:rsidR="00BB7875" w:rsidRPr="00BE0248">
          <w:rPr>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60" w:history="1">
        <w:r w:rsidR="00485BA4" w:rsidRPr="00BE0248">
          <w:rPr>
            <w:rStyle w:val="Hiperligao"/>
            <w:rFonts w:ascii="Times New Roman" w:hAnsi="Times New Roman"/>
            <w:b w:val="0"/>
            <w:noProof/>
            <w:sz w:val="20"/>
            <w:szCs w:val="20"/>
          </w:rPr>
          <w:t xml:space="preserve">8.5.1 </w:t>
        </w:r>
        <w:r w:rsidR="00BB7875" w:rsidRPr="00BE0248">
          <w:rPr>
            <w:rStyle w:val="Hiperligao"/>
            <w:rFonts w:ascii="Times New Roman" w:hAnsi="Times New Roman"/>
            <w:b w:val="0"/>
            <w:noProof/>
            <w:sz w:val="20"/>
            <w:szCs w:val="20"/>
          </w:rPr>
          <w:t>Responsabilité de mise en œuvre de la sélection environnementale et sociale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_Toc73459760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89</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61" w:history="1">
        <w:r w:rsidR="00BB7875" w:rsidRPr="00BE0248">
          <w:rPr>
            <w:rStyle w:val="Hiperligao"/>
            <w:rFonts w:ascii="Times New Roman" w:hAnsi="Times New Roman"/>
            <w:b w:val="0"/>
            <w:noProof/>
            <w:sz w:val="20"/>
            <w:szCs w:val="20"/>
          </w:rPr>
          <w:t>8.5.2</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Recommandations pour la gestion environnementale et sociale du projet</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_Toc73459761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89</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62" w:history="1">
        <w:r w:rsidR="00BB7875" w:rsidRPr="00BE0248">
          <w:rPr>
            <w:rStyle w:val="Hiperligao"/>
            <w:rFonts w:ascii="Times New Roman" w:hAnsi="Times New Roman"/>
            <w:b w:val="0"/>
            <w:noProof/>
            <w:sz w:val="20"/>
            <w:szCs w:val="20"/>
          </w:rPr>
          <w:t>8.5.3</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Evaluation des capacités des parties prenantes en matière de gestion environnementale et sociale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_Toc73459762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92</w:t>
        </w:r>
        <w:r w:rsidR="00BB7875" w:rsidRPr="00BE0248">
          <w:rPr>
            <w:rStyle w:val="Hiperligao"/>
            <w:rFonts w:ascii="Times New Roman" w:hAnsi="Times New Roman"/>
            <w:b w:val="0"/>
            <w:noProof/>
            <w:webHidden/>
            <w:sz w:val="20"/>
            <w:szCs w:val="20"/>
          </w:rPr>
          <w:fldChar w:fldCharType="end"/>
        </w:r>
      </w:hyperlink>
    </w:p>
    <w:p w:rsidR="00BB7875" w:rsidRPr="00BE0248" w:rsidRDefault="00D00D1D">
      <w:pPr>
        <w:pStyle w:val="ndice2"/>
        <w:rPr>
          <w:rFonts w:eastAsiaTheme="minorEastAsia" w:cstheme="minorBidi"/>
          <w:b w:val="0"/>
          <w:bCs w:val="0"/>
          <w:noProof/>
          <w:sz w:val="20"/>
          <w:szCs w:val="20"/>
        </w:rPr>
      </w:pPr>
      <w:hyperlink w:anchor="_Toc73459763" w:history="1">
        <w:r w:rsidR="007064D4">
          <w:rPr>
            <w:rStyle w:val="Hiperligao"/>
            <w:rFonts w:ascii="Times New Roman" w:hAnsi="Times New Roman"/>
            <w:noProof/>
            <w:sz w:val="20"/>
            <w:szCs w:val="20"/>
          </w:rPr>
          <w:t>8.6</w:t>
        </w:r>
        <w:r w:rsidR="00BB7875" w:rsidRPr="00BE0248">
          <w:rPr>
            <w:rStyle w:val="Hiperligao"/>
            <w:rFonts w:ascii="Times New Roman" w:hAnsi="Times New Roman"/>
            <w:noProof/>
            <w:sz w:val="20"/>
            <w:szCs w:val="20"/>
          </w:rPr>
          <w:t>. Evaluation des coûts des mesures environnementales et sociales</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_Toc73459763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94</w:t>
        </w:r>
        <w:r w:rsidR="00BB7875" w:rsidRPr="00BE0248">
          <w:rPr>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64" w:history="1">
        <w:r w:rsidR="007064D4">
          <w:rPr>
            <w:rStyle w:val="Hiperligao"/>
            <w:rFonts w:ascii="Times New Roman" w:hAnsi="Times New Roman"/>
            <w:noProof/>
            <w:sz w:val="20"/>
            <w:szCs w:val="20"/>
          </w:rPr>
          <w:t>8.7</w:t>
        </w:r>
        <w:r w:rsidR="007064D4">
          <w:rPr>
            <w:rFonts w:eastAsiaTheme="minorEastAsia" w:cstheme="minorBidi"/>
            <w:b w:val="0"/>
            <w:bCs w:val="0"/>
            <w:noProof/>
            <w:sz w:val="20"/>
            <w:szCs w:val="20"/>
          </w:rPr>
          <w:t xml:space="preserve"> </w:t>
        </w:r>
        <w:r w:rsidR="00BB7875" w:rsidRPr="00BE0248">
          <w:rPr>
            <w:rStyle w:val="Hiperligao"/>
            <w:rFonts w:ascii="Times New Roman" w:hAnsi="Times New Roman"/>
            <w:noProof/>
            <w:sz w:val="20"/>
            <w:szCs w:val="20"/>
          </w:rPr>
          <w:t>CONSULTATION DU PUBLIC</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_Toc73459764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95</w:t>
        </w:r>
        <w:r w:rsidR="00BB7875" w:rsidRPr="00BE0248">
          <w:rPr>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65" w:history="1">
        <w:r w:rsidR="007064D4">
          <w:rPr>
            <w:rStyle w:val="Hiperligao"/>
            <w:rFonts w:ascii="Times New Roman" w:hAnsi="Times New Roman"/>
            <w:b w:val="0"/>
            <w:noProof/>
            <w:sz w:val="20"/>
            <w:szCs w:val="20"/>
          </w:rPr>
          <w:t>8.7</w:t>
        </w:r>
        <w:r w:rsidR="00485BA4" w:rsidRPr="00BE0248">
          <w:rPr>
            <w:rStyle w:val="Hiperligao"/>
            <w:rFonts w:ascii="Times New Roman" w:hAnsi="Times New Roman"/>
            <w:b w:val="0"/>
            <w:noProof/>
            <w:sz w:val="20"/>
            <w:szCs w:val="20"/>
          </w:rPr>
          <w:t>.1 objectifs de la consultation</w:t>
        </w:r>
        <w:r w:rsidR="00485BA4"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_Toc73459765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95</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66" w:history="1">
        <w:r w:rsidR="007064D4">
          <w:rPr>
            <w:rStyle w:val="Hiperligao"/>
            <w:rFonts w:ascii="Times New Roman" w:hAnsi="Times New Roman"/>
            <w:b w:val="0"/>
            <w:noProof/>
            <w:sz w:val="20"/>
            <w:szCs w:val="20"/>
          </w:rPr>
          <w:t>8.7</w:t>
        </w:r>
        <w:r w:rsidR="00485BA4" w:rsidRPr="00BE0248">
          <w:rPr>
            <w:rStyle w:val="Hiperligao"/>
            <w:rFonts w:ascii="Times New Roman" w:hAnsi="Times New Roman"/>
            <w:b w:val="0"/>
            <w:noProof/>
            <w:sz w:val="20"/>
            <w:szCs w:val="20"/>
          </w:rPr>
          <w:t>.2</w:t>
        </w:r>
        <w:r w:rsidR="00485BA4" w:rsidRPr="00BE0248">
          <w:rPr>
            <w:rStyle w:val="Hiperligao"/>
            <w:rFonts w:ascii="Times New Roman" w:hAnsi="Times New Roman"/>
            <w:noProof/>
            <w:sz w:val="20"/>
            <w:szCs w:val="20"/>
          </w:rPr>
          <w:t xml:space="preserve"> </w:t>
        </w:r>
        <w:r w:rsidR="00485BA4" w:rsidRPr="00BE0248">
          <w:rPr>
            <w:rStyle w:val="Hiperligao"/>
            <w:rFonts w:ascii="Times New Roman" w:hAnsi="Times New Roman"/>
            <w:b w:val="0"/>
            <w:noProof/>
            <w:sz w:val="20"/>
            <w:szCs w:val="20"/>
          </w:rPr>
          <w:t>methodologie et mise en œuvre de la consultation</w:t>
        </w:r>
        <w:r w:rsidR="00485BA4"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_Toc73459766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96</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68" w:history="1">
        <w:r w:rsidR="00485BA4"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7</w:t>
        </w:r>
        <w:r w:rsidR="00485BA4" w:rsidRPr="00BE0248">
          <w:rPr>
            <w:rStyle w:val="Hiperligao"/>
            <w:rFonts w:ascii="Times New Roman" w:hAnsi="Times New Roman"/>
            <w:b w:val="0"/>
            <w:noProof/>
            <w:sz w:val="20"/>
            <w:szCs w:val="20"/>
          </w:rPr>
          <w:t>.3</w:t>
        </w:r>
        <w:r w:rsidR="00485BA4" w:rsidRPr="00BE0248">
          <w:rPr>
            <w:rStyle w:val="Hiperligao"/>
            <w:rFonts w:ascii="Times New Roman" w:hAnsi="Times New Roman"/>
            <w:noProof/>
            <w:sz w:val="20"/>
            <w:szCs w:val="20"/>
          </w:rPr>
          <w:t xml:space="preserve"> </w:t>
        </w:r>
        <w:r w:rsidR="00485BA4" w:rsidRPr="00BE0248">
          <w:rPr>
            <w:rStyle w:val="Hiperligao"/>
            <w:rFonts w:ascii="Times New Roman" w:hAnsi="Times New Roman"/>
            <w:b w:val="0"/>
            <w:noProof/>
            <w:sz w:val="20"/>
            <w:szCs w:val="20"/>
          </w:rPr>
          <w:t>avis et perceptions institutionnels et sociaux du projet</w:t>
        </w:r>
        <w:r w:rsidR="00485BA4"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_Toc73459768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96</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69" w:history="1">
        <w:r w:rsidR="00485BA4"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7</w:t>
        </w:r>
        <w:r w:rsidR="00485BA4" w:rsidRPr="00BE0248">
          <w:rPr>
            <w:rStyle w:val="Hiperligao"/>
            <w:rFonts w:ascii="Times New Roman" w:hAnsi="Times New Roman"/>
            <w:b w:val="0"/>
            <w:noProof/>
            <w:sz w:val="20"/>
            <w:szCs w:val="20"/>
          </w:rPr>
          <w:t>.4</w:t>
        </w:r>
        <w:r w:rsidR="00485BA4" w:rsidRPr="00BE0248">
          <w:rPr>
            <w:rStyle w:val="Hiperligao"/>
            <w:rFonts w:ascii="Times New Roman" w:hAnsi="Times New Roman"/>
            <w:noProof/>
            <w:sz w:val="20"/>
            <w:szCs w:val="20"/>
          </w:rPr>
          <w:t xml:space="preserve"> </w:t>
        </w:r>
        <w:r w:rsidR="00485BA4" w:rsidRPr="00BE0248">
          <w:rPr>
            <w:rStyle w:val="Hiperligao"/>
            <w:rFonts w:ascii="Times New Roman" w:hAnsi="Times New Roman"/>
            <w:b w:val="0"/>
            <w:noProof/>
            <w:sz w:val="20"/>
            <w:szCs w:val="20"/>
          </w:rPr>
          <w:t>les preoccupations des acteurs rencontres</w:t>
        </w:r>
        <w:r w:rsidR="00485BA4"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_Toc73459769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97</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70" w:history="1">
        <w:r w:rsidR="00485BA4"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7</w:t>
        </w:r>
        <w:r w:rsidR="00485BA4" w:rsidRPr="00BE0248">
          <w:rPr>
            <w:rStyle w:val="Hiperligao"/>
            <w:rFonts w:ascii="Times New Roman" w:hAnsi="Times New Roman"/>
            <w:b w:val="0"/>
            <w:noProof/>
            <w:sz w:val="20"/>
            <w:szCs w:val="20"/>
          </w:rPr>
          <w:t>.5</w:t>
        </w:r>
        <w:r w:rsidR="00485BA4" w:rsidRPr="00BE0248">
          <w:rPr>
            <w:rStyle w:val="Hiperligao"/>
            <w:rFonts w:ascii="Times New Roman" w:hAnsi="Times New Roman"/>
            <w:noProof/>
            <w:sz w:val="20"/>
            <w:szCs w:val="20"/>
          </w:rPr>
          <w:t xml:space="preserve"> </w:t>
        </w:r>
        <w:r w:rsidR="00485BA4" w:rsidRPr="00BE0248">
          <w:rPr>
            <w:rStyle w:val="Hiperligao"/>
            <w:rFonts w:ascii="Times New Roman" w:hAnsi="Times New Roman"/>
            <w:b w:val="0"/>
            <w:noProof/>
            <w:sz w:val="20"/>
            <w:szCs w:val="20"/>
          </w:rPr>
          <w:t>les recommandations des acteurs</w:t>
        </w:r>
        <w:r w:rsidR="00485BA4"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_Toc73459770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97</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71" w:history="1">
        <w:r w:rsidR="00BB7875"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7</w:t>
        </w:r>
        <w:r w:rsidR="00BB7875" w:rsidRPr="00BE0248">
          <w:rPr>
            <w:rStyle w:val="Hiperligao"/>
            <w:rFonts w:ascii="Times New Roman" w:hAnsi="Times New Roman"/>
            <w:b w:val="0"/>
            <w:noProof/>
            <w:sz w:val="20"/>
            <w:szCs w:val="20"/>
          </w:rPr>
          <w:t>.6</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Conclusion Des Consultations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_Toc73459771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98</w:t>
        </w:r>
        <w:r w:rsidR="00BB7875" w:rsidRPr="00BE0248">
          <w:rPr>
            <w:rStyle w:val="Hiperligao"/>
            <w:rFonts w:ascii="Times New Roman" w:hAnsi="Times New Roman"/>
            <w:b w:val="0"/>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72" w:history="1">
        <w:r w:rsidR="007064D4">
          <w:rPr>
            <w:rStyle w:val="Hiperligao"/>
            <w:rFonts w:ascii="Times New Roman" w:hAnsi="Times New Roman"/>
            <w:noProof/>
            <w:sz w:val="20"/>
            <w:szCs w:val="20"/>
          </w:rPr>
          <w:t>8.8</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Plan de Mobilisation des Parties Prenantes (PMPP)</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_Toc73459772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99</w:t>
        </w:r>
        <w:r w:rsidR="00BB7875" w:rsidRPr="00BE0248">
          <w:rPr>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73" w:history="1">
        <w:r w:rsidR="00BB7875"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8</w:t>
        </w:r>
        <w:r w:rsidR="00BB7875" w:rsidRPr="00BE0248">
          <w:rPr>
            <w:rStyle w:val="Hiperligao"/>
            <w:rFonts w:ascii="Times New Roman" w:hAnsi="Times New Roman"/>
            <w:b w:val="0"/>
            <w:noProof/>
            <w:sz w:val="20"/>
            <w:szCs w:val="20"/>
          </w:rPr>
          <w:t>.1</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Identification et analyse des Parties Prenantes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_Toc73459773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99</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74" w:history="1">
        <w:r w:rsidR="00BB7875"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8</w:t>
        </w:r>
        <w:r w:rsidR="00BB7875" w:rsidRPr="00BE0248">
          <w:rPr>
            <w:rStyle w:val="Hiperligao"/>
            <w:rFonts w:ascii="Times New Roman" w:hAnsi="Times New Roman"/>
            <w:b w:val="0"/>
            <w:noProof/>
            <w:sz w:val="20"/>
            <w:szCs w:val="20"/>
          </w:rPr>
          <w:t>.2</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Programme de mobilisation des parties prenantes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_Toc73459774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100</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75" w:history="1">
        <w:r w:rsidR="00485BA4"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8</w:t>
        </w:r>
        <w:r w:rsidR="00485BA4" w:rsidRPr="00BE0248">
          <w:rPr>
            <w:rStyle w:val="Hiperligao"/>
            <w:rFonts w:ascii="Times New Roman" w:hAnsi="Times New Roman"/>
            <w:b w:val="0"/>
            <w:noProof/>
            <w:sz w:val="20"/>
            <w:szCs w:val="20"/>
          </w:rPr>
          <w:t>.2.</w:t>
        </w:r>
        <w:r w:rsidR="00BB7875" w:rsidRPr="00BE0248">
          <w:rPr>
            <w:rStyle w:val="Hiperligao"/>
            <w:rFonts w:ascii="Times New Roman" w:hAnsi="Times New Roman"/>
            <w:b w:val="0"/>
            <w:noProof/>
            <w:sz w:val="20"/>
            <w:szCs w:val="20"/>
          </w:rPr>
          <w:t>Les besoins et méthodes, outils et techniques des parties prenantes du projet pour l'engagement des parties prenantes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_Toc73459775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101</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76" w:history="1">
        <w:r w:rsidR="00BB7875"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8</w:t>
        </w:r>
        <w:r w:rsidR="00BB7875" w:rsidRPr="00BE0248">
          <w:rPr>
            <w:rStyle w:val="Hiperligao"/>
            <w:rFonts w:ascii="Times New Roman" w:hAnsi="Times New Roman"/>
            <w:b w:val="0"/>
            <w:noProof/>
            <w:sz w:val="20"/>
            <w:szCs w:val="20"/>
          </w:rPr>
          <w:t>.2.2</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Proposition de stratégie de consultation</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_Toc73459776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101</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77" w:history="1">
        <w:r w:rsidR="00BB7875"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8</w:t>
        </w:r>
        <w:r w:rsidR="00BB7875" w:rsidRPr="00BE0248">
          <w:rPr>
            <w:rStyle w:val="Hiperligao"/>
            <w:rFonts w:ascii="Times New Roman" w:hAnsi="Times New Roman"/>
            <w:b w:val="0"/>
            <w:noProof/>
            <w:sz w:val="20"/>
            <w:szCs w:val="20"/>
          </w:rPr>
          <w:t>.3</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Objectifs et calendrier de méthode de mobilisation</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_Toc73459777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101</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78" w:history="1">
        <w:r w:rsidR="00BB7875"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8</w:t>
        </w:r>
        <w:r w:rsidR="00BB7875" w:rsidRPr="00BE0248">
          <w:rPr>
            <w:rStyle w:val="Hiperligao"/>
            <w:rFonts w:ascii="Times New Roman" w:hAnsi="Times New Roman"/>
            <w:b w:val="0"/>
            <w:noProof/>
            <w:sz w:val="20"/>
            <w:szCs w:val="20"/>
          </w:rPr>
          <w:t>.4</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Stratégie proposée pour la diffusion des informations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_Toc73459778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102</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79" w:history="1">
        <w:r w:rsidR="00BB7875"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8</w:t>
        </w:r>
        <w:r w:rsidR="00BB7875" w:rsidRPr="00BE0248">
          <w:rPr>
            <w:rStyle w:val="Hiperligao"/>
            <w:rFonts w:ascii="Times New Roman" w:hAnsi="Times New Roman"/>
            <w:b w:val="0"/>
            <w:noProof/>
            <w:sz w:val="20"/>
            <w:szCs w:val="20"/>
          </w:rPr>
          <w:t>.4.1</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Méthodes de notification</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_Toc73459779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102</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82" w:history="1">
        <w:r w:rsidR="00BB7875"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8</w:t>
        </w:r>
        <w:r w:rsidR="00BB7875" w:rsidRPr="00BE0248">
          <w:rPr>
            <w:rStyle w:val="Hiperligao"/>
            <w:rFonts w:ascii="Times New Roman" w:hAnsi="Times New Roman"/>
            <w:b w:val="0"/>
            <w:noProof/>
            <w:sz w:val="20"/>
            <w:szCs w:val="20"/>
          </w:rPr>
          <w:t>.5</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Ressources et responsabilités pour la mise en œuvre des activités de mobilisation des parties prenantes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_Toc73459782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102</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83" w:history="1">
        <w:r w:rsidR="00BB7875" w:rsidRPr="00BE0248">
          <w:rPr>
            <w:rStyle w:val="Hiperligao"/>
            <w:rFonts w:ascii="Times New Roman" w:hAnsi="Times New Roman"/>
            <w:b w:val="0"/>
            <w:noProof/>
            <w:sz w:val="20"/>
            <w:szCs w:val="20"/>
          </w:rPr>
          <w:t>8.</w:t>
        </w:r>
        <w:r w:rsidR="007064D4">
          <w:rPr>
            <w:rStyle w:val="Hiperligao"/>
            <w:rFonts w:ascii="Times New Roman" w:hAnsi="Times New Roman"/>
            <w:b w:val="0"/>
            <w:noProof/>
            <w:sz w:val="20"/>
            <w:szCs w:val="20"/>
          </w:rPr>
          <w:t>8</w:t>
        </w:r>
        <w:r w:rsidR="00BB7875" w:rsidRPr="00BE0248">
          <w:rPr>
            <w:rStyle w:val="Hiperligao"/>
            <w:rFonts w:ascii="Times New Roman" w:hAnsi="Times New Roman"/>
            <w:b w:val="0"/>
            <w:noProof/>
            <w:sz w:val="20"/>
            <w:szCs w:val="20"/>
          </w:rPr>
          <w:t>.5.1</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A l’avenir dans le projet</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_Toc73459783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103</w:t>
        </w:r>
        <w:r w:rsidR="00BB7875" w:rsidRPr="00BE0248">
          <w:rPr>
            <w:rStyle w:val="Hiperligao"/>
            <w:rFonts w:ascii="Times New Roman" w:hAnsi="Times New Roman"/>
            <w:b w:val="0"/>
            <w:noProof/>
            <w:webHidden/>
            <w:sz w:val="20"/>
            <w:szCs w:val="20"/>
          </w:rPr>
          <w:fldChar w:fldCharType="end"/>
        </w:r>
      </w:hyperlink>
    </w:p>
    <w:p w:rsidR="00BB7875" w:rsidRPr="00BE0248" w:rsidRDefault="00D00D1D">
      <w:pPr>
        <w:pStyle w:val="ndice2"/>
        <w:tabs>
          <w:tab w:val="left" w:pos="960"/>
        </w:tabs>
        <w:rPr>
          <w:rFonts w:eastAsiaTheme="minorEastAsia" w:cstheme="minorBidi"/>
          <w:b w:val="0"/>
          <w:bCs w:val="0"/>
          <w:noProof/>
          <w:sz w:val="20"/>
          <w:szCs w:val="20"/>
        </w:rPr>
      </w:pPr>
      <w:hyperlink w:anchor="_Toc73459784" w:history="1">
        <w:r w:rsidR="007064D4">
          <w:rPr>
            <w:rStyle w:val="Hiperligao"/>
            <w:rFonts w:ascii="Times New Roman" w:hAnsi="Times New Roman"/>
            <w:noProof/>
            <w:sz w:val="20"/>
            <w:szCs w:val="20"/>
          </w:rPr>
          <w:t>8.9</w:t>
        </w:r>
        <w:r w:rsidR="00BB7875" w:rsidRPr="00BE0248">
          <w:rPr>
            <w:rFonts w:eastAsiaTheme="minorEastAsia" w:cstheme="minorBidi"/>
            <w:b w:val="0"/>
            <w:bCs w:val="0"/>
            <w:noProof/>
            <w:sz w:val="20"/>
            <w:szCs w:val="20"/>
          </w:rPr>
          <w:tab/>
        </w:r>
        <w:r w:rsidR="00BB7875" w:rsidRPr="00BE0248">
          <w:rPr>
            <w:rStyle w:val="Hiperligao"/>
            <w:rFonts w:ascii="Times New Roman" w:hAnsi="Times New Roman"/>
            <w:noProof/>
            <w:sz w:val="20"/>
            <w:szCs w:val="20"/>
          </w:rPr>
          <w:t>MECANISME DE GESTION DES PLAINTES</w:t>
        </w:r>
        <w:r w:rsidR="00BB7875" w:rsidRPr="00BE0248">
          <w:rPr>
            <w:noProof/>
            <w:webHidden/>
            <w:sz w:val="20"/>
            <w:szCs w:val="20"/>
          </w:rPr>
          <w:tab/>
        </w:r>
        <w:r w:rsidR="00BB7875" w:rsidRPr="00BE0248">
          <w:rPr>
            <w:noProof/>
            <w:webHidden/>
            <w:sz w:val="20"/>
            <w:szCs w:val="20"/>
          </w:rPr>
          <w:fldChar w:fldCharType="begin"/>
        </w:r>
        <w:r w:rsidR="00BB7875" w:rsidRPr="00BE0248">
          <w:rPr>
            <w:noProof/>
            <w:webHidden/>
            <w:sz w:val="20"/>
            <w:szCs w:val="20"/>
          </w:rPr>
          <w:instrText xml:space="preserve"> PAGEREF _Toc73459784 \h </w:instrText>
        </w:r>
        <w:r w:rsidR="00BB7875" w:rsidRPr="00BE0248">
          <w:rPr>
            <w:noProof/>
            <w:webHidden/>
            <w:sz w:val="20"/>
            <w:szCs w:val="20"/>
          </w:rPr>
        </w:r>
        <w:r w:rsidR="00BB7875" w:rsidRPr="00BE0248">
          <w:rPr>
            <w:noProof/>
            <w:webHidden/>
            <w:sz w:val="20"/>
            <w:szCs w:val="20"/>
          </w:rPr>
          <w:fldChar w:fldCharType="separate"/>
        </w:r>
        <w:r w:rsidR="00A31E4F">
          <w:rPr>
            <w:noProof/>
            <w:webHidden/>
            <w:sz w:val="20"/>
            <w:szCs w:val="20"/>
          </w:rPr>
          <w:t>103</w:t>
        </w:r>
        <w:r w:rsidR="00BB7875" w:rsidRPr="00BE0248">
          <w:rPr>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85" w:history="1">
        <w:r w:rsidR="00045EAE">
          <w:rPr>
            <w:rStyle w:val="Hiperligao"/>
            <w:rFonts w:ascii="Times New Roman" w:hAnsi="Times New Roman"/>
            <w:b w:val="0"/>
            <w:noProof/>
            <w:sz w:val="20"/>
            <w:szCs w:val="20"/>
          </w:rPr>
          <w:t>8.9</w:t>
        </w:r>
        <w:r w:rsidR="00BB7875" w:rsidRPr="00BE0248">
          <w:rPr>
            <w:rStyle w:val="Hiperligao"/>
            <w:rFonts w:ascii="Times New Roman" w:hAnsi="Times New Roman"/>
            <w:b w:val="0"/>
            <w:noProof/>
            <w:sz w:val="20"/>
            <w:szCs w:val="20"/>
          </w:rPr>
          <w:t>.1</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Organisation du Mécanisme de Gestion des Plaintes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_Toc73459785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103</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86" w:history="1">
        <w:r w:rsidR="00045EAE">
          <w:rPr>
            <w:rStyle w:val="Hiperligao"/>
            <w:rFonts w:ascii="Times New Roman" w:hAnsi="Times New Roman"/>
            <w:b w:val="0"/>
            <w:noProof/>
            <w:sz w:val="20"/>
            <w:szCs w:val="20"/>
          </w:rPr>
          <w:t>8.9</w:t>
        </w:r>
        <w:r w:rsidR="00BB7875" w:rsidRPr="00BE0248">
          <w:rPr>
            <w:rStyle w:val="Hiperligao"/>
            <w:rFonts w:ascii="Times New Roman" w:hAnsi="Times New Roman"/>
            <w:b w:val="0"/>
            <w:noProof/>
            <w:sz w:val="20"/>
            <w:szCs w:val="20"/>
          </w:rPr>
          <w:t>.2</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Description du MGP</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_Toc73459786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104</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87" w:history="1">
        <w:r w:rsidR="00BB7875" w:rsidRPr="00BE0248">
          <w:rPr>
            <w:rStyle w:val="Hiperligao"/>
            <w:rFonts w:ascii="Times New Roman" w:hAnsi="Times New Roman"/>
            <w:b w:val="0"/>
            <w:noProof/>
            <w:sz w:val="20"/>
            <w:szCs w:val="20"/>
          </w:rPr>
          <w:t>8.</w:t>
        </w:r>
        <w:r w:rsidR="00045EAE">
          <w:rPr>
            <w:rStyle w:val="Hiperligao"/>
            <w:rFonts w:ascii="Times New Roman" w:hAnsi="Times New Roman"/>
            <w:b w:val="0"/>
            <w:noProof/>
            <w:sz w:val="20"/>
            <w:szCs w:val="20"/>
          </w:rPr>
          <w:t>9</w:t>
        </w:r>
        <w:r w:rsidR="00BB7875" w:rsidRPr="00BE0248">
          <w:rPr>
            <w:rStyle w:val="Hiperligao"/>
            <w:rFonts w:ascii="Times New Roman" w:hAnsi="Times New Roman"/>
            <w:b w:val="0"/>
            <w:noProof/>
            <w:sz w:val="20"/>
            <w:szCs w:val="20"/>
          </w:rPr>
          <w:t>.3</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Lieux d'enregistrement des plaintes - Voies de recours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_Toc73459787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104</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88" w:history="1">
        <w:r w:rsidR="00BB7875" w:rsidRPr="00BE0248">
          <w:rPr>
            <w:rStyle w:val="Hiperligao"/>
            <w:rFonts w:ascii="Times New Roman" w:hAnsi="Times New Roman"/>
            <w:b w:val="0"/>
            <w:noProof/>
            <w:sz w:val="20"/>
            <w:szCs w:val="20"/>
          </w:rPr>
          <w:t>8.</w:t>
        </w:r>
        <w:r w:rsidR="00045EAE">
          <w:rPr>
            <w:rStyle w:val="Hiperligao"/>
            <w:rFonts w:ascii="Times New Roman" w:hAnsi="Times New Roman"/>
            <w:b w:val="0"/>
            <w:noProof/>
            <w:sz w:val="20"/>
            <w:szCs w:val="20"/>
          </w:rPr>
          <w:t>9</w:t>
        </w:r>
        <w:r w:rsidR="00BB7875" w:rsidRPr="00BE0248">
          <w:rPr>
            <w:rStyle w:val="Hiperligao"/>
            <w:rFonts w:ascii="Times New Roman" w:hAnsi="Times New Roman"/>
            <w:b w:val="0"/>
            <w:noProof/>
            <w:sz w:val="20"/>
            <w:szCs w:val="20"/>
          </w:rPr>
          <w:t>.4</w:t>
        </w:r>
        <w:r w:rsidR="00485BA4" w:rsidRPr="00BE0248">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Dispositions organisationnelles</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_Toc73459788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105</w:t>
        </w:r>
        <w:r w:rsidR="00BB7875" w:rsidRPr="00BE0248">
          <w:rPr>
            <w:rStyle w:val="Hiperligao"/>
            <w:rFonts w:ascii="Times New Roman" w:hAnsi="Times New Roman"/>
            <w:b w:val="0"/>
            <w:noProof/>
            <w:webHidden/>
            <w:sz w:val="20"/>
            <w:szCs w:val="20"/>
          </w:rPr>
          <w:fldChar w:fldCharType="end"/>
        </w:r>
      </w:hyperlink>
    </w:p>
    <w:p w:rsidR="00BB7875" w:rsidRPr="00BE0248" w:rsidRDefault="00D00D1D" w:rsidP="00485BA4">
      <w:pPr>
        <w:pStyle w:val="ndice2"/>
        <w:tabs>
          <w:tab w:val="left" w:pos="960"/>
        </w:tabs>
        <w:ind w:left="708"/>
        <w:rPr>
          <w:rStyle w:val="Hiperligao"/>
          <w:rFonts w:ascii="Times New Roman" w:hAnsi="Times New Roman"/>
          <w:noProof/>
          <w:sz w:val="20"/>
          <w:szCs w:val="20"/>
        </w:rPr>
      </w:pPr>
      <w:hyperlink w:anchor="_Toc73459789" w:history="1">
        <w:r w:rsidR="00BB7875" w:rsidRPr="00BE0248">
          <w:rPr>
            <w:rStyle w:val="Hiperligao"/>
            <w:rFonts w:ascii="Times New Roman" w:hAnsi="Times New Roman"/>
            <w:b w:val="0"/>
            <w:noProof/>
            <w:sz w:val="20"/>
            <w:szCs w:val="20"/>
          </w:rPr>
          <w:t>8.</w:t>
        </w:r>
        <w:r w:rsidR="00045EAE">
          <w:rPr>
            <w:rStyle w:val="Hiperligao"/>
            <w:rFonts w:ascii="Times New Roman" w:hAnsi="Times New Roman"/>
            <w:b w:val="0"/>
            <w:noProof/>
            <w:sz w:val="20"/>
            <w:szCs w:val="20"/>
          </w:rPr>
          <w:t>9</w:t>
        </w:r>
        <w:r w:rsidR="00BB7875" w:rsidRPr="00BE0248">
          <w:rPr>
            <w:rStyle w:val="Hiperligao"/>
            <w:rFonts w:ascii="Times New Roman" w:hAnsi="Times New Roman"/>
            <w:b w:val="0"/>
            <w:noProof/>
            <w:sz w:val="20"/>
            <w:szCs w:val="20"/>
          </w:rPr>
          <w:t>.5</w:t>
        </w:r>
        <w:r w:rsidR="007064D4">
          <w:rPr>
            <w:rStyle w:val="Hiperligao"/>
            <w:rFonts w:ascii="Times New Roman" w:hAnsi="Times New Roman"/>
            <w:noProof/>
            <w:sz w:val="20"/>
            <w:szCs w:val="20"/>
          </w:rPr>
          <w:t xml:space="preserve"> </w:t>
        </w:r>
        <w:r w:rsidR="00BB7875" w:rsidRPr="00BE0248">
          <w:rPr>
            <w:rStyle w:val="Hiperligao"/>
            <w:rFonts w:ascii="Times New Roman" w:hAnsi="Times New Roman"/>
            <w:b w:val="0"/>
            <w:noProof/>
            <w:sz w:val="20"/>
            <w:szCs w:val="20"/>
          </w:rPr>
          <w:t>Dispositions administratives et recours à la justice</w:t>
        </w:r>
        <w:r w:rsidR="00BB7875" w:rsidRPr="00BE0248">
          <w:rPr>
            <w:rStyle w:val="Hiperligao"/>
            <w:rFonts w:ascii="Times New Roman" w:hAnsi="Times New Roman"/>
            <w:b w:val="0"/>
            <w:noProof/>
            <w:webHidden/>
            <w:sz w:val="20"/>
            <w:szCs w:val="20"/>
          </w:rPr>
          <w:tab/>
        </w:r>
        <w:r w:rsidR="00BB7875" w:rsidRPr="00BE0248">
          <w:rPr>
            <w:rStyle w:val="Hiperligao"/>
            <w:rFonts w:ascii="Times New Roman" w:hAnsi="Times New Roman"/>
            <w:b w:val="0"/>
            <w:noProof/>
            <w:webHidden/>
            <w:sz w:val="20"/>
            <w:szCs w:val="20"/>
          </w:rPr>
          <w:fldChar w:fldCharType="begin"/>
        </w:r>
        <w:r w:rsidR="00BB7875" w:rsidRPr="00BE0248">
          <w:rPr>
            <w:rStyle w:val="Hiperligao"/>
            <w:rFonts w:ascii="Times New Roman" w:hAnsi="Times New Roman"/>
            <w:b w:val="0"/>
            <w:noProof/>
            <w:webHidden/>
            <w:sz w:val="20"/>
            <w:szCs w:val="20"/>
          </w:rPr>
          <w:instrText xml:space="preserve"> PAGEREF _Toc73459789 \h </w:instrText>
        </w:r>
        <w:r w:rsidR="00BB7875" w:rsidRPr="00BE0248">
          <w:rPr>
            <w:rStyle w:val="Hiperligao"/>
            <w:rFonts w:ascii="Times New Roman" w:hAnsi="Times New Roman"/>
            <w:b w:val="0"/>
            <w:noProof/>
            <w:webHidden/>
            <w:sz w:val="20"/>
            <w:szCs w:val="20"/>
          </w:rPr>
        </w:r>
        <w:r w:rsidR="00BB7875" w:rsidRPr="00BE0248">
          <w:rPr>
            <w:rStyle w:val="Hiperligao"/>
            <w:rFonts w:ascii="Times New Roman" w:hAnsi="Times New Roman"/>
            <w:b w:val="0"/>
            <w:noProof/>
            <w:webHidden/>
            <w:sz w:val="20"/>
            <w:szCs w:val="20"/>
          </w:rPr>
          <w:fldChar w:fldCharType="separate"/>
        </w:r>
        <w:r w:rsidR="00A31E4F">
          <w:rPr>
            <w:rStyle w:val="Hiperligao"/>
            <w:rFonts w:ascii="Times New Roman" w:hAnsi="Times New Roman"/>
            <w:b w:val="0"/>
            <w:noProof/>
            <w:webHidden/>
            <w:sz w:val="20"/>
            <w:szCs w:val="20"/>
          </w:rPr>
          <w:t>105</w:t>
        </w:r>
        <w:r w:rsidR="00BB7875" w:rsidRPr="00BE0248">
          <w:rPr>
            <w:rStyle w:val="Hiperligao"/>
            <w:rFonts w:ascii="Times New Roman" w:hAnsi="Times New Roman"/>
            <w:b w:val="0"/>
            <w:noProof/>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90" w:history="1">
        <w:r w:rsidR="00BB7875" w:rsidRPr="00BE0248">
          <w:rPr>
            <w:rStyle w:val="Hiperligao"/>
            <w:b/>
            <w:sz w:val="20"/>
            <w:szCs w:val="20"/>
            <w:lang w:eastAsia="x-none"/>
            <w14:shadow w14:blurRad="38100" w14:dist="25400" w14:dir="5400000" w14:sx="100000" w14:sy="100000" w14:kx="0" w14:ky="0" w14:algn="ctr">
              <w14:srgbClr w14:val="6E747A">
                <w14:alpha w14:val="57000"/>
              </w14:srgbClr>
            </w14:shadow>
          </w:rPr>
          <w:t>CONCLUSION</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_Toc73459790 \h </w:instrText>
        </w:r>
        <w:r w:rsidR="00BB7875" w:rsidRPr="00BE0248">
          <w:rPr>
            <w:webHidden/>
            <w:sz w:val="20"/>
            <w:szCs w:val="20"/>
          </w:rPr>
        </w:r>
        <w:r w:rsidR="00BB7875" w:rsidRPr="00BE0248">
          <w:rPr>
            <w:webHidden/>
            <w:sz w:val="20"/>
            <w:szCs w:val="20"/>
          </w:rPr>
          <w:fldChar w:fldCharType="separate"/>
        </w:r>
        <w:r w:rsidR="00A31E4F">
          <w:rPr>
            <w:webHidden/>
            <w:sz w:val="20"/>
            <w:szCs w:val="20"/>
          </w:rPr>
          <w:t>107</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91" w:history="1">
        <w:r w:rsidR="00BB7875" w:rsidRPr="00BE0248">
          <w:rPr>
            <w:rStyle w:val="Hiperligao"/>
            <w:sz w:val="20"/>
            <w:szCs w:val="20"/>
          </w:rPr>
          <w:t>REFERENCE BIBLIOGRAPHIQUE</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_Toc73459791 \h </w:instrText>
        </w:r>
        <w:r w:rsidR="00BB7875" w:rsidRPr="00BE0248">
          <w:rPr>
            <w:webHidden/>
            <w:sz w:val="20"/>
            <w:szCs w:val="20"/>
          </w:rPr>
        </w:r>
        <w:r w:rsidR="00BB7875" w:rsidRPr="00BE0248">
          <w:rPr>
            <w:webHidden/>
            <w:sz w:val="20"/>
            <w:szCs w:val="20"/>
          </w:rPr>
          <w:fldChar w:fldCharType="separate"/>
        </w:r>
        <w:r w:rsidR="00A31E4F">
          <w:rPr>
            <w:webHidden/>
            <w:sz w:val="20"/>
            <w:szCs w:val="20"/>
          </w:rPr>
          <w:t>110</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92" w:history="1">
        <w:r w:rsidR="00BB7875" w:rsidRPr="00BE0248">
          <w:rPr>
            <w:rStyle w:val="Hiperligao"/>
            <w:sz w:val="20"/>
            <w:szCs w:val="20"/>
          </w:rPr>
          <w:t>ANNEXE 1. CHECK-LIST DE CONTROLE ENVIRONNEMENTAL ET SOCIAL</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_Toc73459792 \h </w:instrText>
        </w:r>
        <w:r w:rsidR="00BB7875" w:rsidRPr="00BE0248">
          <w:rPr>
            <w:webHidden/>
            <w:sz w:val="20"/>
            <w:szCs w:val="20"/>
          </w:rPr>
        </w:r>
        <w:r w:rsidR="00BB7875" w:rsidRPr="00BE0248">
          <w:rPr>
            <w:webHidden/>
            <w:sz w:val="20"/>
            <w:szCs w:val="20"/>
          </w:rPr>
          <w:fldChar w:fldCharType="separate"/>
        </w:r>
        <w:r w:rsidR="00A31E4F">
          <w:rPr>
            <w:webHidden/>
            <w:sz w:val="20"/>
            <w:szCs w:val="20"/>
          </w:rPr>
          <w:t>111</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93" w:history="1">
        <w:r w:rsidR="00BB7875" w:rsidRPr="00BE0248">
          <w:rPr>
            <w:rStyle w:val="Hiperligao"/>
            <w:sz w:val="20"/>
            <w:szCs w:val="20"/>
          </w:rPr>
          <w:t>ANNEXE 2. GRILLE DE SELECTION ENVIRONNEMENTALE</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_Toc73459793 \h </w:instrText>
        </w:r>
        <w:r w:rsidR="00BB7875" w:rsidRPr="00BE0248">
          <w:rPr>
            <w:webHidden/>
            <w:sz w:val="20"/>
            <w:szCs w:val="20"/>
          </w:rPr>
        </w:r>
        <w:r w:rsidR="00BB7875" w:rsidRPr="00BE0248">
          <w:rPr>
            <w:webHidden/>
            <w:sz w:val="20"/>
            <w:szCs w:val="20"/>
          </w:rPr>
          <w:fldChar w:fldCharType="separate"/>
        </w:r>
        <w:r w:rsidR="00A31E4F">
          <w:rPr>
            <w:webHidden/>
            <w:sz w:val="20"/>
            <w:szCs w:val="20"/>
          </w:rPr>
          <w:t>112</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794" w:history="1">
        <w:r w:rsidR="00BB7875" w:rsidRPr="00BE0248">
          <w:rPr>
            <w:rStyle w:val="Hiperligao"/>
            <w:sz w:val="20"/>
            <w:szCs w:val="20"/>
          </w:rPr>
          <w:t>ANNEXE 3. CODES DE CONDUITE ET PLAN D’ACTION POUR LA MISE EN ŒUVRE DES NORMES ESHS ET HST,</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_Toc73459794 \h </w:instrText>
        </w:r>
        <w:r w:rsidR="00BB7875" w:rsidRPr="00BE0248">
          <w:rPr>
            <w:webHidden/>
            <w:sz w:val="20"/>
            <w:szCs w:val="20"/>
          </w:rPr>
        </w:r>
        <w:r w:rsidR="00BB7875" w:rsidRPr="00BE0248">
          <w:rPr>
            <w:webHidden/>
            <w:sz w:val="20"/>
            <w:szCs w:val="20"/>
          </w:rPr>
          <w:fldChar w:fldCharType="separate"/>
        </w:r>
        <w:r w:rsidR="00A31E4F">
          <w:rPr>
            <w:webHidden/>
            <w:sz w:val="20"/>
            <w:szCs w:val="20"/>
          </w:rPr>
          <w:t>114</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810" w:history="1">
        <w:r w:rsidR="00BB7875" w:rsidRPr="00BE0248">
          <w:rPr>
            <w:rStyle w:val="Hiperligao"/>
            <w:sz w:val="20"/>
            <w:szCs w:val="20"/>
          </w:rPr>
          <w:t>ANNEXE 4. PROCÉDURES DE GESTION DE LA MAIN-D’ŒUVRE</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_Toc73459810 \h </w:instrText>
        </w:r>
        <w:r w:rsidR="00BB7875" w:rsidRPr="00BE0248">
          <w:rPr>
            <w:webHidden/>
            <w:sz w:val="20"/>
            <w:szCs w:val="20"/>
          </w:rPr>
        </w:r>
        <w:r w:rsidR="00BB7875" w:rsidRPr="00BE0248">
          <w:rPr>
            <w:webHidden/>
            <w:sz w:val="20"/>
            <w:szCs w:val="20"/>
          </w:rPr>
          <w:fldChar w:fldCharType="separate"/>
        </w:r>
        <w:r w:rsidR="00A31E4F">
          <w:rPr>
            <w:webHidden/>
            <w:sz w:val="20"/>
            <w:szCs w:val="20"/>
          </w:rPr>
          <w:t>123</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826" w:history="1">
        <w:r w:rsidR="00BB7875" w:rsidRPr="00BE0248">
          <w:rPr>
            <w:rStyle w:val="Hiperligao"/>
            <w:sz w:val="20"/>
            <w:szCs w:val="20"/>
          </w:rPr>
          <w:t>ANNEXE 5: PLAN DE GESTION DES PESTES ET DES PESTICIDES</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_Toc73459826 \h </w:instrText>
        </w:r>
        <w:r w:rsidR="00BB7875" w:rsidRPr="00BE0248">
          <w:rPr>
            <w:webHidden/>
            <w:sz w:val="20"/>
            <w:szCs w:val="20"/>
          </w:rPr>
        </w:r>
        <w:r w:rsidR="00BB7875" w:rsidRPr="00BE0248">
          <w:rPr>
            <w:webHidden/>
            <w:sz w:val="20"/>
            <w:szCs w:val="20"/>
          </w:rPr>
          <w:fldChar w:fldCharType="separate"/>
        </w:r>
        <w:r w:rsidR="00A31E4F">
          <w:rPr>
            <w:webHidden/>
            <w:sz w:val="20"/>
            <w:szCs w:val="20"/>
          </w:rPr>
          <w:t>132</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838" w:history="1">
        <w:r w:rsidR="00485BA4" w:rsidRPr="00BE0248">
          <w:rPr>
            <w:rStyle w:val="Hiperligao"/>
            <w:sz w:val="20"/>
            <w:szCs w:val="20"/>
          </w:rPr>
          <w:t xml:space="preserve">ANNEXE 6 :  GUIDE DE BONNES PRATIQUES ET MESURES REQUISES POUR LA REDUCTION DES RISQUES LIES </w:t>
        </w:r>
        <w:r w:rsidR="00485BA4"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_Toc73459838 \h </w:instrText>
        </w:r>
        <w:r w:rsidR="00BB7875" w:rsidRPr="00BE0248">
          <w:rPr>
            <w:webHidden/>
            <w:sz w:val="20"/>
            <w:szCs w:val="20"/>
          </w:rPr>
        </w:r>
        <w:r w:rsidR="00BB7875" w:rsidRPr="00BE0248">
          <w:rPr>
            <w:webHidden/>
            <w:sz w:val="20"/>
            <w:szCs w:val="20"/>
          </w:rPr>
          <w:fldChar w:fldCharType="separate"/>
        </w:r>
        <w:r w:rsidR="00A31E4F">
          <w:rPr>
            <w:webHidden/>
            <w:sz w:val="20"/>
            <w:szCs w:val="20"/>
          </w:rPr>
          <w:t>147</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839" w:history="1">
        <w:r w:rsidR="00485BA4" w:rsidRPr="00BE0248">
          <w:rPr>
            <w:rStyle w:val="Hiperligao"/>
            <w:sz w:val="20"/>
            <w:szCs w:val="20"/>
          </w:rPr>
          <w:t>ANNEXE 7. PLAN DE GESTION DES DECHETS</w:t>
        </w:r>
        <w:r w:rsidR="00485BA4"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_Toc73459839 \h </w:instrText>
        </w:r>
        <w:r w:rsidR="00BB7875" w:rsidRPr="00BE0248">
          <w:rPr>
            <w:webHidden/>
            <w:sz w:val="20"/>
            <w:szCs w:val="20"/>
          </w:rPr>
        </w:r>
        <w:r w:rsidR="00BB7875" w:rsidRPr="00BE0248">
          <w:rPr>
            <w:webHidden/>
            <w:sz w:val="20"/>
            <w:szCs w:val="20"/>
          </w:rPr>
          <w:fldChar w:fldCharType="separate"/>
        </w:r>
        <w:r w:rsidR="00A31E4F">
          <w:rPr>
            <w:webHidden/>
            <w:sz w:val="20"/>
            <w:szCs w:val="20"/>
          </w:rPr>
          <w:t>151</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840" w:history="1">
        <w:r w:rsidR="00BB7875" w:rsidRPr="00BE0248">
          <w:rPr>
            <w:rStyle w:val="Hiperligao"/>
            <w:sz w:val="20"/>
            <w:szCs w:val="20"/>
          </w:rPr>
          <w:t>ANNEXE 8. LISTES DES SERVICES TECHNIQUES CONSULTÉS</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_Toc73459840 \h </w:instrText>
        </w:r>
        <w:r w:rsidR="00BB7875" w:rsidRPr="00BE0248">
          <w:rPr>
            <w:webHidden/>
            <w:sz w:val="20"/>
            <w:szCs w:val="20"/>
          </w:rPr>
        </w:r>
        <w:r w:rsidR="00BB7875" w:rsidRPr="00BE0248">
          <w:rPr>
            <w:webHidden/>
            <w:sz w:val="20"/>
            <w:szCs w:val="20"/>
          </w:rPr>
          <w:fldChar w:fldCharType="separate"/>
        </w:r>
        <w:r w:rsidR="00A31E4F">
          <w:rPr>
            <w:webHidden/>
            <w:sz w:val="20"/>
            <w:szCs w:val="20"/>
          </w:rPr>
          <w:t>154</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841" w:history="1">
        <w:r w:rsidR="00BB7875" w:rsidRPr="00BE0248">
          <w:rPr>
            <w:rStyle w:val="Hiperligao"/>
            <w:sz w:val="20"/>
            <w:szCs w:val="20"/>
          </w:rPr>
          <w:t>ANNEXE 9: REUNION DE PRESENTATION AU NIVEAU DE LA FAO</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_Toc73459841 \h </w:instrText>
        </w:r>
        <w:r w:rsidR="00BB7875" w:rsidRPr="00BE0248">
          <w:rPr>
            <w:webHidden/>
            <w:sz w:val="20"/>
            <w:szCs w:val="20"/>
          </w:rPr>
        </w:r>
        <w:r w:rsidR="00BB7875" w:rsidRPr="00BE0248">
          <w:rPr>
            <w:webHidden/>
            <w:sz w:val="20"/>
            <w:szCs w:val="20"/>
          </w:rPr>
          <w:fldChar w:fldCharType="separate"/>
        </w:r>
        <w:r w:rsidR="00A31E4F">
          <w:rPr>
            <w:webHidden/>
            <w:sz w:val="20"/>
            <w:szCs w:val="20"/>
          </w:rPr>
          <w:t>155</w:t>
        </w:r>
        <w:r w:rsidR="00BB7875" w:rsidRPr="00BE0248">
          <w:rPr>
            <w:webHidden/>
            <w:sz w:val="20"/>
            <w:szCs w:val="20"/>
          </w:rPr>
          <w:fldChar w:fldCharType="end"/>
        </w:r>
      </w:hyperlink>
    </w:p>
    <w:p w:rsidR="00BB7875" w:rsidRPr="00BE0248" w:rsidRDefault="00D00D1D">
      <w:pPr>
        <w:pStyle w:val="ndice1"/>
        <w:rPr>
          <w:rFonts w:asciiTheme="minorHAnsi" w:eastAsiaTheme="minorEastAsia" w:hAnsiTheme="minorHAnsi" w:cstheme="minorBidi"/>
          <w:bCs w:val="0"/>
          <w:color w:val="000000"/>
          <w:sz w:val="20"/>
          <w:szCs w:val="20"/>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3459842" w:history="1">
        <w:r w:rsidR="00BB7875" w:rsidRPr="00BE0248">
          <w:rPr>
            <w:rStyle w:val="Hiperligao"/>
            <w:sz w:val="20"/>
            <w:szCs w:val="20"/>
          </w:rPr>
          <w:t>ANNEXE 10. MODELE DE CANEVAS POUR LES AEI</w:t>
        </w:r>
        <w:r w:rsidR="00BB7875" w:rsidRPr="00BE0248">
          <w:rPr>
            <w:webHidden/>
            <w:sz w:val="20"/>
            <w:szCs w:val="20"/>
          </w:rPr>
          <w:tab/>
        </w:r>
        <w:r w:rsidR="00BB7875" w:rsidRPr="00BE0248">
          <w:rPr>
            <w:webHidden/>
            <w:sz w:val="20"/>
            <w:szCs w:val="20"/>
          </w:rPr>
          <w:fldChar w:fldCharType="begin"/>
        </w:r>
        <w:r w:rsidR="00BB7875" w:rsidRPr="00BE0248">
          <w:rPr>
            <w:webHidden/>
            <w:sz w:val="20"/>
            <w:szCs w:val="20"/>
          </w:rPr>
          <w:instrText xml:space="preserve"> PAGEREF _Toc73459842 \h </w:instrText>
        </w:r>
        <w:r w:rsidR="00BB7875" w:rsidRPr="00BE0248">
          <w:rPr>
            <w:webHidden/>
            <w:sz w:val="20"/>
            <w:szCs w:val="20"/>
          </w:rPr>
        </w:r>
        <w:r w:rsidR="00BB7875" w:rsidRPr="00BE0248">
          <w:rPr>
            <w:webHidden/>
            <w:sz w:val="20"/>
            <w:szCs w:val="20"/>
          </w:rPr>
          <w:fldChar w:fldCharType="separate"/>
        </w:r>
        <w:r w:rsidR="00A31E4F">
          <w:rPr>
            <w:webHidden/>
            <w:sz w:val="20"/>
            <w:szCs w:val="20"/>
          </w:rPr>
          <w:t>156</w:t>
        </w:r>
        <w:r w:rsidR="00BB7875" w:rsidRPr="00BE0248">
          <w:rPr>
            <w:webHidden/>
            <w:sz w:val="20"/>
            <w:szCs w:val="20"/>
          </w:rPr>
          <w:fldChar w:fldCharType="end"/>
        </w:r>
      </w:hyperlink>
    </w:p>
    <w:p w:rsidR="00512B6A" w:rsidRDefault="003C6DA9" w:rsidP="00FF6343">
      <w:pPr>
        <w:tabs>
          <w:tab w:val="right" w:leader="dot" w:pos="10348"/>
        </w:tabs>
        <w:rPr>
          <w:bCs/>
          <w:noProof/>
          <w:sz w:val="20"/>
          <w:szCs w:val="20"/>
        </w:rPr>
      </w:pPr>
      <w:r w:rsidRPr="00BE0248">
        <w:rPr>
          <w:bCs/>
          <w:noProof/>
          <w:sz w:val="20"/>
          <w:szCs w:val="20"/>
        </w:rPr>
        <w:fldChar w:fldCharType="end"/>
      </w:r>
    </w:p>
    <w:p w:rsidR="00045EAE" w:rsidRPr="00A05698" w:rsidRDefault="00045EAE" w:rsidP="00FF6343">
      <w:pPr>
        <w:tabs>
          <w:tab w:val="right" w:leader="dot" w:pos="10348"/>
        </w:tabs>
        <w:rPr>
          <w:bCs/>
          <w:noProof/>
        </w:rPr>
      </w:pPr>
    </w:p>
    <w:p w:rsidR="005070EE" w:rsidRPr="00804947" w:rsidRDefault="005070EE" w:rsidP="00804947">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 w:name="_Toc527881979"/>
      <w:bookmarkStart w:id="6" w:name="_Toc10451966"/>
      <w:bookmarkStart w:id="7" w:name="_Toc17385721"/>
      <w:bookmarkStart w:id="8" w:name="_Toc73459694"/>
      <w:r w:rsidRPr="00804947">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LISTE DES TABLEAUX</w:t>
      </w:r>
      <w:bookmarkEnd w:id="5"/>
      <w:bookmarkEnd w:id="6"/>
      <w:bookmarkEnd w:id="7"/>
      <w:bookmarkEnd w:id="8"/>
    </w:p>
    <w:p w:rsidR="005070EE" w:rsidRPr="00A05698" w:rsidRDefault="005070EE" w:rsidP="005070EE">
      <w:pPr>
        <w:jc w:val="both"/>
        <w:rPr>
          <w:b/>
        </w:rPr>
      </w:pPr>
    </w:p>
    <w:p w:rsidR="00485BA4" w:rsidRPr="00485BA4" w:rsidRDefault="005070EE">
      <w:pPr>
        <w:pStyle w:val="ndicedeilustraes"/>
        <w:tabs>
          <w:tab w:val="right" w:leader="dot" w:pos="9913"/>
        </w:tabs>
        <w:rPr>
          <w:rFonts w:asciiTheme="minorHAnsi" w:eastAsiaTheme="minorEastAsia" w:hAnsiTheme="minorHAnsi" w:cstheme="minorBidi"/>
          <w:noProof/>
          <w:sz w:val="22"/>
          <w:szCs w:val="22"/>
        </w:rPr>
      </w:pPr>
      <w:r w:rsidRPr="00485BA4">
        <w:rPr>
          <w:smallCaps/>
          <w:sz w:val="20"/>
          <w:szCs w:val="20"/>
        </w:rPr>
        <w:fldChar w:fldCharType="begin"/>
      </w:r>
      <w:r w:rsidRPr="00485BA4">
        <w:rPr>
          <w:sz w:val="20"/>
          <w:szCs w:val="20"/>
        </w:rPr>
        <w:instrText xml:space="preserve"> </w:instrText>
      </w:r>
      <w:r w:rsidR="006C5620" w:rsidRPr="00485BA4">
        <w:rPr>
          <w:sz w:val="20"/>
          <w:szCs w:val="20"/>
        </w:rPr>
        <w:instrText>TOC</w:instrText>
      </w:r>
      <w:r w:rsidRPr="00485BA4">
        <w:rPr>
          <w:sz w:val="20"/>
          <w:szCs w:val="20"/>
        </w:rPr>
        <w:instrText xml:space="preserve"> \h \z \c "Tableau" </w:instrText>
      </w:r>
      <w:r w:rsidRPr="00485BA4">
        <w:rPr>
          <w:smallCaps/>
          <w:sz w:val="20"/>
          <w:szCs w:val="20"/>
        </w:rPr>
        <w:fldChar w:fldCharType="separate"/>
      </w:r>
      <w:hyperlink w:anchor="_Toc73522607" w:history="1">
        <w:r w:rsidR="00485BA4" w:rsidRPr="00485BA4">
          <w:rPr>
            <w:rStyle w:val="Hiperligao"/>
            <w:noProof/>
          </w:rPr>
          <w:t>Tableau 1: Prix des produits alimentaires de base (en XOF), mois d’octobre 2020</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_Toc73522607 \h </w:instrText>
        </w:r>
        <w:r w:rsidR="00485BA4" w:rsidRPr="00485BA4">
          <w:rPr>
            <w:noProof/>
            <w:webHidden/>
          </w:rPr>
        </w:r>
        <w:r w:rsidR="00485BA4" w:rsidRPr="00485BA4">
          <w:rPr>
            <w:noProof/>
            <w:webHidden/>
          </w:rPr>
          <w:fldChar w:fldCharType="separate"/>
        </w:r>
        <w:r w:rsidR="007064D4">
          <w:rPr>
            <w:noProof/>
            <w:webHidden/>
          </w:rPr>
          <w:t>12</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08" w:history="1">
        <w:r w:rsidR="00485BA4" w:rsidRPr="00485BA4">
          <w:rPr>
            <w:rStyle w:val="Hiperligao"/>
            <w:noProof/>
          </w:rPr>
          <w:t>Tableau 2: Prix des produits alimentaires local de base (en XOF), mois d’octobre 2020</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_Toc73522608 \h </w:instrText>
        </w:r>
        <w:r w:rsidR="00485BA4" w:rsidRPr="00485BA4">
          <w:rPr>
            <w:noProof/>
            <w:webHidden/>
          </w:rPr>
        </w:r>
        <w:r w:rsidR="00485BA4" w:rsidRPr="00485BA4">
          <w:rPr>
            <w:noProof/>
            <w:webHidden/>
          </w:rPr>
          <w:fldChar w:fldCharType="separate"/>
        </w:r>
        <w:r w:rsidR="007064D4">
          <w:rPr>
            <w:noProof/>
            <w:webHidden/>
          </w:rPr>
          <w:t>12</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09" w:history="1">
        <w:r w:rsidR="00485BA4" w:rsidRPr="00485BA4">
          <w:rPr>
            <w:rStyle w:val="Hiperligao"/>
            <w:bCs/>
            <w:noProof/>
          </w:rPr>
          <w:t>Tableau 3: Commerce de noix de cajou en Guinée-Bissau, 2010-2015</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_Toc73522609 \h </w:instrText>
        </w:r>
        <w:r w:rsidR="00485BA4" w:rsidRPr="00485BA4">
          <w:rPr>
            <w:noProof/>
            <w:webHidden/>
          </w:rPr>
        </w:r>
        <w:r w:rsidR="00485BA4" w:rsidRPr="00485BA4">
          <w:rPr>
            <w:noProof/>
            <w:webHidden/>
          </w:rPr>
          <w:fldChar w:fldCharType="separate"/>
        </w:r>
        <w:r w:rsidR="007064D4">
          <w:rPr>
            <w:noProof/>
            <w:webHidden/>
          </w:rPr>
          <w:t>12</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0" w:history="1">
        <w:r w:rsidR="00485BA4" w:rsidRPr="00485BA4">
          <w:rPr>
            <w:rStyle w:val="Hiperligao"/>
            <w:noProof/>
          </w:rPr>
          <w:t>Tableau 4: Les réglementations en terme environnemental et social en vigueur en Guinée Bissau</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_Toc73522610 \h </w:instrText>
        </w:r>
        <w:r w:rsidR="00485BA4" w:rsidRPr="00485BA4">
          <w:rPr>
            <w:noProof/>
            <w:webHidden/>
          </w:rPr>
        </w:r>
        <w:r w:rsidR="00485BA4" w:rsidRPr="00485BA4">
          <w:rPr>
            <w:noProof/>
            <w:webHidden/>
          </w:rPr>
          <w:fldChar w:fldCharType="separate"/>
        </w:r>
        <w:r w:rsidR="007064D4">
          <w:rPr>
            <w:noProof/>
            <w:webHidden/>
          </w:rPr>
          <w:t>21</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1" w:history="1">
        <w:r w:rsidR="00485BA4" w:rsidRPr="00485BA4">
          <w:rPr>
            <w:rStyle w:val="Hiperligao"/>
            <w:noProof/>
          </w:rPr>
          <w:t>Tableau 5: Autres dispositions réglementaires applicables au projet</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_Toc73522611 \h </w:instrText>
        </w:r>
        <w:r w:rsidR="00485BA4" w:rsidRPr="00485BA4">
          <w:rPr>
            <w:noProof/>
            <w:webHidden/>
          </w:rPr>
        </w:r>
        <w:r w:rsidR="00485BA4" w:rsidRPr="00485BA4">
          <w:rPr>
            <w:noProof/>
            <w:webHidden/>
          </w:rPr>
          <w:fldChar w:fldCharType="separate"/>
        </w:r>
        <w:r w:rsidR="007064D4">
          <w:rPr>
            <w:noProof/>
            <w:webHidden/>
          </w:rPr>
          <w:t>22</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2" w:history="1">
        <w:r w:rsidR="00485BA4" w:rsidRPr="00485BA4">
          <w:rPr>
            <w:rStyle w:val="Hiperligao"/>
            <w:noProof/>
          </w:rPr>
          <w:t>Tableau 6: Pertinence des conventions et accords ratifiés par rapport au projet</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_Toc73522612 \h </w:instrText>
        </w:r>
        <w:r w:rsidR="00485BA4" w:rsidRPr="00485BA4">
          <w:rPr>
            <w:noProof/>
            <w:webHidden/>
          </w:rPr>
        </w:r>
        <w:r w:rsidR="00485BA4" w:rsidRPr="00485BA4">
          <w:rPr>
            <w:noProof/>
            <w:webHidden/>
          </w:rPr>
          <w:fldChar w:fldCharType="separate"/>
        </w:r>
        <w:r w:rsidR="007064D4">
          <w:rPr>
            <w:noProof/>
            <w:webHidden/>
          </w:rPr>
          <w:t>23</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3" w:history="1">
        <w:r w:rsidR="00485BA4" w:rsidRPr="00485BA4">
          <w:rPr>
            <w:rStyle w:val="Hiperligao"/>
            <w:noProof/>
          </w:rPr>
          <w:t>Tableau 7: Normes environnementales et sociales de la banque mondiale</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_Toc73522613 \h </w:instrText>
        </w:r>
        <w:r w:rsidR="00485BA4" w:rsidRPr="00485BA4">
          <w:rPr>
            <w:noProof/>
            <w:webHidden/>
          </w:rPr>
        </w:r>
        <w:r w:rsidR="00485BA4" w:rsidRPr="00485BA4">
          <w:rPr>
            <w:noProof/>
            <w:webHidden/>
          </w:rPr>
          <w:fldChar w:fldCharType="separate"/>
        </w:r>
        <w:r w:rsidR="007064D4">
          <w:rPr>
            <w:noProof/>
            <w:webHidden/>
          </w:rPr>
          <w:t>28</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4" w:history="1">
        <w:r w:rsidR="00485BA4" w:rsidRPr="00485BA4">
          <w:rPr>
            <w:rStyle w:val="Hiperligao"/>
            <w:rFonts w:eastAsia="Times New Roman"/>
            <w:noProof/>
          </w:rPr>
          <w:t>Tableau 8: Les données concernant le bois de feu sont les suivantes (en tonnes) :</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_Toc73522614 \h </w:instrText>
        </w:r>
        <w:r w:rsidR="00485BA4" w:rsidRPr="00485BA4">
          <w:rPr>
            <w:noProof/>
            <w:webHidden/>
          </w:rPr>
        </w:r>
        <w:r w:rsidR="00485BA4" w:rsidRPr="00485BA4">
          <w:rPr>
            <w:noProof/>
            <w:webHidden/>
          </w:rPr>
          <w:fldChar w:fldCharType="separate"/>
        </w:r>
        <w:r w:rsidR="007064D4">
          <w:rPr>
            <w:noProof/>
            <w:webHidden/>
          </w:rPr>
          <w:t>40</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5" w:history="1">
        <w:r w:rsidR="00485BA4" w:rsidRPr="00485BA4">
          <w:rPr>
            <w:rStyle w:val="Hiperligao"/>
            <w:noProof/>
          </w:rPr>
          <w:t>Tableau 9: Répartition Spatiale de la Population et Densité (Censo 2009)</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_Toc73522615 \h </w:instrText>
        </w:r>
        <w:r w:rsidR="00485BA4" w:rsidRPr="00485BA4">
          <w:rPr>
            <w:noProof/>
            <w:webHidden/>
          </w:rPr>
        </w:r>
        <w:r w:rsidR="00485BA4" w:rsidRPr="00485BA4">
          <w:rPr>
            <w:noProof/>
            <w:webHidden/>
          </w:rPr>
          <w:fldChar w:fldCharType="separate"/>
        </w:r>
        <w:r w:rsidR="007064D4">
          <w:rPr>
            <w:noProof/>
            <w:webHidden/>
          </w:rPr>
          <w:t>43</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6" w:history="1">
        <w:r w:rsidR="00485BA4" w:rsidRPr="00485BA4">
          <w:rPr>
            <w:rStyle w:val="Hiperligao"/>
            <w:noProof/>
          </w:rPr>
          <w:t>Tableau 10: Evaluation de la production céréalière en 2020 et 2021</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_Toc73522616 \h </w:instrText>
        </w:r>
        <w:r w:rsidR="00485BA4" w:rsidRPr="00485BA4">
          <w:rPr>
            <w:noProof/>
            <w:webHidden/>
          </w:rPr>
        </w:r>
        <w:r w:rsidR="00485BA4" w:rsidRPr="00485BA4">
          <w:rPr>
            <w:noProof/>
            <w:webHidden/>
          </w:rPr>
          <w:fldChar w:fldCharType="separate"/>
        </w:r>
        <w:r w:rsidR="007064D4">
          <w:rPr>
            <w:noProof/>
            <w:webHidden/>
          </w:rPr>
          <w:t>45</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7" w:history="1">
        <w:r w:rsidR="00485BA4" w:rsidRPr="00485BA4">
          <w:rPr>
            <w:rStyle w:val="Hiperligao"/>
            <w:noProof/>
          </w:rPr>
          <w:t>Tableau 11 : Production des autres produits alimentaires en tonnes</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_Toc73522617 \h </w:instrText>
        </w:r>
        <w:r w:rsidR="00485BA4" w:rsidRPr="00485BA4">
          <w:rPr>
            <w:noProof/>
            <w:webHidden/>
          </w:rPr>
        </w:r>
        <w:r w:rsidR="00485BA4" w:rsidRPr="00485BA4">
          <w:rPr>
            <w:noProof/>
            <w:webHidden/>
          </w:rPr>
          <w:fldChar w:fldCharType="separate"/>
        </w:r>
        <w:r w:rsidR="007064D4">
          <w:rPr>
            <w:noProof/>
            <w:webHidden/>
          </w:rPr>
          <w:t>47</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8" w:history="1">
        <w:r w:rsidR="00485BA4" w:rsidRPr="00485BA4">
          <w:rPr>
            <w:rStyle w:val="Hiperligao"/>
            <w:noProof/>
          </w:rPr>
          <w:t>Tableau 12 : Productions nettes des produits alimentaires 2020/2021</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_Toc73522618 \h </w:instrText>
        </w:r>
        <w:r w:rsidR="00485BA4" w:rsidRPr="00485BA4">
          <w:rPr>
            <w:noProof/>
            <w:webHidden/>
          </w:rPr>
        </w:r>
        <w:r w:rsidR="00485BA4" w:rsidRPr="00485BA4">
          <w:rPr>
            <w:noProof/>
            <w:webHidden/>
          </w:rPr>
          <w:fldChar w:fldCharType="separate"/>
        </w:r>
        <w:r w:rsidR="007064D4">
          <w:rPr>
            <w:noProof/>
            <w:webHidden/>
          </w:rPr>
          <w:t>47</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19" w:history="1">
        <w:r w:rsidR="00485BA4" w:rsidRPr="00485BA4">
          <w:rPr>
            <w:rStyle w:val="Hiperligao"/>
            <w:noProof/>
          </w:rPr>
          <w:t>Tableau 13: Indicateurs de santé</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_Toc73522619 \h </w:instrText>
        </w:r>
        <w:r w:rsidR="00485BA4" w:rsidRPr="00485BA4">
          <w:rPr>
            <w:noProof/>
            <w:webHidden/>
          </w:rPr>
        </w:r>
        <w:r w:rsidR="00485BA4" w:rsidRPr="00485BA4">
          <w:rPr>
            <w:noProof/>
            <w:webHidden/>
          </w:rPr>
          <w:fldChar w:fldCharType="separate"/>
        </w:r>
        <w:r w:rsidR="007064D4">
          <w:rPr>
            <w:noProof/>
            <w:webHidden/>
          </w:rPr>
          <w:t>49</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0" w:history="1">
        <w:r w:rsidR="00485BA4" w:rsidRPr="00485BA4">
          <w:rPr>
            <w:rStyle w:val="Hiperligao"/>
            <w:noProof/>
          </w:rPr>
          <w:t>Tableau 14. Analyse des enjeux du projet PUSA</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_Toc73522620 \h </w:instrText>
        </w:r>
        <w:r w:rsidR="00485BA4" w:rsidRPr="00485BA4">
          <w:rPr>
            <w:noProof/>
            <w:webHidden/>
          </w:rPr>
        </w:r>
        <w:r w:rsidR="00485BA4" w:rsidRPr="00485BA4">
          <w:rPr>
            <w:noProof/>
            <w:webHidden/>
          </w:rPr>
          <w:fldChar w:fldCharType="separate"/>
        </w:r>
        <w:r w:rsidR="007064D4">
          <w:rPr>
            <w:noProof/>
            <w:webHidden/>
          </w:rPr>
          <w:t>52</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1" w:history="1">
        <w:r w:rsidR="00485BA4" w:rsidRPr="00485BA4">
          <w:rPr>
            <w:rStyle w:val="Hiperligao"/>
            <w:noProof/>
          </w:rPr>
          <w:t>Tableau 15. Synthèse des impacts positifs de la mise en œuvre des activités du projet</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_Toc73522621 \h </w:instrText>
        </w:r>
        <w:r w:rsidR="00485BA4" w:rsidRPr="00485BA4">
          <w:rPr>
            <w:noProof/>
            <w:webHidden/>
          </w:rPr>
        </w:r>
        <w:r w:rsidR="00485BA4" w:rsidRPr="00485BA4">
          <w:rPr>
            <w:noProof/>
            <w:webHidden/>
          </w:rPr>
          <w:fldChar w:fldCharType="separate"/>
        </w:r>
        <w:r w:rsidR="007064D4">
          <w:rPr>
            <w:noProof/>
            <w:webHidden/>
          </w:rPr>
          <w:t>63</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2" w:history="1">
        <w:r w:rsidR="00485BA4" w:rsidRPr="00485BA4">
          <w:rPr>
            <w:rStyle w:val="Hiperligao"/>
            <w:noProof/>
          </w:rPr>
          <w:t>Tableau 16: les impacts négatifs potentiels du projet</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_Toc73522622 \h </w:instrText>
        </w:r>
        <w:r w:rsidR="00485BA4" w:rsidRPr="00485BA4">
          <w:rPr>
            <w:noProof/>
            <w:webHidden/>
          </w:rPr>
        </w:r>
        <w:r w:rsidR="00485BA4" w:rsidRPr="00485BA4">
          <w:rPr>
            <w:noProof/>
            <w:webHidden/>
          </w:rPr>
          <w:fldChar w:fldCharType="separate"/>
        </w:r>
        <w:r w:rsidR="007064D4">
          <w:rPr>
            <w:noProof/>
            <w:webHidden/>
          </w:rPr>
          <w:t>64</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3" w:history="1">
        <w:r w:rsidR="00485BA4" w:rsidRPr="00485BA4">
          <w:rPr>
            <w:rStyle w:val="Hiperligao"/>
            <w:noProof/>
          </w:rPr>
          <w:t>Tableau 17.  Les impacts négatifs potentiels de la mise en œuvre des activités du projet</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_Toc73522623 \h </w:instrText>
        </w:r>
        <w:r w:rsidR="00485BA4" w:rsidRPr="00485BA4">
          <w:rPr>
            <w:noProof/>
            <w:webHidden/>
          </w:rPr>
        </w:r>
        <w:r w:rsidR="00485BA4" w:rsidRPr="00485BA4">
          <w:rPr>
            <w:noProof/>
            <w:webHidden/>
          </w:rPr>
          <w:fldChar w:fldCharType="separate"/>
        </w:r>
        <w:r w:rsidR="007064D4">
          <w:rPr>
            <w:noProof/>
            <w:webHidden/>
          </w:rPr>
          <w:t>65</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4" w:history="1">
        <w:r w:rsidR="00485BA4" w:rsidRPr="00485BA4">
          <w:rPr>
            <w:rStyle w:val="Hiperligao"/>
            <w:noProof/>
          </w:rPr>
          <w:t>Tableau 18: Procédures pour les micro-projets nécessitant une AEI</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_Toc73522624 \h </w:instrText>
        </w:r>
        <w:r w:rsidR="00485BA4" w:rsidRPr="00485BA4">
          <w:rPr>
            <w:noProof/>
            <w:webHidden/>
          </w:rPr>
        </w:r>
        <w:r w:rsidR="00485BA4" w:rsidRPr="00485BA4">
          <w:rPr>
            <w:noProof/>
            <w:webHidden/>
          </w:rPr>
          <w:fldChar w:fldCharType="separate"/>
        </w:r>
        <w:r w:rsidR="007064D4">
          <w:rPr>
            <w:noProof/>
            <w:webHidden/>
          </w:rPr>
          <w:t>79</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5" w:history="1">
        <w:r w:rsidR="00485BA4" w:rsidRPr="00485BA4">
          <w:rPr>
            <w:rStyle w:val="Hiperligao"/>
            <w:noProof/>
          </w:rPr>
          <w:t>Tableau 19: Matrice des rôles et responsabilités au regard de l’arrangement institutionnel de mise en œuvre du CGES</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_Toc73522625 \h </w:instrText>
        </w:r>
        <w:r w:rsidR="00485BA4" w:rsidRPr="00485BA4">
          <w:rPr>
            <w:noProof/>
            <w:webHidden/>
          </w:rPr>
        </w:r>
        <w:r w:rsidR="00485BA4" w:rsidRPr="00485BA4">
          <w:rPr>
            <w:noProof/>
            <w:webHidden/>
          </w:rPr>
          <w:fldChar w:fldCharType="separate"/>
        </w:r>
        <w:r w:rsidR="007064D4">
          <w:rPr>
            <w:noProof/>
            <w:webHidden/>
          </w:rPr>
          <w:t>82</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6" w:history="1">
        <w:r w:rsidR="00485BA4" w:rsidRPr="00485BA4">
          <w:rPr>
            <w:rStyle w:val="Hiperligao"/>
            <w:noProof/>
          </w:rPr>
          <w:t xml:space="preserve">Tableau 20: </w:t>
        </w:r>
        <w:r w:rsidR="00485BA4" w:rsidRPr="00485BA4">
          <w:rPr>
            <w:rStyle w:val="Hiperligao"/>
            <w:bCs/>
            <w:noProof/>
            <w:lang w:val="fr-BE"/>
          </w:rPr>
          <w:t>Indicateurs de suivi des mesures du PCGES</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_Toc73522626 \h </w:instrText>
        </w:r>
        <w:r w:rsidR="00485BA4" w:rsidRPr="00485BA4">
          <w:rPr>
            <w:noProof/>
            <w:webHidden/>
          </w:rPr>
        </w:r>
        <w:r w:rsidR="00485BA4" w:rsidRPr="00485BA4">
          <w:rPr>
            <w:noProof/>
            <w:webHidden/>
          </w:rPr>
          <w:fldChar w:fldCharType="separate"/>
        </w:r>
        <w:r w:rsidR="007064D4">
          <w:rPr>
            <w:noProof/>
            <w:webHidden/>
          </w:rPr>
          <w:t>84</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7" w:history="1">
        <w:r w:rsidR="00485BA4" w:rsidRPr="00485BA4">
          <w:rPr>
            <w:rStyle w:val="Hiperligao"/>
            <w:noProof/>
          </w:rPr>
          <w:t>Tableau 21. Indicateurs de suivi "externe"</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_Toc73522627 \h </w:instrText>
        </w:r>
        <w:r w:rsidR="00485BA4" w:rsidRPr="00485BA4">
          <w:rPr>
            <w:noProof/>
            <w:webHidden/>
          </w:rPr>
        </w:r>
        <w:r w:rsidR="00485BA4" w:rsidRPr="00485BA4">
          <w:rPr>
            <w:noProof/>
            <w:webHidden/>
          </w:rPr>
          <w:fldChar w:fldCharType="separate"/>
        </w:r>
        <w:r w:rsidR="007064D4">
          <w:rPr>
            <w:noProof/>
            <w:webHidden/>
          </w:rPr>
          <w:t>85</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8" w:history="1">
        <w:r w:rsidR="00485BA4" w:rsidRPr="00485BA4">
          <w:rPr>
            <w:rStyle w:val="Hiperligao"/>
            <w:noProof/>
          </w:rPr>
          <w:t>Tableau 22: Calendrier de mise en œuvre des mesures</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_Toc73522628 \h </w:instrText>
        </w:r>
        <w:r w:rsidR="00485BA4" w:rsidRPr="00485BA4">
          <w:rPr>
            <w:noProof/>
            <w:webHidden/>
          </w:rPr>
        </w:r>
        <w:r w:rsidR="00485BA4" w:rsidRPr="00485BA4">
          <w:rPr>
            <w:noProof/>
            <w:webHidden/>
          </w:rPr>
          <w:fldChar w:fldCharType="separate"/>
        </w:r>
        <w:r w:rsidR="007064D4">
          <w:rPr>
            <w:noProof/>
            <w:webHidden/>
          </w:rPr>
          <w:t>88</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29" w:history="1">
        <w:r w:rsidR="00485BA4" w:rsidRPr="00485BA4">
          <w:rPr>
            <w:rStyle w:val="Hiperligao"/>
            <w:noProof/>
          </w:rPr>
          <w:t>Tableau 23</w:t>
        </w:r>
        <w:r w:rsidR="00485BA4" w:rsidRPr="00485BA4">
          <w:rPr>
            <w:rStyle w:val="Hiperligao"/>
            <w:rFonts w:eastAsia="Times New Roman" w:cs="Calibri"/>
            <w:bCs/>
            <w:noProof/>
            <w:lang w:val="fr-CA" w:eastAsia="en-US"/>
          </w:rPr>
          <w:t xml:space="preserve">: </w:t>
        </w:r>
        <w:r w:rsidR="00485BA4" w:rsidRPr="00485BA4">
          <w:rPr>
            <w:rStyle w:val="Hiperligao"/>
            <w:rFonts w:eastAsia="Times New Roman" w:cs="Calibri"/>
            <w:bCs/>
            <w:noProof/>
            <w:lang w:eastAsia="en-US"/>
          </w:rPr>
          <w:t>Plan d’action de mise en œuvre et de suivi- évaluation du CGES</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_Toc73522629 \h </w:instrText>
        </w:r>
        <w:r w:rsidR="00485BA4" w:rsidRPr="00485BA4">
          <w:rPr>
            <w:noProof/>
            <w:webHidden/>
          </w:rPr>
        </w:r>
        <w:r w:rsidR="00485BA4" w:rsidRPr="00485BA4">
          <w:rPr>
            <w:noProof/>
            <w:webHidden/>
          </w:rPr>
          <w:fldChar w:fldCharType="separate"/>
        </w:r>
        <w:r w:rsidR="007064D4">
          <w:rPr>
            <w:noProof/>
            <w:webHidden/>
          </w:rPr>
          <w:t>88</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30" w:history="1">
        <w:r w:rsidR="00485BA4" w:rsidRPr="00485BA4">
          <w:rPr>
            <w:rStyle w:val="Hiperligao"/>
            <w:noProof/>
          </w:rPr>
          <w:t>Tableau 24. Thèmes développés dans la sensibilisation et mobilisation des populations</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_Toc73522630 \h </w:instrText>
        </w:r>
        <w:r w:rsidR="00485BA4" w:rsidRPr="00485BA4">
          <w:rPr>
            <w:noProof/>
            <w:webHidden/>
          </w:rPr>
        </w:r>
        <w:r w:rsidR="00485BA4" w:rsidRPr="00485BA4">
          <w:rPr>
            <w:noProof/>
            <w:webHidden/>
          </w:rPr>
          <w:fldChar w:fldCharType="separate"/>
        </w:r>
        <w:r w:rsidR="007064D4">
          <w:rPr>
            <w:noProof/>
            <w:webHidden/>
          </w:rPr>
          <w:t>92</w:t>
        </w:r>
        <w:r w:rsidR="00485BA4" w:rsidRPr="00485BA4">
          <w:rPr>
            <w:noProof/>
            <w:webHidden/>
          </w:rPr>
          <w:fldChar w:fldCharType="end"/>
        </w:r>
      </w:hyperlink>
    </w:p>
    <w:p w:rsidR="00485BA4" w:rsidRPr="00485BA4" w:rsidRDefault="00D00D1D">
      <w:pPr>
        <w:pStyle w:val="ndicedeilustraes"/>
        <w:tabs>
          <w:tab w:val="right" w:leader="dot" w:pos="9913"/>
        </w:tabs>
        <w:rPr>
          <w:rFonts w:asciiTheme="minorHAnsi" w:eastAsiaTheme="minorEastAsia" w:hAnsiTheme="minorHAnsi" w:cstheme="minorBidi"/>
          <w:noProof/>
          <w:sz w:val="22"/>
          <w:szCs w:val="22"/>
        </w:rPr>
      </w:pPr>
      <w:hyperlink w:anchor="_Toc73522631" w:history="1">
        <w:r w:rsidR="00485BA4" w:rsidRPr="00485BA4">
          <w:rPr>
            <w:rStyle w:val="Hiperligao"/>
            <w:noProof/>
          </w:rPr>
          <w:t>Tableau 25. Coûts estimatifs des mesures environnementales et sociales</w:t>
        </w:r>
        <w:r w:rsidR="00485BA4" w:rsidRPr="00485BA4">
          <w:rPr>
            <w:noProof/>
            <w:webHidden/>
          </w:rPr>
          <w:tab/>
        </w:r>
        <w:r w:rsidR="00485BA4" w:rsidRPr="00485BA4">
          <w:rPr>
            <w:noProof/>
            <w:webHidden/>
          </w:rPr>
          <w:fldChar w:fldCharType="begin"/>
        </w:r>
        <w:r w:rsidR="00485BA4" w:rsidRPr="00485BA4">
          <w:rPr>
            <w:noProof/>
            <w:webHidden/>
          </w:rPr>
          <w:instrText xml:space="preserve"> PAGEREF _Toc73522631 \h </w:instrText>
        </w:r>
        <w:r w:rsidR="00485BA4" w:rsidRPr="00485BA4">
          <w:rPr>
            <w:noProof/>
            <w:webHidden/>
          </w:rPr>
        </w:r>
        <w:r w:rsidR="00485BA4" w:rsidRPr="00485BA4">
          <w:rPr>
            <w:noProof/>
            <w:webHidden/>
          </w:rPr>
          <w:fldChar w:fldCharType="separate"/>
        </w:r>
        <w:r w:rsidR="007064D4">
          <w:rPr>
            <w:noProof/>
            <w:webHidden/>
          </w:rPr>
          <w:t>94</w:t>
        </w:r>
        <w:r w:rsidR="00485BA4" w:rsidRPr="00485BA4">
          <w:rPr>
            <w:noProof/>
            <w:webHidden/>
          </w:rPr>
          <w:fldChar w:fldCharType="end"/>
        </w:r>
      </w:hyperlink>
    </w:p>
    <w:p w:rsidR="00804947" w:rsidRPr="009247AD" w:rsidRDefault="005070EE" w:rsidP="005070EE">
      <w:pPr>
        <w:jc w:val="both"/>
        <w:rPr>
          <w:sz w:val="20"/>
          <w:szCs w:val="20"/>
        </w:rPr>
      </w:pPr>
      <w:r w:rsidRPr="00485BA4">
        <w:rPr>
          <w:sz w:val="20"/>
          <w:szCs w:val="20"/>
        </w:rPr>
        <w:fldChar w:fldCharType="end"/>
      </w:r>
    </w:p>
    <w:p w:rsidR="005070EE" w:rsidRPr="00A05698" w:rsidRDefault="005070EE" w:rsidP="002442FE">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Toc477774425"/>
      <w:bookmarkStart w:id="10" w:name="_Toc493752547"/>
      <w:bookmarkStart w:id="11" w:name="_Toc527881980"/>
      <w:bookmarkStart w:id="12" w:name="_Toc10451967"/>
      <w:bookmarkStart w:id="13" w:name="_Toc17385722"/>
      <w:bookmarkStart w:id="14" w:name="_Toc73459695"/>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LISTE DES FIGURES</w:t>
      </w:r>
      <w:bookmarkEnd w:id="9"/>
      <w:bookmarkEnd w:id="10"/>
      <w:bookmarkEnd w:id="11"/>
      <w:bookmarkEnd w:id="12"/>
      <w:bookmarkEnd w:id="13"/>
      <w:bookmarkEnd w:id="14"/>
    </w:p>
    <w:p w:rsidR="005070EE" w:rsidRPr="00A05698" w:rsidRDefault="005070EE" w:rsidP="005070EE">
      <w:pPr>
        <w:jc w:val="both"/>
        <w:rPr>
          <w:b/>
        </w:rPr>
      </w:pPr>
    </w:p>
    <w:p w:rsidR="00BE0248" w:rsidRPr="00BE0248" w:rsidRDefault="005070EE">
      <w:pPr>
        <w:pStyle w:val="ndicedeilustraes"/>
        <w:tabs>
          <w:tab w:val="right" w:leader="dot" w:pos="9913"/>
        </w:tabs>
        <w:rPr>
          <w:rFonts w:asciiTheme="minorHAnsi" w:eastAsiaTheme="minorEastAsia" w:hAnsiTheme="minorHAnsi" w:cstheme="minorBidi"/>
          <w:noProof/>
          <w:sz w:val="22"/>
          <w:szCs w:val="22"/>
        </w:rPr>
      </w:pPr>
      <w:r w:rsidRPr="00BE0248">
        <w:rPr>
          <w:smallCaps/>
          <w:sz w:val="20"/>
          <w:szCs w:val="20"/>
        </w:rPr>
        <w:fldChar w:fldCharType="begin"/>
      </w:r>
      <w:r w:rsidRPr="00BE0248">
        <w:rPr>
          <w:sz w:val="20"/>
          <w:szCs w:val="20"/>
        </w:rPr>
        <w:instrText xml:space="preserve"> </w:instrText>
      </w:r>
      <w:r w:rsidR="006C5620" w:rsidRPr="00BE0248">
        <w:rPr>
          <w:sz w:val="20"/>
          <w:szCs w:val="20"/>
        </w:rPr>
        <w:instrText>TOC</w:instrText>
      </w:r>
      <w:r w:rsidRPr="00BE0248">
        <w:rPr>
          <w:sz w:val="20"/>
          <w:szCs w:val="20"/>
        </w:rPr>
        <w:instrText xml:space="preserve"> \h \z \c "Figure" </w:instrText>
      </w:r>
      <w:r w:rsidRPr="00BE0248">
        <w:rPr>
          <w:smallCaps/>
          <w:sz w:val="20"/>
          <w:szCs w:val="20"/>
        </w:rPr>
        <w:fldChar w:fldCharType="separate"/>
      </w:r>
      <w:hyperlink w:anchor="_Toc73522783" w:history="1">
        <w:r w:rsidR="00BE0248" w:rsidRPr="00BE0248">
          <w:rPr>
            <w:rStyle w:val="Hiperligao"/>
            <w:noProof/>
          </w:rPr>
          <w:t>Figure 1 : Situation alimentaire et nutritionnelle courante en Guinée Bissau</w:t>
        </w:r>
        <w:r w:rsidR="00BE0248" w:rsidRPr="00BE0248">
          <w:rPr>
            <w:noProof/>
            <w:webHidden/>
          </w:rPr>
          <w:tab/>
        </w:r>
        <w:r w:rsidR="00BE0248" w:rsidRPr="00BE0248">
          <w:rPr>
            <w:noProof/>
            <w:webHidden/>
          </w:rPr>
          <w:fldChar w:fldCharType="begin"/>
        </w:r>
        <w:r w:rsidR="00BE0248" w:rsidRPr="00BE0248">
          <w:rPr>
            <w:noProof/>
            <w:webHidden/>
          </w:rPr>
          <w:instrText xml:space="preserve"> PAGEREF _Toc73522783 \h </w:instrText>
        </w:r>
        <w:r w:rsidR="00BE0248" w:rsidRPr="00BE0248">
          <w:rPr>
            <w:noProof/>
            <w:webHidden/>
          </w:rPr>
        </w:r>
        <w:r w:rsidR="00BE0248" w:rsidRPr="00BE0248">
          <w:rPr>
            <w:noProof/>
            <w:webHidden/>
          </w:rPr>
          <w:fldChar w:fldCharType="separate"/>
        </w:r>
        <w:r w:rsidR="007064D4">
          <w:rPr>
            <w:noProof/>
            <w:webHidden/>
          </w:rPr>
          <w:t>14</w:t>
        </w:r>
        <w:r w:rsidR="00BE0248" w:rsidRPr="00BE0248">
          <w:rPr>
            <w:noProof/>
            <w:webHidden/>
          </w:rPr>
          <w:fldChar w:fldCharType="end"/>
        </w:r>
      </w:hyperlink>
    </w:p>
    <w:p w:rsidR="00BE0248" w:rsidRPr="00BE0248" w:rsidRDefault="00D00D1D">
      <w:pPr>
        <w:pStyle w:val="ndicedeilustraes"/>
        <w:tabs>
          <w:tab w:val="right" w:leader="dot" w:pos="9913"/>
        </w:tabs>
        <w:rPr>
          <w:rFonts w:asciiTheme="minorHAnsi" w:eastAsiaTheme="minorEastAsia" w:hAnsiTheme="minorHAnsi" w:cstheme="minorBidi"/>
          <w:noProof/>
          <w:sz w:val="22"/>
          <w:szCs w:val="22"/>
        </w:rPr>
      </w:pPr>
      <w:hyperlink w:anchor="_Toc73522784" w:history="1">
        <w:r w:rsidR="00BE0248" w:rsidRPr="00BE0248">
          <w:rPr>
            <w:rStyle w:val="Hiperligao"/>
            <w:noProof/>
          </w:rPr>
          <w:t>Figure 2 : situation alimentaire et nutritionnelle projetée en Guinée Bissau</w:t>
        </w:r>
        <w:r w:rsidR="00BE0248" w:rsidRPr="00BE0248">
          <w:rPr>
            <w:noProof/>
            <w:webHidden/>
          </w:rPr>
          <w:tab/>
        </w:r>
        <w:r w:rsidR="00BE0248" w:rsidRPr="00BE0248">
          <w:rPr>
            <w:noProof/>
            <w:webHidden/>
          </w:rPr>
          <w:fldChar w:fldCharType="begin"/>
        </w:r>
        <w:r w:rsidR="00BE0248" w:rsidRPr="00BE0248">
          <w:rPr>
            <w:noProof/>
            <w:webHidden/>
          </w:rPr>
          <w:instrText xml:space="preserve"> PAGEREF _Toc73522784 \h </w:instrText>
        </w:r>
        <w:r w:rsidR="00BE0248" w:rsidRPr="00BE0248">
          <w:rPr>
            <w:noProof/>
            <w:webHidden/>
          </w:rPr>
        </w:r>
        <w:r w:rsidR="00BE0248" w:rsidRPr="00BE0248">
          <w:rPr>
            <w:noProof/>
            <w:webHidden/>
          </w:rPr>
          <w:fldChar w:fldCharType="separate"/>
        </w:r>
        <w:r w:rsidR="007064D4">
          <w:rPr>
            <w:noProof/>
            <w:webHidden/>
          </w:rPr>
          <w:t>15</w:t>
        </w:r>
        <w:r w:rsidR="00BE0248" w:rsidRPr="00BE0248">
          <w:rPr>
            <w:noProof/>
            <w:webHidden/>
          </w:rPr>
          <w:fldChar w:fldCharType="end"/>
        </w:r>
      </w:hyperlink>
    </w:p>
    <w:p w:rsidR="00BE0248" w:rsidRPr="00BE0248" w:rsidRDefault="00D00D1D">
      <w:pPr>
        <w:pStyle w:val="ndicedeilustraes"/>
        <w:tabs>
          <w:tab w:val="right" w:leader="dot" w:pos="9913"/>
        </w:tabs>
        <w:rPr>
          <w:rFonts w:asciiTheme="minorHAnsi" w:eastAsiaTheme="minorEastAsia" w:hAnsiTheme="minorHAnsi" w:cstheme="minorBidi"/>
          <w:noProof/>
          <w:sz w:val="22"/>
          <w:szCs w:val="22"/>
        </w:rPr>
      </w:pPr>
      <w:hyperlink r:id="rId20" w:anchor="_Toc73522785" w:history="1">
        <w:r w:rsidR="00BE0248" w:rsidRPr="00BE0248">
          <w:rPr>
            <w:rStyle w:val="Hiperligao"/>
            <w:noProof/>
          </w:rPr>
          <w:t>Figure 3 : Carte géographique de la république de Guinée Bissau</w:t>
        </w:r>
        <w:r w:rsidR="00BE0248" w:rsidRPr="00BE0248">
          <w:rPr>
            <w:noProof/>
            <w:webHidden/>
          </w:rPr>
          <w:tab/>
        </w:r>
        <w:r w:rsidR="00BE0248" w:rsidRPr="00BE0248">
          <w:rPr>
            <w:noProof/>
            <w:webHidden/>
          </w:rPr>
          <w:fldChar w:fldCharType="begin"/>
        </w:r>
        <w:r w:rsidR="00BE0248" w:rsidRPr="00BE0248">
          <w:rPr>
            <w:noProof/>
            <w:webHidden/>
          </w:rPr>
          <w:instrText xml:space="preserve"> PAGEREF _Toc73522785 \h </w:instrText>
        </w:r>
        <w:r w:rsidR="00BE0248" w:rsidRPr="00BE0248">
          <w:rPr>
            <w:noProof/>
            <w:webHidden/>
          </w:rPr>
        </w:r>
        <w:r w:rsidR="00BE0248" w:rsidRPr="00BE0248">
          <w:rPr>
            <w:noProof/>
            <w:webHidden/>
          </w:rPr>
          <w:fldChar w:fldCharType="separate"/>
        </w:r>
        <w:r w:rsidR="007064D4">
          <w:rPr>
            <w:noProof/>
            <w:webHidden/>
          </w:rPr>
          <w:t>35</w:t>
        </w:r>
        <w:r w:rsidR="00BE0248" w:rsidRPr="00BE0248">
          <w:rPr>
            <w:noProof/>
            <w:webHidden/>
          </w:rPr>
          <w:fldChar w:fldCharType="end"/>
        </w:r>
      </w:hyperlink>
    </w:p>
    <w:p w:rsidR="00BE0248" w:rsidRPr="00BE0248" w:rsidRDefault="00D00D1D">
      <w:pPr>
        <w:pStyle w:val="ndicedeilustraes"/>
        <w:tabs>
          <w:tab w:val="right" w:leader="dot" w:pos="9913"/>
        </w:tabs>
        <w:rPr>
          <w:rFonts w:asciiTheme="minorHAnsi" w:eastAsiaTheme="minorEastAsia" w:hAnsiTheme="minorHAnsi" w:cstheme="minorBidi"/>
          <w:noProof/>
          <w:sz w:val="22"/>
          <w:szCs w:val="22"/>
        </w:rPr>
      </w:pPr>
      <w:hyperlink w:anchor="_Toc73522786" w:history="1">
        <w:r w:rsidR="00BE0248" w:rsidRPr="00BE0248">
          <w:rPr>
            <w:rStyle w:val="Hiperligao"/>
            <w:noProof/>
          </w:rPr>
          <w:t>Figure 4 : Réseau hydrographique de la Guinée-Bissau, adapté de G. Pennober, in 1ª CNSMC, 2004</w:t>
        </w:r>
        <w:r w:rsidR="00BE0248" w:rsidRPr="00BE0248">
          <w:rPr>
            <w:noProof/>
            <w:webHidden/>
          </w:rPr>
          <w:tab/>
        </w:r>
        <w:r w:rsidR="00BE0248" w:rsidRPr="00BE0248">
          <w:rPr>
            <w:noProof/>
            <w:webHidden/>
          </w:rPr>
          <w:fldChar w:fldCharType="begin"/>
        </w:r>
        <w:r w:rsidR="00BE0248" w:rsidRPr="00BE0248">
          <w:rPr>
            <w:noProof/>
            <w:webHidden/>
          </w:rPr>
          <w:instrText xml:space="preserve"> PAGEREF _Toc73522786 \h </w:instrText>
        </w:r>
        <w:r w:rsidR="00BE0248" w:rsidRPr="00BE0248">
          <w:rPr>
            <w:noProof/>
            <w:webHidden/>
          </w:rPr>
        </w:r>
        <w:r w:rsidR="00BE0248" w:rsidRPr="00BE0248">
          <w:rPr>
            <w:noProof/>
            <w:webHidden/>
          </w:rPr>
          <w:fldChar w:fldCharType="separate"/>
        </w:r>
        <w:r w:rsidR="007064D4">
          <w:rPr>
            <w:noProof/>
            <w:webHidden/>
          </w:rPr>
          <w:t>38</w:t>
        </w:r>
        <w:r w:rsidR="00BE0248" w:rsidRPr="00BE0248">
          <w:rPr>
            <w:noProof/>
            <w:webHidden/>
          </w:rPr>
          <w:fldChar w:fldCharType="end"/>
        </w:r>
      </w:hyperlink>
    </w:p>
    <w:p w:rsidR="00BE0248" w:rsidRPr="00BE0248" w:rsidRDefault="00D00D1D">
      <w:pPr>
        <w:pStyle w:val="ndicedeilustraes"/>
        <w:tabs>
          <w:tab w:val="right" w:leader="dot" w:pos="9913"/>
        </w:tabs>
        <w:rPr>
          <w:rFonts w:asciiTheme="minorHAnsi" w:eastAsiaTheme="minorEastAsia" w:hAnsiTheme="minorHAnsi" w:cstheme="minorBidi"/>
          <w:noProof/>
          <w:sz w:val="22"/>
          <w:szCs w:val="22"/>
        </w:rPr>
      </w:pPr>
      <w:hyperlink w:anchor="_Toc73522787" w:history="1">
        <w:r w:rsidR="00BE0248" w:rsidRPr="00BE0248">
          <w:rPr>
            <w:rStyle w:val="Hiperligao"/>
            <w:noProof/>
          </w:rPr>
          <w:t>Figure 5 : Carte d’occupation des sols de la Guinée-Bissau</w:t>
        </w:r>
        <w:r w:rsidR="00BE0248" w:rsidRPr="00BE0248">
          <w:rPr>
            <w:noProof/>
            <w:webHidden/>
          </w:rPr>
          <w:tab/>
        </w:r>
        <w:r w:rsidR="00BE0248" w:rsidRPr="00BE0248">
          <w:rPr>
            <w:noProof/>
            <w:webHidden/>
          </w:rPr>
          <w:fldChar w:fldCharType="begin"/>
        </w:r>
        <w:r w:rsidR="00BE0248" w:rsidRPr="00BE0248">
          <w:rPr>
            <w:noProof/>
            <w:webHidden/>
          </w:rPr>
          <w:instrText xml:space="preserve"> PAGEREF _Toc73522787 \h </w:instrText>
        </w:r>
        <w:r w:rsidR="00BE0248" w:rsidRPr="00BE0248">
          <w:rPr>
            <w:noProof/>
            <w:webHidden/>
          </w:rPr>
        </w:r>
        <w:r w:rsidR="00BE0248" w:rsidRPr="00BE0248">
          <w:rPr>
            <w:noProof/>
            <w:webHidden/>
          </w:rPr>
          <w:fldChar w:fldCharType="separate"/>
        </w:r>
        <w:r w:rsidR="007064D4">
          <w:rPr>
            <w:noProof/>
            <w:webHidden/>
          </w:rPr>
          <w:t>41</w:t>
        </w:r>
        <w:r w:rsidR="00BE0248" w:rsidRPr="00BE0248">
          <w:rPr>
            <w:noProof/>
            <w:webHidden/>
          </w:rPr>
          <w:fldChar w:fldCharType="end"/>
        </w:r>
      </w:hyperlink>
    </w:p>
    <w:p w:rsidR="00BE0248" w:rsidRPr="00BE0248" w:rsidRDefault="00D00D1D">
      <w:pPr>
        <w:pStyle w:val="ndicedeilustraes"/>
        <w:tabs>
          <w:tab w:val="right" w:leader="dot" w:pos="9913"/>
        </w:tabs>
        <w:rPr>
          <w:rFonts w:asciiTheme="minorHAnsi" w:eastAsiaTheme="minorEastAsia" w:hAnsiTheme="minorHAnsi" w:cstheme="minorBidi"/>
          <w:noProof/>
          <w:sz w:val="22"/>
          <w:szCs w:val="22"/>
        </w:rPr>
      </w:pPr>
      <w:hyperlink w:anchor="_Toc73522788" w:history="1">
        <w:r w:rsidR="00BE0248" w:rsidRPr="00BE0248">
          <w:rPr>
            <w:rStyle w:val="Hiperligao"/>
            <w:noProof/>
          </w:rPr>
          <w:t xml:space="preserve">Figure 6 </w:t>
        </w:r>
        <w:r w:rsidR="00BE0248" w:rsidRPr="00BE0248">
          <w:rPr>
            <w:rStyle w:val="Hiperligao"/>
            <w:rFonts w:eastAsia="Times New Roman"/>
            <w:noProof/>
          </w:rPr>
          <w:t>:</w:t>
        </w:r>
        <w:r w:rsidR="00BE0248" w:rsidRPr="00BE0248">
          <w:rPr>
            <w:rStyle w:val="Hiperligao"/>
            <w:noProof/>
          </w:rPr>
          <w:t xml:space="preserve"> </w:t>
        </w:r>
        <w:r w:rsidR="00BE0248" w:rsidRPr="00BE0248">
          <w:rPr>
            <w:rStyle w:val="Hiperligao"/>
            <w:rFonts w:eastAsia="Times New Roman"/>
            <w:noProof/>
          </w:rPr>
          <w:t>Aires protégées du pays</w:t>
        </w:r>
        <w:r w:rsidR="00BE0248" w:rsidRPr="00BE0248">
          <w:rPr>
            <w:noProof/>
            <w:webHidden/>
          </w:rPr>
          <w:tab/>
        </w:r>
        <w:r w:rsidR="00BE0248" w:rsidRPr="00BE0248">
          <w:rPr>
            <w:noProof/>
            <w:webHidden/>
          </w:rPr>
          <w:fldChar w:fldCharType="begin"/>
        </w:r>
        <w:r w:rsidR="00BE0248" w:rsidRPr="00BE0248">
          <w:rPr>
            <w:noProof/>
            <w:webHidden/>
          </w:rPr>
          <w:instrText xml:space="preserve"> PAGEREF _Toc73522788 \h </w:instrText>
        </w:r>
        <w:r w:rsidR="00BE0248" w:rsidRPr="00BE0248">
          <w:rPr>
            <w:noProof/>
            <w:webHidden/>
          </w:rPr>
        </w:r>
        <w:r w:rsidR="00BE0248" w:rsidRPr="00BE0248">
          <w:rPr>
            <w:noProof/>
            <w:webHidden/>
          </w:rPr>
          <w:fldChar w:fldCharType="separate"/>
        </w:r>
        <w:r w:rsidR="007064D4">
          <w:rPr>
            <w:noProof/>
            <w:webHidden/>
          </w:rPr>
          <w:t>42</w:t>
        </w:r>
        <w:r w:rsidR="00BE0248" w:rsidRPr="00BE0248">
          <w:rPr>
            <w:noProof/>
            <w:webHidden/>
          </w:rPr>
          <w:fldChar w:fldCharType="end"/>
        </w:r>
      </w:hyperlink>
    </w:p>
    <w:p w:rsidR="00BE0248" w:rsidRPr="00BE0248" w:rsidRDefault="00D00D1D">
      <w:pPr>
        <w:pStyle w:val="ndicedeilustraes"/>
        <w:tabs>
          <w:tab w:val="right" w:leader="dot" w:pos="9913"/>
        </w:tabs>
        <w:rPr>
          <w:rFonts w:asciiTheme="minorHAnsi" w:eastAsiaTheme="minorEastAsia" w:hAnsiTheme="minorHAnsi" w:cstheme="minorBidi"/>
          <w:noProof/>
          <w:sz w:val="22"/>
          <w:szCs w:val="22"/>
        </w:rPr>
      </w:pPr>
      <w:hyperlink w:anchor="_Toc73522789" w:history="1">
        <w:r w:rsidR="00BE0248" w:rsidRPr="00BE0248">
          <w:rPr>
            <w:rStyle w:val="Hiperligao"/>
            <w:noProof/>
          </w:rPr>
          <w:t>Figure 7 : représentation graphique de la répartition des grands groupes ethniques</w:t>
        </w:r>
        <w:r w:rsidR="00BE0248" w:rsidRPr="00BE0248">
          <w:rPr>
            <w:noProof/>
            <w:webHidden/>
          </w:rPr>
          <w:tab/>
        </w:r>
        <w:r w:rsidR="00BE0248" w:rsidRPr="00BE0248">
          <w:rPr>
            <w:noProof/>
            <w:webHidden/>
          </w:rPr>
          <w:fldChar w:fldCharType="begin"/>
        </w:r>
        <w:r w:rsidR="00BE0248" w:rsidRPr="00BE0248">
          <w:rPr>
            <w:noProof/>
            <w:webHidden/>
          </w:rPr>
          <w:instrText xml:space="preserve"> PAGEREF _Toc73522789 \h </w:instrText>
        </w:r>
        <w:r w:rsidR="00BE0248" w:rsidRPr="00BE0248">
          <w:rPr>
            <w:noProof/>
            <w:webHidden/>
          </w:rPr>
        </w:r>
        <w:r w:rsidR="00BE0248" w:rsidRPr="00BE0248">
          <w:rPr>
            <w:noProof/>
            <w:webHidden/>
          </w:rPr>
          <w:fldChar w:fldCharType="separate"/>
        </w:r>
        <w:r w:rsidR="007064D4">
          <w:rPr>
            <w:noProof/>
            <w:webHidden/>
          </w:rPr>
          <w:t>44</w:t>
        </w:r>
        <w:r w:rsidR="00BE0248" w:rsidRPr="00BE0248">
          <w:rPr>
            <w:noProof/>
            <w:webHidden/>
          </w:rPr>
          <w:fldChar w:fldCharType="end"/>
        </w:r>
      </w:hyperlink>
    </w:p>
    <w:p w:rsidR="00BE0248" w:rsidRPr="00BE0248" w:rsidRDefault="00D00D1D">
      <w:pPr>
        <w:pStyle w:val="ndicedeilustraes"/>
        <w:tabs>
          <w:tab w:val="right" w:leader="dot" w:pos="9913"/>
        </w:tabs>
        <w:rPr>
          <w:rFonts w:asciiTheme="minorHAnsi" w:eastAsiaTheme="minorEastAsia" w:hAnsiTheme="minorHAnsi" w:cstheme="minorBidi"/>
          <w:noProof/>
          <w:sz w:val="22"/>
          <w:szCs w:val="22"/>
        </w:rPr>
      </w:pPr>
      <w:hyperlink w:anchor="_Toc73522790" w:history="1">
        <w:r w:rsidR="00BE0248" w:rsidRPr="00BE0248">
          <w:rPr>
            <w:rStyle w:val="Hiperligao"/>
            <w:noProof/>
          </w:rPr>
          <w:t>Figure 8 : Diagramme de fonctionnement du MGP du projet PUSA</w:t>
        </w:r>
        <w:r w:rsidR="00BE0248" w:rsidRPr="00BE0248">
          <w:rPr>
            <w:noProof/>
            <w:webHidden/>
          </w:rPr>
          <w:tab/>
        </w:r>
        <w:r w:rsidR="00BE0248" w:rsidRPr="00BE0248">
          <w:rPr>
            <w:noProof/>
            <w:webHidden/>
          </w:rPr>
          <w:fldChar w:fldCharType="begin"/>
        </w:r>
        <w:r w:rsidR="00BE0248" w:rsidRPr="00BE0248">
          <w:rPr>
            <w:noProof/>
            <w:webHidden/>
          </w:rPr>
          <w:instrText xml:space="preserve"> PAGEREF _Toc73522790 \h </w:instrText>
        </w:r>
        <w:r w:rsidR="00BE0248" w:rsidRPr="00BE0248">
          <w:rPr>
            <w:noProof/>
            <w:webHidden/>
          </w:rPr>
        </w:r>
        <w:r w:rsidR="00BE0248" w:rsidRPr="00BE0248">
          <w:rPr>
            <w:noProof/>
            <w:webHidden/>
          </w:rPr>
          <w:fldChar w:fldCharType="separate"/>
        </w:r>
        <w:r w:rsidR="007064D4">
          <w:rPr>
            <w:noProof/>
            <w:webHidden/>
          </w:rPr>
          <w:t>106</w:t>
        </w:r>
        <w:r w:rsidR="00BE0248" w:rsidRPr="00BE0248">
          <w:rPr>
            <w:noProof/>
            <w:webHidden/>
          </w:rPr>
          <w:fldChar w:fldCharType="end"/>
        </w:r>
      </w:hyperlink>
    </w:p>
    <w:p w:rsidR="00DE7AE9" w:rsidRPr="007F24B6" w:rsidRDefault="005070EE" w:rsidP="005070EE">
      <w:pPr>
        <w:jc w:val="both"/>
      </w:pPr>
      <w:r w:rsidRPr="00BE0248">
        <w:rPr>
          <w:sz w:val="20"/>
          <w:szCs w:val="20"/>
        </w:rPr>
        <w:fldChar w:fldCharType="end"/>
      </w:r>
    </w:p>
    <w:p w:rsidR="005070EE" w:rsidRPr="00A05698" w:rsidRDefault="005070EE" w:rsidP="002442FE">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 w:name="_Toc73459696"/>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LISTE DES </w:t>
      </w:r>
      <w:r w:rsidR="009463C6"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DIAGRAMME</w:t>
      </w:r>
      <w:bookmarkEnd w:id="15"/>
    </w:p>
    <w:p w:rsidR="005070EE" w:rsidRPr="00A05698" w:rsidRDefault="005070EE" w:rsidP="005070EE">
      <w:pPr>
        <w:jc w:val="both"/>
        <w:rPr>
          <w:b/>
        </w:rPr>
      </w:pPr>
    </w:p>
    <w:p w:rsidR="00BE0248" w:rsidRDefault="005070EE">
      <w:pPr>
        <w:pStyle w:val="ndicedeilustraes"/>
        <w:tabs>
          <w:tab w:val="right" w:leader="dot" w:pos="9913"/>
        </w:tabs>
        <w:rPr>
          <w:rFonts w:asciiTheme="minorHAnsi" w:eastAsiaTheme="minorEastAsia" w:hAnsiTheme="minorHAnsi" w:cstheme="minorBidi"/>
          <w:noProof/>
          <w:sz w:val="22"/>
          <w:szCs w:val="22"/>
        </w:rPr>
      </w:pPr>
      <w:r w:rsidRPr="00A05698">
        <w:rPr>
          <w:b/>
          <w:smallCaps/>
        </w:rPr>
        <w:fldChar w:fldCharType="begin"/>
      </w:r>
      <w:r w:rsidRPr="00A05698">
        <w:rPr>
          <w:b/>
        </w:rPr>
        <w:instrText xml:space="preserve"> </w:instrText>
      </w:r>
      <w:r w:rsidR="006C5620">
        <w:rPr>
          <w:b/>
        </w:rPr>
        <w:instrText>TOC</w:instrText>
      </w:r>
      <w:r w:rsidRPr="00A05698">
        <w:rPr>
          <w:b/>
        </w:rPr>
        <w:instrText xml:space="preserve"> \h \z \c "Diagramme " </w:instrText>
      </w:r>
      <w:r w:rsidRPr="00A05698">
        <w:rPr>
          <w:b/>
          <w:smallCaps/>
        </w:rPr>
        <w:fldChar w:fldCharType="separate"/>
      </w:r>
      <w:hyperlink w:anchor="_Toc73522798" w:history="1">
        <w:r w:rsidR="00BE0248" w:rsidRPr="00CA6593">
          <w:rPr>
            <w:rStyle w:val="Hiperligao"/>
            <w:noProof/>
          </w:rPr>
          <w:t>Diagramme  1: Températures et précipitations moyennes</w:t>
        </w:r>
        <w:r w:rsidR="00BE0248">
          <w:rPr>
            <w:noProof/>
            <w:webHidden/>
          </w:rPr>
          <w:tab/>
        </w:r>
        <w:r w:rsidR="00BE0248">
          <w:rPr>
            <w:noProof/>
            <w:webHidden/>
          </w:rPr>
          <w:fldChar w:fldCharType="begin"/>
        </w:r>
        <w:r w:rsidR="00BE0248">
          <w:rPr>
            <w:noProof/>
            <w:webHidden/>
          </w:rPr>
          <w:instrText xml:space="preserve"> PAGEREF _Toc73522798 \h </w:instrText>
        </w:r>
        <w:r w:rsidR="00BE0248">
          <w:rPr>
            <w:noProof/>
            <w:webHidden/>
          </w:rPr>
        </w:r>
        <w:r w:rsidR="00BE0248">
          <w:rPr>
            <w:noProof/>
            <w:webHidden/>
          </w:rPr>
          <w:fldChar w:fldCharType="separate"/>
        </w:r>
        <w:r w:rsidR="00BE0248">
          <w:rPr>
            <w:noProof/>
            <w:webHidden/>
          </w:rPr>
          <w:t>36</w:t>
        </w:r>
        <w:r w:rsidR="00BE0248">
          <w:rPr>
            <w:noProof/>
            <w:webHidden/>
          </w:rPr>
          <w:fldChar w:fldCharType="end"/>
        </w:r>
      </w:hyperlink>
    </w:p>
    <w:p w:rsidR="005070EE" w:rsidRPr="00A05698" w:rsidRDefault="005070EE" w:rsidP="005070EE">
      <w:pPr>
        <w:jc w:val="both"/>
        <w:rPr>
          <w:b/>
        </w:rPr>
      </w:pPr>
      <w:r w:rsidRPr="00A05698">
        <w:rPr>
          <w:b/>
        </w:rPr>
        <w:fldChar w:fldCharType="end"/>
      </w:r>
    </w:p>
    <w:p w:rsidR="005070EE" w:rsidRDefault="005070EE" w:rsidP="004F4212">
      <w:pPr>
        <w:tabs>
          <w:tab w:val="right" w:leader="dot" w:pos="10348"/>
        </w:tabs>
        <w:rPr>
          <w:bCs/>
        </w:rPr>
      </w:pPr>
    </w:p>
    <w:p w:rsidR="00BE0248" w:rsidRDefault="00BE0248" w:rsidP="004F4212">
      <w:pPr>
        <w:tabs>
          <w:tab w:val="right" w:leader="dot" w:pos="10348"/>
        </w:tabs>
        <w:rPr>
          <w:bCs/>
        </w:rPr>
      </w:pPr>
    </w:p>
    <w:p w:rsidR="007064D4" w:rsidRDefault="007064D4" w:rsidP="004F4212">
      <w:pPr>
        <w:tabs>
          <w:tab w:val="right" w:leader="dot" w:pos="10348"/>
        </w:tabs>
        <w:rPr>
          <w:bCs/>
        </w:rPr>
      </w:pPr>
    </w:p>
    <w:p w:rsidR="007064D4" w:rsidRDefault="007064D4" w:rsidP="004F4212">
      <w:pPr>
        <w:tabs>
          <w:tab w:val="right" w:leader="dot" w:pos="10348"/>
        </w:tabs>
        <w:rPr>
          <w:bCs/>
        </w:rPr>
      </w:pPr>
    </w:p>
    <w:p w:rsidR="007064D4" w:rsidRPr="00A05698" w:rsidRDefault="007064D4" w:rsidP="004F4212">
      <w:pPr>
        <w:tabs>
          <w:tab w:val="right" w:leader="dot" w:pos="10348"/>
        </w:tabs>
        <w:rPr>
          <w:bCs/>
        </w:rPr>
      </w:pPr>
    </w:p>
    <w:p w:rsidR="005070EE" w:rsidRPr="00A05698" w:rsidRDefault="005070EE" w:rsidP="002442FE">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6" w:name="_Toc493752545"/>
      <w:bookmarkStart w:id="17" w:name="_Toc505616390"/>
      <w:bookmarkStart w:id="18" w:name="_Toc512872055"/>
      <w:bookmarkStart w:id="19" w:name="_Toc527881982"/>
      <w:bookmarkStart w:id="20" w:name="_Toc10451969"/>
      <w:bookmarkStart w:id="21" w:name="_Toc17385724"/>
      <w:bookmarkStart w:id="22" w:name="_Toc73459697"/>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LISTE DES SIGLES ET ABREVIATIONS</w:t>
      </w:r>
      <w:bookmarkEnd w:id="16"/>
      <w:bookmarkEnd w:id="17"/>
      <w:bookmarkEnd w:id="18"/>
      <w:bookmarkEnd w:id="19"/>
      <w:bookmarkEnd w:id="20"/>
      <w:bookmarkEnd w:id="21"/>
      <w:bookmarkEnd w:id="22"/>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5070EE" w:rsidRPr="00A05698" w:rsidRDefault="005070EE" w:rsidP="005070EE">
      <w:pPr>
        <w:jc w:val="both"/>
        <w:rPr>
          <w:b/>
        </w:rPr>
      </w:pP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AAAC</w:t>
      </w:r>
      <w:r w:rsidRPr="00A05698">
        <w:t xml:space="preserve">                        Autorité d’Évaluation Environnementale Compétente</w:t>
      </w:r>
    </w:p>
    <w:p w:rsidR="005070EE" w:rsidRPr="00A05698" w:rsidRDefault="0068138C" w:rsidP="004B1D13">
      <w:pPr>
        <w:widowControl w:val="0"/>
        <w:pBdr>
          <w:top w:val="double" w:sz="4" w:space="1" w:color="auto"/>
          <w:left w:val="double" w:sz="4" w:space="4" w:color="auto"/>
          <w:bottom w:val="double" w:sz="4" w:space="1" w:color="auto"/>
          <w:right w:val="double" w:sz="4" w:space="4" w:color="auto"/>
        </w:pBdr>
        <w:autoSpaceDE w:val="0"/>
        <w:autoSpaceDN w:val="0"/>
        <w:adjustRightInd w:val="0"/>
        <w:rPr>
          <w:rFonts w:eastAsia="MS Mincho"/>
          <w:color w:val="000000"/>
          <w:sz w:val="26"/>
          <w:szCs w:val="26"/>
          <w:lang w:eastAsia="en-US"/>
        </w:rPr>
      </w:pPr>
      <w:r w:rsidRPr="00A05698">
        <w:rPr>
          <w:b/>
          <w:color w:val="000000"/>
          <w:sz w:val="26"/>
          <w:szCs w:val="26"/>
          <w:lang w:eastAsia="en-US"/>
        </w:rPr>
        <w:t>AMAE</w:t>
      </w:r>
      <w:r w:rsidR="00EC2731" w:rsidRPr="00A05698">
        <w:rPr>
          <w:b/>
        </w:rPr>
        <w:t xml:space="preserve"> </w:t>
      </w:r>
      <w:r w:rsidR="00EC2731" w:rsidRPr="00A05698">
        <w:t xml:space="preserve">                      </w:t>
      </w:r>
      <w:r w:rsidR="00EC2731" w:rsidRPr="00A05698">
        <w:rPr>
          <w:color w:val="000000"/>
          <w:sz w:val="26"/>
          <w:szCs w:val="26"/>
          <w:lang w:eastAsia="en-US"/>
        </w:rPr>
        <w:t>Association des Femmes de l’activité économique</w:t>
      </w:r>
    </w:p>
    <w:p w:rsidR="00BB6A0C" w:rsidRPr="00A05698" w:rsidRDefault="00BB6A0C" w:rsidP="004B1D13">
      <w:pPr>
        <w:widowControl w:val="0"/>
        <w:pBdr>
          <w:top w:val="double" w:sz="4" w:space="1" w:color="auto"/>
          <w:left w:val="double" w:sz="4" w:space="4" w:color="auto"/>
          <w:bottom w:val="double" w:sz="4" w:space="1" w:color="auto"/>
          <w:right w:val="double" w:sz="4" w:space="4" w:color="auto"/>
        </w:pBdr>
        <w:autoSpaceDE w:val="0"/>
        <w:autoSpaceDN w:val="0"/>
        <w:adjustRightInd w:val="0"/>
        <w:rPr>
          <w:rFonts w:eastAsia="MS Mincho"/>
          <w:color w:val="000000"/>
          <w:sz w:val="26"/>
          <w:szCs w:val="26"/>
          <w:lang w:eastAsia="en-US"/>
        </w:rPr>
      </w:pPr>
      <w:r w:rsidRPr="00A05698">
        <w:rPr>
          <w:b/>
          <w:color w:val="000000"/>
          <w:sz w:val="26"/>
          <w:szCs w:val="26"/>
          <w:lang w:eastAsia="en-US"/>
        </w:rPr>
        <w:t>ANAG</w:t>
      </w:r>
      <w:r w:rsidRPr="00A05698">
        <w:rPr>
          <w:color w:val="000000"/>
          <w:sz w:val="26"/>
          <w:szCs w:val="26"/>
          <w:lang w:eastAsia="en-US"/>
        </w:rPr>
        <w:t xml:space="preserve">                     Association Nationale des Agriculteurs de Guinée Bissau</w:t>
      </w:r>
    </w:p>
    <w:p w:rsidR="00A313FC" w:rsidRPr="00A05698" w:rsidRDefault="00A313FC" w:rsidP="004B1D13">
      <w:pPr>
        <w:widowControl w:val="0"/>
        <w:pBdr>
          <w:top w:val="double" w:sz="4" w:space="1" w:color="auto"/>
          <w:left w:val="double" w:sz="4" w:space="4" w:color="auto"/>
          <w:bottom w:val="double" w:sz="4" w:space="1" w:color="auto"/>
          <w:right w:val="double" w:sz="4" w:space="4" w:color="auto"/>
        </w:pBdr>
        <w:autoSpaceDE w:val="0"/>
        <w:autoSpaceDN w:val="0"/>
        <w:adjustRightInd w:val="0"/>
        <w:spacing w:line="320" w:lineRule="atLeast"/>
        <w:rPr>
          <w:color w:val="000000"/>
          <w:lang w:eastAsia="en-US"/>
        </w:rPr>
      </w:pPr>
      <w:r w:rsidRPr="00A05698">
        <w:rPr>
          <w:b/>
          <w:color w:val="000000"/>
          <w:sz w:val="26"/>
          <w:szCs w:val="26"/>
          <w:lang w:eastAsia="en-US"/>
        </w:rPr>
        <w:t>ANCA</w:t>
      </w:r>
      <w:r w:rsidR="00755863">
        <w:rPr>
          <w:color w:val="000000"/>
          <w:sz w:val="26"/>
          <w:szCs w:val="26"/>
          <w:lang w:eastAsia="en-US"/>
        </w:rPr>
        <w:t xml:space="preserve">                     </w:t>
      </w:r>
      <w:r w:rsidRPr="00A05698">
        <w:rPr>
          <w:color w:val="000000"/>
          <w:sz w:val="26"/>
          <w:szCs w:val="26"/>
          <w:lang w:eastAsia="en-US"/>
        </w:rPr>
        <w:t>Agence Nationale du Cajou</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BM</w:t>
      </w:r>
      <w:r w:rsidRPr="00A05698">
        <w:rPr>
          <w:b/>
        </w:rPr>
        <w:tab/>
      </w:r>
      <w:r w:rsidRPr="00A05698">
        <w:tab/>
      </w:r>
      <w:r w:rsidRPr="00A05698">
        <w:tab/>
        <w:t>Banque mondiale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CAIA</w:t>
      </w:r>
      <w:r w:rsidRPr="00A05698">
        <w:tab/>
      </w:r>
      <w:r w:rsidRPr="00A05698">
        <w:tab/>
      </w:r>
      <w:r w:rsidRPr="00A05698">
        <w:tab/>
        <w:t>Cellule d’Évaluation d’Impact Environnemental</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CCC</w:t>
      </w:r>
      <w:r w:rsidRPr="00A05698">
        <w:tab/>
      </w:r>
      <w:r w:rsidRPr="00A05698">
        <w:tab/>
      </w:r>
      <w:r w:rsidRPr="00A05698">
        <w:tab/>
        <w:t>Communication pour un Changement de Comportement</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CGES</w:t>
      </w:r>
      <w:r w:rsidRPr="00A05698">
        <w:tab/>
      </w:r>
      <w:r w:rsidRPr="00A05698">
        <w:tab/>
      </w:r>
      <w:r w:rsidRPr="00A05698">
        <w:tab/>
        <w:t>Cadre de Gestion Environnementale et Sociale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CPR</w:t>
      </w:r>
      <w:r w:rsidRPr="00A05698">
        <w:tab/>
      </w:r>
      <w:r w:rsidRPr="00A05698">
        <w:tab/>
      </w:r>
      <w:r w:rsidRPr="00A05698">
        <w:tab/>
        <w:t>Cabinet de Planification Régionale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CPRP</w:t>
      </w:r>
      <w:r w:rsidRPr="00A05698">
        <w:t xml:space="preserve"> </w:t>
      </w:r>
      <w:r w:rsidRPr="00A05698">
        <w:tab/>
      </w:r>
      <w:r w:rsidRPr="00A05698">
        <w:tab/>
      </w:r>
      <w:r w:rsidRPr="00A05698">
        <w:tab/>
        <w:t>Cadre de Politique de Réinstallation des Populations</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CR</w:t>
      </w:r>
      <w:r w:rsidRPr="00A05698">
        <w:tab/>
      </w:r>
      <w:r w:rsidRPr="00A05698">
        <w:tab/>
      </w:r>
      <w:r w:rsidRPr="00A05698">
        <w:tab/>
        <w:t>Coordinateur Régional</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DAO</w:t>
      </w:r>
      <w:r w:rsidRPr="00A05698">
        <w:t xml:space="preserve"> </w:t>
      </w:r>
      <w:r w:rsidRPr="00A05698">
        <w:tab/>
      </w:r>
      <w:r w:rsidRPr="00A05698">
        <w:tab/>
      </w:r>
      <w:r w:rsidRPr="00A05698">
        <w:tab/>
        <w:t>Dossier d'Appel d'Offres</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DGFF</w:t>
      </w:r>
      <w:r w:rsidRPr="00A05698">
        <w:t xml:space="preserve">                         Direction Générale des Flores et Faunes</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DSRP</w:t>
      </w:r>
      <w:r w:rsidRPr="00A05698">
        <w:t xml:space="preserve"> </w:t>
      </w:r>
      <w:r w:rsidRPr="00A05698">
        <w:tab/>
      </w:r>
      <w:r w:rsidRPr="00A05698">
        <w:tab/>
      </w:r>
      <w:r w:rsidRPr="00A05698">
        <w:tab/>
        <w:t>Document de stratégie de réduction de la pauvreté</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EIES</w:t>
      </w:r>
      <w:r w:rsidRPr="00A05698">
        <w:tab/>
      </w:r>
      <w:r w:rsidRPr="00A05698">
        <w:tab/>
      </w:r>
      <w:r w:rsidRPr="00A05698">
        <w:tab/>
        <w:t>Etude d’Impact Environnemental et Social</w:t>
      </w:r>
    </w:p>
    <w:p w:rsidR="00406FE5" w:rsidRPr="00A05698" w:rsidRDefault="00406FE5" w:rsidP="004B1D13">
      <w:pPr>
        <w:widowControl w:val="0"/>
        <w:pBdr>
          <w:top w:val="double" w:sz="4" w:space="1" w:color="auto"/>
          <w:left w:val="double" w:sz="4" w:space="4" w:color="auto"/>
          <w:bottom w:val="double" w:sz="4" w:space="1" w:color="auto"/>
          <w:right w:val="double" w:sz="4" w:space="4" w:color="auto"/>
        </w:pBdr>
        <w:autoSpaceDE w:val="0"/>
        <w:autoSpaceDN w:val="0"/>
        <w:adjustRightInd w:val="0"/>
        <w:spacing w:line="320" w:lineRule="atLeast"/>
        <w:rPr>
          <w:color w:val="000000"/>
          <w:lang w:eastAsia="en-US"/>
        </w:rPr>
      </w:pPr>
      <w:r w:rsidRPr="00A05698">
        <w:rPr>
          <w:b/>
          <w:color w:val="000000"/>
          <w:sz w:val="26"/>
          <w:szCs w:val="26"/>
          <w:lang w:eastAsia="en-US"/>
        </w:rPr>
        <w:t>EEES</w:t>
      </w:r>
      <w:r w:rsidRPr="00A05698">
        <w:rPr>
          <w:color w:val="000000"/>
          <w:sz w:val="26"/>
          <w:szCs w:val="26"/>
          <w:lang w:eastAsia="en-US"/>
        </w:rPr>
        <w:t xml:space="preserve"> </w:t>
      </w:r>
      <w:r w:rsidR="00EF4F8C" w:rsidRPr="00A05698">
        <w:rPr>
          <w:color w:val="000000"/>
          <w:sz w:val="26"/>
          <w:szCs w:val="26"/>
          <w:lang w:eastAsia="en-US"/>
        </w:rPr>
        <w:t xml:space="preserve">                      Evaluation environnemental et sociale stratégique</w:t>
      </w:r>
    </w:p>
    <w:p w:rsidR="009E0225" w:rsidRDefault="005070EE" w:rsidP="004B1D13">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485"/>
        </w:tabs>
      </w:pPr>
      <w:r w:rsidRPr="00A05698">
        <w:rPr>
          <w:b/>
        </w:rPr>
        <w:t>FIL</w:t>
      </w:r>
      <w:r w:rsidRPr="00A05698">
        <w:tab/>
      </w:r>
      <w:r w:rsidRPr="00A05698">
        <w:tab/>
      </w:r>
      <w:r w:rsidRPr="00A05698">
        <w:tab/>
        <w:t>Fonds d’Investissement Local</w:t>
      </w:r>
      <w:r w:rsidRPr="00A05698">
        <w:tab/>
      </w:r>
    </w:p>
    <w:p w:rsidR="005070EE" w:rsidRPr="00A05698" w:rsidRDefault="009E0225" w:rsidP="004B1D13">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485"/>
        </w:tabs>
      </w:pPr>
      <w:r w:rsidRPr="00083B97">
        <w:rPr>
          <w:b/>
        </w:rPr>
        <w:t>GIRE</w:t>
      </w:r>
      <w:r w:rsidR="005070EE" w:rsidRPr="00A05698">
        <w:tab/>
      </w:r>
      <w:r>
        <w:t xml:space="preserve">                        </w:t>
      </w:r>
      <w:r w:rsidRPr="00083B97">
        <w:rPr>
          <w:rFonts w:eastAsia="Calibri" w:cs="Calibri"/>
        </w:rPr>
        <w:t>Gestion Intégrée des ressources en eau</w:t>
      </w:r>
    </w:p>
    <w:p w:rsidR="005070EE" w:rsidRPr="00A05698" w:rsidRDefault="005070EE" w:rsidP="004B1D13">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485"/>
        </w:tabs>
      </w:pPr>
      <w:r w:rsidRPr="00A05698">
        <w:rPr>
          <w:b/>
        </w:rPr>
        <w:t>IBAP</w:t>
      </w:r>
      <w:r w:rsidRPr="00A05698">
        <w:t xml:space="preserve">                          Institut de la Biodiversité et des Aires Protégés</w:t>
      </w:r>
    </w:p>
    <w:p w:rsidR="005070EE" w:rsidRPr="00A05698" w:rsidRDefault="005070EE" w:rsidP="004B1D13">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485"/>
        </w:tabs>
      </w:pPr>
      <w:r w:rsidRPr="00A05698">
        <w:rPr>
          <w:b/>
        </w:rPr>
        <w:t>IDH</w:t>
      </w:r>
      <w:r w:rsidRPr="00A05698">
        <w:t xml:space="preserve">                            Indice de Développement Humain</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IEC</w:t>
      </w:r>
      <w:r w:rsidRPr="00A05698">
        <w:tab/>
      </w:r>
      <w:r w:rsidRPr="00A05698">
        <w:tab/>
      </w:r>
      <w:r w:rsidRPr="00A05698">
        <w:tab/>
        <w:t>Information Education et Communication</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IST</w:t>
      </w:r>
      <w:r w:rsidRPr="00A05698">
        <w:tab/>
      </w:r>
      <w:r w:rsidRPr="00A05698">
        <w:tab/>
      </w:r>
      <w:r w:rsidRPr="00A05698">
        <w:tab/>
        <w:t>Infection sexuellement transmissibles</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MDC</w:t>
      </w:r>
      <w:r w:rsidRPr="00A05698">
        <w:t xml:space="preserve">                          Mission de contrôle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MP</w:t>
      </w:r>
      <w:r w:rsidRPr="00A05698">
        <w:tab/>
      </w:r>
      <w:r w:rsidRPr="00A05698">
        <w:tab/>
      </w:r>
      <w:r w:rsidRPr="00A05698">
        <w:tab/>
        <w:t>Microprojet</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OCB</w:t>
      </w:r>
      <w:r w:rsidRPr="00A05698">
        <w:tab/>
      </w:r>
      <w:r w:rsidRPr="00A05698">
        <w:tab/>
      </w:r>
      <w:r w:rsidRPr="00A05698">
        <w:tab/>
        <w:t>Organisation Communautaire de base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OMD</w:t>
      </w:r>
      <w:r w:rsidRPr="00A05698">
        <w:tab/>
      </w:r>
      <w:r w:rsidRPr="00A05698">
        <w:tab/>
      </w:r>
      <w:r w:rsidRPr="00A05698">
        <w:tab/>
        <w:t>Objectifs du Millénaire pour le développement</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ONG</w:t>
      </w:r>
      <w:r w:rsidRPr="00A05698">
        <w:tab/>
      </w:r>
      <w:r w:rsidRPr="00A05698">
        <w:tab/>
      </w:r>
      <w:r w:rsidRPr="00A05698">
        <w:tab/>
        <w:t>Organisation non gouvernementale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OP</w:t>
      </w:r>
      <w:r w:rsidRPr="00A05698">
        <w:tab/>
      </w:r>
      <w:r w:rsidRPr="00A05698">
        <w:tab/>
      </w:r>
      <w:r w:rsidRPr="00A05698">
        <w:tab/>
        <w:t>Opérationnel Policy</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PANA</w:t>
      </w:r>
      <w:r w:rsidRPr="00A05698">
        <w:t xml:space="preserve">                         Plan d’Action National d'Adaptation aux Changements Climatiques</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PAR</w:t>
      </w:r>
      <w:r w:rsidRPr="00A05698">
        <w:t xml:space="preserve"> </w:t>
      </w:r>
      <w:r w:rsidRPr="00A05698">
        <w:tab/>
      </w:r>
      <w:r w:rsidRPr="00A05698">
        <w:tab/>
      </w:r>
      <w:r w:rsidRPr="00A05698">
        <w:tab/>
        <w:t>Plan d’Action de Réinstallation</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PDDC</w:t>
      </w:r>
      <w:r w:rsidRPr="00A05698">
        <w:t xml:space="preserve">                         Projet de Développement Dirigé par les Communautés</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PGES</w:t>
      </w:r>
      <w:r w:rsidRPr="00A05698">
        <w:tab/>
      </w:r>
      <w:r w:rsidRPr="00A05698">
        <w:tab/>
      </w:r>
      <w:r w:rsidRPr="00A05698">
        <w:tab/>
        <w:t xml:space="preserve">Plan de </w:t>
      </w:r>
      <w:r w:rsidR="009463C6" w:rsidRPr="00A05698">
        <w:t>gestion environnementale</w:t>
      </w:r>
      <w:r w:rsidRPr="00A05698">
        <w:t xml:space="preserve"> et social</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PO</w:t>
      </w:r>
      <w:r w:rsidRPr="00A05698">
        <w:t xml:space="preserve">                               Politique Opérationnelle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PLD</w:t>
      </w:r>
      <w:r w:rsidRPr="00A05698">
        <w:tab/>
      </w:r>
      <w:r w:rsidRPr="00A05698">
        <w:tab/>
      </w:r>
      <w:r w:rsidRPr="00A05698">
        <w:tab/>
        <w:t>Plan Local de Développement</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PNAE</w:t>
      </w:r>
      <w:r w:rsidRPr="00A05698">
        <w:tab/>
      </w:r>
      <w:r w:rsidRPr="00A05698">
        <w:tab/>
      </w:r>
      <w:r w:rsidRPr="00A05698">
        <w:tab/>
        <w:t>Plan National d’Action Environnemental</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PO</w:t>
      </w:r>
      <w:r w:rsidRPr="00A05698">
        <w:t xml:space="preserve"> </w:t>
      </w:r>
      <w:r w:rsidRPr="00A05698">
        <w:tab/>
      </w:r>
      <w:r w:rsidRPr="00A05698">
        <w:tab/>
      </w:r>
      <w:r w:rsidRPr="00A05698">
        <w:tab/>
        <w:t>Politique Opérationnelle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REIES</w:t>
      </w:r>
      <w:r w:rsidRPr="00A05698">
        <w:t xml:space="preserve">                        Rapport d'Études Impact Environnemental et Social</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RN</w:t>
      </w:r>
      <w:r w:rsidRPr="00A05698">
        <w:tab/>
      </w:r>
      <w:r w:rsidRPr="00A05698">
        <w:tab/>
      </w:r>
      <w:r w:rsidRPr="00A05698">
        <w:tab/>
        <w:t>Ressources Naturelles</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SIDA</w:t>
      </w:r>
      <w:r w:rsidRPr="00A05698">
        <w:tab/>
      </w:r>
      <w:r w:rsidRPr="00A05698">
        <w:tab/>
      </w:r>
      <w:r w:rsidRPr="00A05698">
        <w:tab/>
        <w:t>Syndrome d’Immuno Déficience Acquise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TDR</w:t>
      </w:r>
      <w:r w:rsidRPr="00A05698">
        <w:tab/>
      </w:r>
      <w:r w:rsidRPr="00A05698">
        <w:tab/>
      </w:r>
      <w:r w:rsidRPr="00A05698">
        <w:tab/>
        <w:t>Termes de référence</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UCP</w:t>
      </w:r>
      <w:r w:rsidRPr="00A05698">
        <w:tab/>
      </w:r>
      <w:r w:rsidRPr="00A05698">
        <w:tab/>
      </w:r>
      <w:r w:rsidRPr="00A05698">
        <w:tab/>
        <w:t>Unité de Coordination du Projet</w:t>
      </w:r>
    </w:p>
    <w:p w:rsidR="005070EE" w:rsidRPr="00A05698" w:rsidRDefault="005070EE" w:rsidP="004B1D13">
      <w:pPr>
        <w:pBdr>
          <w:top w:val="double" w:sz="4" w:space="1" w:color="auto"/>
          <w:left w:val="double" w:sz="4" w:space="4" w:color="auto"/>
          <w:bottom w:val="double" w:sz="4" w:space="1" w:color="auto"/>
          <w:right w:val="double" w:sz="4" w:space="4" w:color="auto"/>
        </w:pBdr>
      </w:pPr>
      <w:r w:rsidRPr="00A05698">
        <w:rPr>
          <w:b/>
        </w:rPr>
        <w:t>UICN</w:t>
      </w:r>
      <w:r w:rsidRPr="00A05698">
        <w:t xml:space="preserve">                          Union International pour la Conservation de la Nature</w:t>
      </w:r>
    </w:p>
    <w:p w:rsidR="005070EE" w:rsidRPr="00A05698" w:rsidRDefault="005070EE" w:rsidP="004B1D13">
      <w:pPr>
        <w:pBdr>
          <w:top w:val="double" w:sz="4" w:space="1" w:color="auto"/>
          <w:left w:val="double" w:sz="4" w:space="4" w:color="auto"/>
          <w:bottom w:val="double" w:sz="4" w:space="1" w:color="auto"/>
          <w:right w:val="double" w:sz="4" w:space="4" w:color="auto"/>
        </w:pBdr>
        <w:rPr>
          <w:b/>
          <w:bCs/>
          <w:color w:val="FF0000"/>
        </w:rPr>
      </w:pPr>
      <w:r w:rsidRPr="00A05698">
        <w:rPr>
          <w:b/>
        </w:rPr>
        <w:t>VIH</w:t>
      </w:r>
      <w:r w:rsidRPr="00A05698">
        <w:tab/>
      </w:r>
      <w:r w:rsidRPr="00A05698">
        <w:tab/>
      </w:r>
      <w:r w:rsidRPr="00A05698">
        <w:tab/>
        <w:t>Virus d’Immunodéficience Humaine</w:t>
      </w:r>
    </w:p>
    <w:p w:rsidR="005070EE" w:rsidRPr="00A05698" w:rsidRDefault="005070EE" w:rsidP="004F4212">
      <w:pPr>
        <w:tabs>
          <w:tab w:val="right" w:leader="dot" w:pos="10348"/>
        </w:tabs>
        <w:rPr>
          <w:bCs/>
        </w:rPr>
      </w:pPr>
    </w:p>
    <w:p w:rsidR="005070EE" w:rsidRPr="00A05698" w:rsidRDefault="005070EE" w:rsidP="004F4212">
      <w:pPr>
        <w:tabs>
          <w:tab w:val="right" w:leader="dot" w:pos="10348"/>
        </w:tabs>
        <w:rPr>
          <w:bCs/>
        </w:rPr>
      </w:pPr>
    </w:p>
    <w:p w:rsidR="00CB293F" w:rsidRDefault="00CB293F" w:rsidP="004F4212">
      <w:pPr>
        <w:tabs>
          <w:tab w:val="right" w:leader="dot" w:pos="10348"/>
        </w:tabs>
        <w:rPr>
          <w:bCs/>
        </w:rPr>
      </w:pPr>
    </w:p>
    <w:p w:rsidR="00FB409C" w:rsidRDefault="00FB409C" w:rsidP="004F4212">
      <w:pPr>
        <w:tabs>
          <w:tab w:val="right" w:leader="dot" w:pos="10348"/>
        </w:tabs>
        <w:rPr>
          <w:bCs/>
        </w:rPr>
      </w:pPr>
    </w:p>
    <w:p w:rsidR="00A45EEC" w:rsidRPr="00A05698" w:rsidRDefault="00A45EEC" w:rsidP="00157035">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right="-142"/>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3" w:name="_Toc512871938"/>
      <w:bookmarkStart w:id="24" w:name="_Toc4070720"/>
      <w:bookmarkStart w:id="25" w:name="_Toc53716482"/>
      <w:bookmarkStart w:id="26" w:name="_Toc73459698"/>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INTRODUCTION</w:t>
      </w:r>
      <w:bookmarkEnd w:id="23"/>
      <w:bookmarkEnd w:id="24"/>
      <w:bookmarkEnd w:id="25"/>
      <w:bookmarkEnd w:id="26"/>
    </w:p>
    <w:p w:rsidR="00A45EEC" w:rsidRPr="00A05698" w:rsidRDefault="00A45EEC" w:rsidP="004F4212">
      <w:pPr>
        <w:pStyle w:val="PargrafodaLista"/>
        <w:spacing w:after="0" w:line="240" w:lineRule="auto"/>
        <w:ind w:left="360"/>
        <w:rPr>
          <w:rFonts w:ascii="Times New Roman" w:hAnsi="Times New Roman"/>
          <w:b/>
          <w:bCs/>
          <w:sz w:val="24"/>
          <w:szCs w:val="24"/>
        </w:rPr>
      </w:pPr>
      <w:bookmarkStart w:id="27" w:name="_Toc414259797"/>
      <w:bookmarkStart w:id="28" w:name="_Toc414260069"/>
      <w:bookmarkStart w:id="29" w:name="_Toc414262819"/>
      <w:bookmarkStart w:id="30" w:name="_Toc414262958"/>
    </w:p>
    <w:p w:rsidR="000935A7" w:rsidRPr="00A05698" w:rsidRDefault="001652C0" w:rsidP="00157035">
      <w:pPr>
        <w:pStyle w:val="PargrafodaLista"/>
        <w:numPr>
          <w:ilvl w:val="1"/>
          <w:numId w:val="99"/>
        </w:numPr>
        <w:spacing w:after="120" w:line="240" w:lineRule="auto"/>
        <w:outlineLvl w:val="1"/>
        <w:rPr>
          <w:rFonts w:ascii="Times New Roman" w:hAnsi="Times New Roman"/>
          <w:b/>
          <w:bCs/>
          <w:sz w:val="24"/>
          <w:szCs w:val="24"/>
        </w:rPr>
      </w:pPr>
      <w:bookmarkStart w:id="31" w:name="_Toc512871939"/>
      <w:bookmarkStart w:id="32" w:name="_Toc4070721"/>
      <w:bookmarkStart w:id="33" w:name="_Toc53716483"/>
      <w:bookmarkStart w:id="34" w:name="_Toc73459699"/>
      <w:r w:rsidRPr="00A05698">
        <w:rPr>
          <w:rFonts w:ascii="Times New Roman" w:hAnsi="Times New Roman"/>
          <w:b/>
          <w:bCs/>
          <w:sz w:val="24"/>
          <w:szCs w:val="24"/>
        </w:rPr>
        <w:t>CONTEXTE ET JUSTIFICATION</w:t>
      </w:r>
      <w:r w:rsidR="00A45EEC" w:rsidRPr="00A05698">
        <w:rPr>
          <w:rFonts w:ascii="Times New Roman" w:hAnsi="Times New Roman"/>
          <w:b/>
          <w:bCs/>
          <w:sz w:val="24"/>
          <w:szCs w:val="24"/>
        </w:rPr>
        <w:t xml:space="preserve"> DU PROJET</w:t>
      </w:r>
      <w:bookmarkEnd w:id="27"/>
      <w:bookmarkEnd w:id="28"/>
      <w:bookmarkEnd w:id="29"/>
      <w:bookmarkEnd w:id="30"/>
      <w:bookmarkEnd w:id="31"/>
      <w:bookmarkEnd w:id="32"/>
      <w:bookmarkEnd w:id="33"/>
      <w:bookmarkEnd w:id="34"/>
    </w:p>
    <w:p w:rsidR="00E426DE" w:rsidRPr="00083B97" w:rsidRDefault="00E426DE" w:rsidP="00083B97">
      <w:pPr>
        <w:tabs>
          <w:tab w:val="left" w:pos="547"/>
        </w:tabs>
        <w:autoSpaceDE w:val="0"/>
        <w:autoSpaceDN w:val="0"/>
        <w:adjustRightInd w:val="0"/>
        <w:spacing w:after="120"/>
        <w:ind w:left="-284" w:right="-142"/>
        <w:jc w:val="both"/>
      </w:pPr>
      <w:bookmarkStart w:id="35" w:name="_Toc502270621"/>
      <w:bookmarkStart w:id="36" w:name="_Toc502270077"/>
      <w:bookmarkStart w:id="37" w:name="_Toc501216049"/>
      <w:bookmarkStart w:id="38" w:name="_Toc439751015"/>
      <w:bookmarkStart w:id="39" w:name="_Toc414262959"/>
      <w:bookmarkStart w:id="40" w:name="_Toc414262820"/>
      <w:bookmarkStart w:id="41" w:name="_Toc414259798"/>
      <w:bookmarkStart w:id="42" w:name="_Toc512871940"/>
      <w:bookmarkStart w:id="43" w:name="_Toc4070722"/>
      <w:bookmarkStart w:id="44" w:name="_Toc53716484"/>
      <w:r w:rsidRPr="00A05698">
        <w:t xml:space="preserve">La Guinée-Bissau est l'un des pays d'Afrique subsaharienne </w:t>
      </w:r>
      <w:r w:rsidR="00B917CD">
        <w:t>dont l</w:t>
      </w:r>
      <w:r w:rsidRPr="00A05698">
        <w:t xml:space="preserve">e niveau de pauvreté est très </w:t>
      </w:r>
      <w:r w:rsidR="00AF29DE" w:rsidRPr="00A05698">
        <w:t>élevé</w:t>
      </w:r>
      <w:r w:rsidRPr="00A05698">
        <w:t xml:space="preserve">. </w:t>
      </w:r>
      <w:r w:rsidR="000D77A2">
        <w:t xml:space="preserve">En 2019, le taux d’insécurité alimentaire était de 30,7% (368 458 personnes touchées) sur l’ensemble du pays à l’exception du secteur autonome de Bissau qui n’a pas </w:t>
      </w:r>
      <w:r w:rsidR="00E1297B">
        <w:t>été inclus dans l’enquête</w:t>
      </w:r>
      <w:r w:rsidR="000D77A2">
        <w:t xml:space="preserve">. </w:t>
      </w:r>
      <w:r w:rsidR="00E1297B">
        <w:t>Le taux était de</w:t>
      </w:r>
      <w:r w:rsidR="000D77A2">
        <w:t xml:space="preserve"> 34,2</w:t>
      </w:r>
      <w:r w:rsidR="009C1788">
        <w:t>% dans</w:t>
      </w:r>
      <w:r w:rsidR="000D77A2">
        <w:t xml:space="preserve"> les zones rurales et 19,2% dans les zones urbaines. Les régions de Gabu, Biombo, Oio et Cacheu étaient les plus touchées avec des taux d’insécurité alimentaire qui dépassaient 36% alors que Bafata, Quinara et Bolama Bijagos étaient les moins affectées avec des taux en deçà de 22</w:t>
      </w:r>
      <w:r w:rsidR="009C1788">
        <w:t>%.</w:t>
      </w:r>
      <w:r w:rsidR="009C1788" w:rsidRPr="00A05698">
        <w:t xml:space="preserve"> Cette</w:t>
      </w:r>
      <w:r w:rsidRPr="00A05698">
        <w:t xml:space="preserve"> situation en fait l'un </w:t>
      </w:r>
      <w:r w:rsidR="004E4ABD" w:rsidRPr="00A05698">
        <w:t>des pays</w:t>
      </w:r>
      <w:r w:rsidRPr="00A05698">
        <w:t xml:space="preserve"> les plus pauvres du</w:t>
      </w:r>
      <w:r w:rsidRPr="00A05698">
        <w:rPr>
          <w:b/>
        </w:rPr>
        <w:t xml:space="preserve"> </w:t>
      </w:r>
      <w:r w:rsidRPr="00A05698">
        <w:t xml:space="preserve">monde. La pauvreté est davantage ancrée dans les zones rurales où elle est aggravée par </w:t>
      </w:r>
      <w:r w:rsidR="00CB528F">
        <w:t xml:space="preserve">le manque d’accès aux </w:t>
      </w:r>
      <w:r w:rsidRPr="00A05698">
        <w:t>de services sociaux, de capital humain et d'infrastructures</w:t>
      </w:r>
      <w:r w:rsidR="007C0E86" w:rsidRPr="00A05698">
        <w:t>.</w:t>
      </w:r>
    </w:p>
    <w:p w:rsidR="00E426DE" w:rsidRPr="00A05698" w:rsidRDefault="00E426DE" w:rsidP="004F4212">
      <w:pPr>
        <w:spacing w:before="120" w:after="120"/>
        <w:ind w:left="-284" w:right="-142"/>
        <w:jc w:val="both"/>
        <w:rPr>
          <w:spacing w:val="-2"/>
        </w:rPr>
      </w:pPr>
      <w:r w:rsidRPr="00A05698">
        <w:rPr>
          <w:spacing w:val="-2"/>
        </w:rPr>
        <w:t xml:space="preserve">Ainsi, </w:t>
      </w:r>
      <w:r w:rsidR="00E661E2" w:rsidRPr="00A05698">
        <w:rPr>
          <w:spacing w:val="-2"/>
        </w:rPr>
        <w:t xml:space="preserve">la pandémie </w:t>
      </w:r>
      <w:r w:rsidRPr="00A05698">
        <w:rPr>
          <w:spacing w:val="-2"/>
        </w:rPr>
        <w:t>de la COVID 19</w:t>
      </w:r>
      <w:r w:rsidR="00E661E2" w:rsidRPr="00A05698">
        <w:rPr>
          <w:spacing w:val="-2"/>
        </w:rPr>
        <w:t xml:space="preserve"> fait que </w:t>
      </w:r>
      <w:r w:rsidRPr="00A05698">
        <w:rPr>
          <w:spacing w:val="-2"/>
        </w:rPr>
        <w:t xml:space="preserve">la situation économique et la sécurité alimentaire du pays est devenue </w:t>
      </w:r>
      <w:r w:rsidR="00E661E2" w:rsidRPr="00A05698">
        <w:rPr>
          <w:spacing w:val="-2"/>
        </w:rPr>
        <w:t>plus</w:t>
      </w:r>
      <w:r w:rsidRPr="00A05698">
        <w:rPr>
          <w:spacing w:val="-2"/>
        </w:rPr>
        <w:t xml:space="preserve"> vulnérable et très </w:t>
      </w:r>
      <w:r w:rsidRPr="00A05698">
        <w:t>perturbée car aggravée par le confinement et l'impact direct sur la santé des populations.</w:t>
      </w:r>
      <w:r w:rsidR="00E661E2" w:rsidRPr="00A05698">
        <w:t xml:space="preserve"> De plus</w:t>
      </w:r>
      <w:r w:rsidRPr="00A05698">
        <w:t xml:space="preserve">, pendant ces périodes, </w:t>
      </w:r>
      <w:r w:rsidRPr="00A05698">
        <w:rPr>
          <w:spacing w:val="-2"/>
        </w:rPr>
        <w:t xml:space="preserve">en Guinée Bissau, </w:t>
      </w:r>
      <w:r w:rsidRPr="00A05698">
        <w:rPr>
          <w:rFonts w:eastAsia="Times New Roman"/>
          <w:color w:val="040404"/>
          <w:shd w:val="clear" w:color="auto" w:fill="FFFFFF"/>
        </w:rPr>
        <w:t xml:space="preserve">le commerce </w:t>
      </w:r>
      <w:r w:rsidR="00E661E2" w:rsidRPr="00A05698">
        <w:rPr>
          <w:rFonts w:eastAsia="Times New Roman"/>
          <w:color w:val="040404"/>
          <w:shd w:val="clear" w:color="auto" w:fill="FFFFFF"/>
        </w:rPr>
        <w:t>s’</w:t>
      </w:r>
      <w:r w:rsidRPr="00A05698">
        <w:rPr>
          <w:rFonts w:eastAsia="Times New Roman"/>
          <w:color w:val="040404"/>
          <w:shd w:val="clear" w:color="auto" w:fill="FFFFFF"/>
        </w:rPr>
        <w:t xml:space="preserve">opèrerait dans une zone géographique très limitée et les marchés ont été fermés. Le transport et la circulation des personnes entre les régions ont été suspendus. Le commerce international (importation et exportation) a été considérablement réduit. Cet impact a été ressenti plus gravement dans le secteur </w:t>
      </w:r>
      <w:r w:rsidR="00000223" w:rsidRPr="00A05698">
        <w:rPr>
          <w:rFonts w:eastAsia="Times New Roman"/>
          <w:color w:val="040404"/>
          <w:shd w:val="clear" w:color="auto" w:fill="FFFFFF"/>
        </w:rPr>
        <w:t xml:space="preserve">du commerce </w:t>
      </w:r>
      <w:r w:rsidRPr="00A05698">
        <w:rPr>
          <w:rFonts w:eastAsia="Times New Roman"/>
          <w:color w:val="040404"/>
          <w:shd w:val="clear" w:color="auto" w:fill="FFFFFF"/>
        </w:rPr>
        <w:t>de la noix de cajou, principal produit d'exportation du pays.</w:t>
      </w:r>
    </w:p>
    <w:p w:rsidR="00E426DE" w:rsidRPr="00A05698" w:rsidRDefault="00E426DE" w:rsidP="004F4212">
      <w:pPr>
        <w:ind w:left="-284" w:right="-142"/>
        <w:jc w:val="both"/>
        <w:rPr>
          <w:rFonts w:eastAsia="Times New Roman"/>
        </w:rPr>
      </w:pPr>
      <w:r w:rsidRPr="00A05698">
        <w:t xml:space="preserve">La noix de cajou brute est le principal produit agricole du pays et la première source de revenus pour plus des deux tiers des ménages. </w:t>
      </w:r>
      <w:r w:rsidRPr="00A05698">
        <w:rPr>
          <w:rFonts w:eastAsia="Times New Roman"/>
          <w:color w:val="040404"/>
          <w:shd w:val="clear" w:color="auto" w:fill="FFFFFF"/>
        </w:rPr>
        <w:t>Plus de 80% de la population guinéenne dépend directement ou indirectement de la campagne de commercialisation de noix de cajou, qui représente également une contribution de 11% aux recettes de l'État et 95% des recettes d’exportation totales du pays.</w:t>
      </w:r>
    </w:p>
    <w:p w:rsidR="00E426DE" w:rsidRPr="00A05698" w:rsidRDefault="00E426DE" w:rsidP="004F4212">
      <w:pPr>
        <w:spacing w:before="120" w:after="120"/>
        <w:ind w:left="-284" w:right="-142"/>
        <w:jc w:val="both"/>
      </w:pPr>
      <w:r w:rsidRPr="00A05698">
        <w:t xml:space="preserve">Elle est essentielle à la sécurité alimentaire du pays car : </w:t>
      </w:r>
    </w:p>
    <w:p w:rsidR="00E426DE" w:rsidRPr="00A05698" w:rsidRDefault="00E426DE" w:rsidP="003C76AE">
      <w:pPr>
        <w:pStyle w:val="PargrafodaLista"/>
        <w:numPr>
          <w:ilvl w:val="0"/>
          <w:numId w:val="28"/>
        </w:numPr>
        <w:spacing w:before="120" w:after="120" w:line="240" w:lineRule="auto"/>
        <w:ind w:left="284" w:right="-142" w:hanging="425"/>
        <w:jc w:val="both"/>
        <w:rPr>
          <w:rFonts w:ascii="Times New Roman" w:hAnsi="Times New Roman"/>
          <w:sz w:val="24"/>
          <w:szCs w:val="24"/>
        </w:rPr>
      </w:pPr>
      <w:r w:rsidRPr="00A05698">
        <w:rPr>
          <w:rFonts w:ascii="Times New Roman" w:hAnsi="Times New Roman"/>
          <w:sz w:val="24"/>
          <w:szCs w:val="24"/>
        </w:rPr>
        <w:t xml:space="preserve">une pluralité d'agriculteurs utilisent les revenus de la noix de cajou pour financer la production d'aliments de base destinés au marché intérieur; </w:t>
      </w:r>
    </w:p>
    <w:p w:rsidR="00E426DE" w:rsidRPr="00A05698" w:rsidRDefault="00E426DE" w:rsidP="003C76AE">
      <w:pPr>
        <w:pStyle w:val="PargrafodaLista"/>
        <w:numPr>
          <w:ilvl w:val="0"/>
          <w:numId w:val="28"/>
        </w:numPr>
        <w:spacing w:before="120" w:after="120" w:line="240" w:lineRule="auto"/>
        <w:ind w:left="284" w:right="-142" w:hanging="425"/>
        <w:jc w:val="both"/>
        <w:rPr>
          <w:rFonts w:ascii="Times New Roman" w:hAnsi="Times New Roman"/>
          <w:spacing w:val="-2"/>
          <w:sz w:val="24"/>
          <w:szCs w:val="24"/>
        </w:rPr>
      </w:pPr>
      <w:r w:rsidRPr="00A05698">
        <w:rPr>
          <w:rFonts w:ascii="Times New Roman" w:hAnsi="Times New Roman"/>
          <w:sz w:val="24"/>
          <w:szCs w:val="24"/>
        </w:rPr>
        <w:t>de nombreux agriculteurs qui, pour plusieurs raisons, ne sont pas en mesure de satisfaire leurs besoins alimentaires à partir de leur propre production, dépendent des revenus de la noix de cajou pour accéder à la nourriture sur les marchés et ;</w:t>
      </w:r>
    </w:p>
    <w:p w:rsidR="00E426DE" w:rsidRPr="00A05698" w:rsidRDefault="00E426DE" w:rsidP="003C76AE">
      <w:pPr>
        <w:pStyle w:val="PargrafodaLista"/>
        <w:numPr>
          <w:ilvl w:val="0"/>
          <w:numId w:val="28"/>
        </w:numPr>
        <w:spacing w:before="120" w:after="120" w:line="240" w:lineRule="auto"/>
        <w:ind w:left="284" w:right="-142" w:hanging="425"/>
        <w:jc w:val="both"/>
        <w:rPr>
          <w:rFonts w:ascii="Times New Roman" w:hAnsi="Times New Roman"/>
          <w:spacing w:val="-2"/>
          <w:sz w:val="24"/>
          <w:szCs w:val="24"/>
        </w:rPr>
      </w:pPr>
      <w:r w:rsidRPr="00A05698">
        <w:rPr>
          <w:rFonts w:ascii="Times New Roman" w:hAnsi="Times New Roman"/>
          <w:sz w:val="24"/>
          <w:szCs w:val="24"/>
        </w:rPr>
        <w:t>Certains agriculteurs, troquent les noix de cajou brutes contre du riz.</w:t>
      </w:r>
    </w:p>
    <w:p w:rsidR="00E426DE" w:rsidRPr="00A05698" w:rsidRDefault="00E426DE" w:rsidP="004F4212">
      <w:pPr>
        <w:pStyle w:val="NormalWeb"/>
        <w:shd w:val="clear" w:color="auto" w:fill="FFFFFF"/>
        <w:spacing w:after="120"/>
        <w:ind w:left="-284" w:right="-142"/>
        <w:jc w:val="both"/>
        <w:rPr>
          <w:color w:val="040404"/>
        </w:rPr>
      </w:pPr>
      <w:r w:rsidRPr="00A05698">
        <w:rPr>
          <w:spacing w:val="-2"/>
        </w:rPr>
        <w:t xml:space="preserve">Ainsi, avec la pandémie qui </w:t>
      </w:r>
      <w:r w:rsidR="00A44DAE" w:rsidRPr="00A05698">
        <w:rPr>
          <w:spacing w:val="-2"/>
        </w:rPr>
        <w:t>sévit depuis</w:t>
      </w:r>
      <w:r w:rsidRPr="00A05698">
        <w:rPr>
          <w:spacing w:val="-2"/>
        </w:rPr>
        <w:t xml:space="preserve"> mars et avril 2020 coïncidant avec le démarrage de la campagne</w:t>
      </w:r>
      <w:r w:rsidR="00A44DAE" w:rsidRPr="00A05698">
        <w:rPr>
          <w:spacing w:val="-2"/>
        </w:rPr>
        <w:t xml:space="preserve"> de </w:t>
      </w:r>
      <w:r w:rsidR="001C30E0" w:rsidRPr="00A05698">
        <w:rPr>
          <w:spacing w:val="-2"/>
        </w:rPr>
        <w:t>commercialisation de</w:t>
      </w:r>
      <w:r w:rsidRPr="00A05698">
        <w:rPr>
          <w:spacing w:val="-2"/>
        </w:rPr>
        <w:t xml:space="preserve"> la noix de cajou </w:t>
      </w:r>
      <w:r w:rsidR="00A44DAE" w:rsidRPr="00A05698">
        <w:rPr>
          <w:spacing w:val="-2"/>
        </w:rPr>
        <w:t xml:space="preserve">ainsi </w:t>
      </w:r>
      <w:r w:rsidR="00971169" w:rsidRPr="00A05698">
        <w:rPr>
          <w:spacing w:val="-2"/>
        </w:rPr>
        <w:t>que la</w:t>
      </w:r>
      <w:r w:rsidRPr="00A05698">
        <w:rPr>
          <w:color w:val="040404"/>
        </w:rPr>
        <w:t xml:space="preserve"> faible demande sur le marché international de noix brutes (Inde et Vietnam), les opérateurs nationaux sont obligés de continuer </w:t>
      </w:r>
      <w:r w:rsidR="00A44DAE" w:rsidRPr="00A05698">
        <w:rPr>
          <w:color w:val="040404"/>
        </w:rPr>
        <w:t>les achats des</w:t>
      </w:r>
      <w:r w:rsidRPr="00A05698">
        <w:rPr>
          <w:color w:val="040404"/>
        </w:rPr>
        <w:t xml:space="preserve"> noix encore disponibles auprès des producteurs nationaux et sous régionaux qui disposent toujours d'importants stocks à exporter.</w:t>
      </w:r>
    </w:p>
    <w:p w:rsidR="00CD5298" w:rsidRDefault="00E426DE" w:rsidP="008D21A1">
      <w:pPr>
        <w:spacing w:after="120"/>
        <w:ind w:left="-284" w:right="-142"/>
        <w:jc w:val="both"/>
        <w:rPr>
          <w:rFonts w:eastAsia="Times New Roman"/>
          <w:color w:val="040404"/>
          <w:shd w:val="clear" w:color="auto" w:fill="FFFFFF"/>
        </w:rPr>
      </w:pPr>
      <w:r w:rsidRPr="00A05698">
        <w:rPr>
          <w:rFonts w:eastAsia="Times New Roman"/>
          <w:color w:val="040404"/>
          <w:shd w:val="clear" w:color="auto" w:fill="FFFFFF"/>
        </w:rPr>
        <w:t xml:space="preserve">Pour relancer l'économie et lutter contre l’insécurité alimentaire, le gouvernement guinéen a récemment présenté un programme de développement urgent, budgétisé à environ 263 millions d'euros, qui a besoin de </w:t>
      </w:r>
      <w:r w:rsidR="001162C3" w:rsidRPr="00A05698">
        <w:rPr>
          <w:rFonts w:eastAsia="Times New Roman"/>
          <w:color w:val="040404"/>
          <w:shd w:val="clear" w:color="auto" w:fill="FFFFFF"/>
        </w:rPr>
        <w:t>l’appui</w:t>
      </w:r>
      <w:r w:rsidRPr="00A05698">
        <w:rPr>
          <w:rFonts w:eastAsia="Times New Roman"/>
          <w:color w:val="040404"/>
          <w:shd w:val="clear" w:color="auto" w:fill="FFFFFF"/>
        </w:rPr>
        <w:t xml:space="preserve"> de partenaires internationaux.</w:t>
      </w:r>
    </w:p>
    <w:p w:rsidR="00E426DE" w:rsidRPr="009C1788" w:rsidRDefault="00E426DE" w:rsidP="009C1788">
      <w:pPr>
        <w:spacing w:after="120"/>
        <w:ind w:left="-284" w:right="-142"/>
        <w:jc w:val="both"/>
        <w:rPr>
          <w:rFonts w:eastAsia="Times New Roman"/>
          <w:color w:val="040404"/>
          <w:shd w:val="clear" w:color="auto" w:fill="FFFFFF"/>
        </w:rPr>
      </w:pPr>
      <w:r w:rsidRPr="00A05698">
        <w:rPr>
          <w:rFonts w:eastAsia="Times New Roman"/>
          <w:color w:val="040404"/>
          <w:shd w:val="clear" w:color="auto" w:fill="FFFFFF"/>
        </w:rPr>
        <w:t xml:space="preserve">C’est dans ce contexte que la Banque </w:t>
      </w:r>
      <w:r w:rsidR="001044AC">
        <w:rPr>
          <w:rFonts w:eastAsia="Times New Roman"/>
          <w:color w:val="040404"/>
          <w:shd w:val="clear" w:color="auto" w:fill="FFFFFF"/>
        </w:rPr>
        <w:t>m</w:t>
      </w:r>
      <w:r w:rsidRPr="00A05698">
        <w:rPr>
          <w:rFonts w:eastAsia="Times New Roman"/>
          <w:color w:val="040404"/>
          <w:shd w:val="clear" w:color="auto" w:fill="FFFFFF"/>
        </w:rPr>
        <w:t xml:space="preserve">ondiale </w:t>
      </w:r>
      <w:r w:rsidR="00771442">
        <w:rPr>
          <w:rFonts w:eastAsia="Times New Roman"/>
          <w:color w:val="040404"/>
          <w:shd w:val="clear" w:color="auto" w:fill="FFFFFF"/>
        </w:rPr>
        <w:t>(promoteur)</w:t>
      </w:r>
      <w:r w:rsidR="00F71F1A">
        <w:rPr>
          <w:rFonts w:eastAsia="Times New Roman"/>
          <w:color w:val="040404"/>
          <w:shd w:val="clear" w:color="auto" w:fill="FFFFFF"/>
        </w:rPr>
        <w:t xml:space="preserve"> a</w:t>
      </w:r>
      <w:r w:rsidR="00F71F1A" w:rsidRPr="008D21A1">
        <w:rPr>
          <w:rFonts w:eastAsia="Times New Roman"/>
          <w:color w:val="040404"/>
          <w:shd w:val="clear" w:color="auto" w:fill="FFFFFF"/>
        </w:rPr>
        <w:t xml:space="preserve"> mis en place un projet de Sécurité Alimentaire d'Urgence en Guinée Bissau avec un financement de 15 millions de dollars</w:t>
      </w:r>
      <w:r w:rsidR="00771442">
        <w:rPr>
          <w:rFonts w:eastAsia="Times New Roman"/>
          <w:color w:val="040404"/>
          <w:shd w:val="clear" w:color="auto" w:fill="FFFFFF"/>
        </w:rPr>
        <w:t xml:space="preserve"> </w:t>
      </w:r>
      <w:r w:rsidR="00F71F1A">
        <w:rPr>
          <w:rFonts w:eastAsia="Times New Roman"/>
          <w:color w:val="040404"/>
          <w:shd w:val="clear" w:color="auto" w:fill="FFFFFF"/>
        </w:rPr>
        <w:t>dont</w:t>
      </w:r>
      <w:r w:rsidRPr="00A05698">
        <w:rPr>
          <w:rFonts w:eastAsia="Times New Roman"/>
          <w:color w:val="040404"/>
          <w:shd w:val="clear" w:color="auto" w:fill="FFFFFF"/>
        </w:rPr>
        <w:t xml:space="preserve"> l’Organisation des Nations Unies pour l’Alimentation et l’Agriculture (FAO) </w:t>
      </w:r>
      <w:r w:rsidR="00F71F1A">
        <w:rPr>
          <w:rFonts w:eastAsia="Times New Roman"/>
          <w:color w:val="040404"/>
          <w:shd w:val="clear" w:color="auto" w:fill="FFFFFF"/>
        </w:rPr>
        <w:t xml:space="preserve">est </w:t>
      </w:r>
      <w:r w:rsidR="008D21A1" w:rsidRPr="008D21A1">
        <w:rPr>
          <w:rFonts w:eastAsia="Times New Roman"/>
          <w:color w:val="040404"/>
          <w:shd w:val="clear" w:color="auto" w:fill="FFFFFF"/>
        </w:rPr>
        <w:t>l’agence d’implémentation</w:t>
      </w:r>
      <w:r w:rsidR="00F71F1A">
        <w:rPr>
          <w:rFonts w:eastAsia="Times New Roman"/>
          <w:color w:val="040404"/>
          <w:shd w:val="clear" w:color="auto" w:fill="FFFFFF"/>
        </w:rPr>
        <w:t xml:space="preserve"> du projet</w:t>
      </w:r>
      <w:r w:rsidR="00A44DAE" w:rsidRPr="008D21A1">
        <w:rPr>
          <w:rFonts w:eastAsia="Times New Roman"/>
          <w:color w:val="040404"/>
          <w:shd w:val="clear" w:color="auto" w:fill="FFFFFF"/>
        </w:rPr>
        <w:t xml:space="preserve">. </w:t>
      </w:r>
      <w:r w:rsidR="00D05F26" w:rsidRPr="008D21A1">
        <w:rPr>
          <w:rFonts w:eastAsia="Times New Roman"/>
          <w:color w:val="040404"/>
          <w:shd w:val="clear" w:color="auto" w:fill="FFFFFF"/>
        </w:rPr>
        <w:t>Ceci</w:t>
      </w:r>
      <w:r w:rsidR="00A44DAE" w:rsidRPr="008D21A1">
        <w:rPr>
          <w:rFonts w:eastAsia="Times New Roman"/>
          <w:color w:val="040404"/>
          <w:shd w:val="clear" w:color="auto" w:fill="FFFFFF"/>
        </w:rPr>
        <w:t xml:space="preserve"> dans le but d’</w:t>
      </w:r>
      <w:r w:rsidRPr="008D21A1">
        <w:rPr>
          <w:rFonts w:eastAsia="Times New Roman"/>
          <w:color w:val="040404"/>
          <w:shd w:val="clear" w:color="auto" w:fill="FFFFFF"/>
        </w:rPr>
        <w:t xml:space="preserve">aider le gouvernement de la Guinée-Bissau à atténuer de manière proactive les problèmes </w:t>
      </w:r>
      <w:r w:rsidR="009C1788" w:rsidRPr="008D21A1">
        <w:rPr>
          <w:rFonts w:eastAsia="Times New Roman"/>
          <w:color w:val="040404"/>
          <w:shd w:val="clear" w:color="auto" w:fill="FFFFFF"/>
        </w:rPr>
        <w:t>d</w:t>
      </w:r>
      <w:r w:rsidR="009C1788">
        <w:rPr>
          <w:rFonts w:eastAsia="Times New Roman"/>
          <w:color w:val="040404"/>
          <w:shd w:val="clear" w:color="auto" w:fill="FFFFFF"/>
        </w:rPr>
        <w:t>’insécurité</w:t>
      </w:r>
      <w:r w:rsidRPr="008D21A1">
        <w:rPr>
          <w:rFonts w:eastAsia="Times New Roman"/>
          <w:color w:val="040404"/>
          <w:shd w:val="clear" w:color="auto" w:fill="FFFFFF"/>
        </w:rPr>
        <w:t xml:space="preserve"> alimentaire à court et moyen terme auxquels le pays est confronté</w:t>
      </w:r>
      <w:r w:rsidR="00A44DAE" w:rsidRPr="008D21A1">
        <w:rPr>
          <w:rFonts w:eastAsia="Times New Roman"/>
          <w:color w:val="040404"/>
          <w:shd w:val="clear" w:color="auto" w:fill="FFFFFF"/>
        </w:rPr>
        <w:t xml:space="preserve"> dus aux</w:t>
      </w:r>
      <w:r w:rsidRPr="008D21A1">
        <w:rPr>
          <w:rFonts w:eastAsia="Times New Roman"/>
          <w:color w:val="040404"/>
          <w:shd w:val="clear" w:color="auto" w:fill="FFFFFF"/>
        </w:rPr>
        <w:t xml:space="preserve"> effets de la Covid-19 sur la production et la commercialisation de la noix de cajou et sur la production et les prix des denrées alimentaires. </w:t>
      </w:r>
    </w:p>
    <w:p w:rsidR="00E426DE" w:rsidRDefault="00617A44" w:rsidP="004F4212">
      <w:pPr>
        <w:spacing w:before="120" w:after="120"/>
        <w:ind w:left="-284" w:right="-142"/>
        <w:jc w:val="both"/>
        <w:rPr>
          <w:spacing w:val="-2"/>
        </w:rPr>
      </w:pPr>
      <w:r w:rsidRPr="00A05698">
        <w:rPr>
          <w:spacing w:val="-2"/>
        </w:rPr>
        <w:t>Le</w:t>
      </w:r>
      <w:r w:rsidR="00E426DE" w:rsidRPr="00A05698">
        <w:rPr>
          <w:spacing w:val="-2"/>
        </w:rPr>
        <w:t xml:space="preserve"> </w:t>
      </w:r>
      <w:r w:rsidR="00E426DE" w:rsidRPr="00A05698">
        <w:rPr>
          <w:rFonts w:eastAsia="Times New Roman"/>
          <w:color w:val="040404"/>
          <w:shd w:val="clear" w:color="auto" w:fill="FFFFFF"/>
        </w:rPr>
        <w:t>projet</w:t>
      </w:r>
      <w:r w:rsidR="00E426DE" w:rsidRPr="00A05698">
        <w:rPr>
          <w:bCs/>
          <w:iCs/>
        </w:rPr>
        <w:t xml:space="preserve"> de Sécurité Alimentaire d'Urgence</w:t>
      </w:r>
      <w:r w:rsidR="00E426DE" w:rsidRPr="00A05698">
        <w:rPr>
          <w:spacing w:val="-2"/>
        </w:rPr>
        <w:t xml:space="preserve"> PUSA est susceptible d’engendrer directement ou indirectement des </w:t>
      </w:r>
      <w:r w:rsidR="002F10CC">
        <w:rPr>
          <w:spacing w:val="-2"/>
        </w:rPr>
        <w:t>risques</w:t>
      </w:r>
      <w:r w:rsidR="002F10CC" w:rsidRPr="00A05698">
        <w:rPr>
          <w:spacing w:val="-2"/>
        </w:rPr>
        <w:t xml:space="preserve"> </w:t>
      </w:r>
      <w:r w:rsidR="00E426DE" w:rsidRPr="00A05698">
        <w:rPr>
          <w:spacing w:val="-2"/>
        </w:rPr>
        <w:t>et effets (positifs et négatifs) sur le milieu environnemental ou social</w:t>
      </w:r>
      <w:r w:rsidR="00AD5237" w:rsidRPr="00A05698">
        <w:rPr>
          <w:spacing w:val="-2"/>
        </w:rPr>
        <w:t>. En effet,</w:t>
      </w:r>
      <w:r w:rsidR="00E426DE" w:rsidRPr="00A05698">
        <w:rPr>
          <w:spacing w:val="-2"/>
        </w:rPr>
        <w:t xml:space="preserve"> il sera encadré par un Cadre de Gestion Environnementale et Social (CGES), conformément aux directives et politiques de la </w:t>
      </w:r>
      <w:r w:rsidR="00E426DE" w:rsidRPr="00A05698">
        <w:rPr>
          <w:spacing w:val="-2"/>
        </w:rPr>
        <w:lastRenderedPageBreak/>
        <w:t>Banque </w:t>
      </w:r>
      <w:r w:rsidR="008B16FA">
        <w:rPr>
          <w:spacing w:val="-2"/>
        </w:rPr>
        <w:t>m</w:t>
      </w:r>
      <w:r w:rsidR="00E426DE" w:rsidRPr="00A05698">
        <w:rPr>
          <w:spacing w:val="-2"/>
        </w:rPr>
        <w:t>ondiale en matière</w:t>
      </w:r>
      <w:r w:rsidR="00AD5237" w:rsidRPr="00A05698">
        <w:rPr>
          <w:spacing w:val="-2"/>
        </w:rPr>
        <w:t xml:space="preserve"> </w:t>
      </w:r>
      <w:r w:rsidR="00E426DE" w:rsidRPr="00A05698">
        <w:rPr>
          <w:spacing w:val="-2"/>
        </w:rPr>
        <w:t xml:space="preserve">environnementale et conformément au cadre législatif et réglementaire </w:t>
      </w:r>
      <w:r w:rsidR="00AD5237" w:rsidRPr="00A05698">
        <w:rPr>
          <w:spacing w:val="-2"/>
        </w:rPr>
        <w:t xml:space="preserve">en vigueur </w:t>
      </w:r>
      <w:r w:rsidRPr="00A05698">
        <w:rPr>
          <w:spacing w:val="-2"/>
        </w:rPr>
        <w:t xml:space="preserve">en </w:t>
      </w:r>
      <w:r w:rsidR="00E426DE" w:rsidRPr="00A05698">
        <w:rPr>
          <w:spacing w:val="-2"/>
        </w:rPr>
        <w:t>Guinée Bissau.</w:t>
      </w:r>
    </w:p>
    <w:p w:rsidR="005851EB" w:rsidRPr="00A05698" w:rsidRDefault="005851EB" w:rsidP="005851EB">
      <w:pPr>
        <w:spacing w:before="120" w:after="120"/>
        <w:ind w:left="-284" w:right="-142"/>
        <w:jc w:val="both"/>
        <w:rPr>
          <w:spacing w:val="-2"/>
        </w:rPr>
      </w:pPr>
      <w:r>
        <w:rPr>
          <w:spacing w:val="-2"/>
        </w:rPr>
        <w:t xml:space="preserve">Bien que les sites et détails des activités ne sont pas encore clairement définis, le CGES permet d’identifier de potentiels impacts positifs et négatifs auxquels il faudra s’attendre dans toutes les phases du projet. Il est ainsi pertinent de déterminer le cadre politique, juridique et institutionnel ainsi que le contexte économique, social et sanitaire dans lesquels le projet sera exécuter. Les impacts et les mesures atténuations seront beaucoup plus spécifiques et précis lorsque les sites et activités seront clairement identifiés et nécessitant ainsi la réalisation d’études d’impacts approfondies (EIES) ou d’analyse d’environnementale initiale (AEI) dont les cadres de TDRs sont déjà annexés (voir annexe 9 et 10). </w:t>
      </w:r>
    </w:p>
    <w:p w:rsidR="005851EB" w:rsidRPr="00A05698" w:rsidRDefault="005851EB" w:rsidP="004F4212">
      <w:pPr>
        <w:spacing w:before="120" w:after="120"/>
        <w:ind w:left="-284" w:right="-142"/>
        <w:jc w:val="both"/>
        <w:rPr>
          <w:spacing w:val="-2"/>
        </w:rPr>
      </w:pPr>
    </w:p>
    <w:p w:rsidR="0056026D" w:rsidRPr="00A05698" w:rsidRDefault="0056026D" w:rsidP="00157035">
      <w:pPr>
        <w:pStyle w:val="PargrafodaLista"/>
        <w:numPr>
          <w:ilvl w:val="1"/>
          <w:numId w:val="99"/>
        </w:numPr>
        <w:spacing w:after="120" w:line="240" w:lineRule="auto"/>
        <w:outlineLvl w:val="1"/>
        <w:rPr>
          <w:rFonts w:ascii="Times New Roman" w:hAnsi="Times New Roman"/>
          <w:b/>
          <w:bCs/>
          <w:sz w:val="24"/>
          <w:szCs w:val="24"/>
        </w:rPr>
      </w:pPr>
      <w:bookmarkStart w:id="45" w:name="_Toc61510470"/>
      <w:bookmarkStart w:id="46" w:name="_Toc61510630"/>
      <w:bookmarkStart w:id="47" w:name="_Toc61510804"/>
      <w:bookmarkStart w:id="48" w:name="_Toc61879753"/>
      <w:bookmarkStart w:id="49" w:name="_Toc73459700"/>
      <w:bookmarkEnd w:id="35"/>
      <w:bookmarkEnd w:id="36"/>
      <w:bookmarkEnd w:id="37"/>
      <w:bookmarkEnd w:id="38"/>
      <w:bookmarkEnd w:id="39"/>
      <w:bookmarkEnd w:id="40"/>
      <w:bookmarkEnd w:id="41"/>
      <w:bookmarkEnd w:id="42"/>
      <w:bookmarkEnd w:id="43"/>
      <w:bookmarkEnd w:id="44"/>
      <w:r w:rsidRPr="00A05698">
        <w:rPr>
          <w:rFonts w:ascii="Times New Roman" w:hAnsi="Times New Roman"/>
          <w:b/>
          <w:bCs/>
          <w:sz w:val="24"/>
          <w:szCs w:val="24"/>
        </w:rPr>
        <w:t>DEFINITION DU CGES</w:t>
      </w:r>
      <w:bookmarkEnd w:id="45"/>
      <w:bookmarkEnd w:id="46"/>
      <w:bookmarkEnd w:id="47"/>
      <w:bookmarkEnd w:id="48"/>
      <w:bookmarkEnd w:id="49"/>
    </w:p>
    <w:p w:rsidR="00B805ED" w:rsidRDefault="00B805ED" w:rsidP="00345951">
      <w:pPr>
        <w:spacing w:after="120"/>
        <w:ind w:left="-284" w:right="-142"/>
        <w:jc w:val="both"/>
        <w:rPr>
          <w:rFonts w:eastAsia="Times New Roman"/>
          <w:color w:val="040404"/>
          <w:shd w:val="clear" w:color="auto" w:fill="FFFFFF"/>
        </w:rPr>
      </w:pPr>
      <w:r w:rsidRPr="00345951">
        <w:rPr>
          <w:rFonts w:eastAsia="Times New Roman"/>
          <w:color w:val="040404"/>
          <w:shd w:val="clear" w:color="auto" w:fill="FFFFFF"/>
        </w:rPr>
        <w:t xml:space="preserve">Le Cadre de gestion environnementale et sociale (CGES) est un instrument d’évaluation environnementale et sociale qui examine les risques et effets lorsqu’un projet se compose d’un programme et/ou d’une série de sous-projets, et que ces risques et effets ne peuvent être déterminés tant que les détails du programme ou du sous-projet n’ont pas été identifiés. </w:t>
      </w:r>
    </w:p>
    <w:p w:rsidR="005E7A05" w:rsidRPr="00345951" w:rsidRDefault="00B805ED" w:rsidP="00345951">
      <w:pPr>
        <w:spacing w:after="120"/>
        <w:ind w:left="-284" w:right="-142"/>
        <w:jc w:val="both"/>
        <w:rPr>
          <w:rFonts w:eastAsia="Times New Roman"/>
          <w:color w:val="040404"/>
          <w:shd w:val="clear" w:color="auto" w:fill="FFFFFF"/>
        </w:rPr>
      </w:pPr>
      <w:r w:rsidRPr="00345951">
        <w:rPr>
          <w:rFonts w:eastAsia="Times New Roman"/>
          <w:color w:val="040404"/>
          <w:shd w:val="clear" w:color="auto" w:fill="FFFFFF"/>
        </w:rPr>
        <w:t>Le CGES définit les principes, les règles, les directives et les procédures permettant d’évaluer les risques et effets environnementaux et sociaux. Il contient des mesures et des plans visant à réduire, atténuer et/ou compenser les risques et les impacts négatifs, des dispositions permettant d’estimer et de budgétiser le coût de ces mesures, et des informations sur l’agence ou les agences chargées de la gestion des risques et des impacts du projet, y compris leurs capacités correspondantes. Il fournit des informations pertinentes sur la zone dans laquelle les sous-projets devraient être réalisés, ainsi que les vulnérabilités éventuelles de cette zone du point de vue environnemental et social ; et sur les effets qui pourraient se produire et les mesures d’atténuation que l’on pourrait s’attendre à voir appliquer.</w:t>
      </w:r>
    </w:p>
    <w:p w:rsidR="00004591" w:rsidRPr="00A05698" w:rsidRDefault="00233D1D" w:rsidP="004F4212">
      <w:pPr>
        <w:spacing w:before="120" w:after="120"/>
        <w:ind w:left="-284" w:right="-142"/>
        <w:jc w:val="both"/>
        <w:rPr>
          <w:spacing w:val="-2"/>
        </w:rPr>
      </w:pPr>
      <w:r w:rsidRPr="00A05698">
        <w:rPr>
          <w:spacing w:val="-2"/>
        </w:rPr>
        <w:t>Il</w:t>
      </w:r>
      <w:r w:rsidR="00A45EEC" w:rsidRPr="00A05698">
        <w:rPr>
          <w:spacing w:val="-2"/>
        </w:rPr>
        <w:t xml:space="preserve"> s’inspire </w:t>
      </w:r>
      <w:r w:rsidR="005E6EA0" w:rsidRPr="00A05698">
        <w:rPr>
          <w:spacing w:val="-2"/>
        </w:rPr>
        <w:t xml:space="preserve">de </w:t>
      </w:r>
      <w:r w:rsidR="007F54C9" w:rsidRPr="00A05698">
        <w:rPr>
          <w:spacing w:val="-2"/>
        </w:rPr>
        <w:t xml:space="preserve">la </w:t>
      </w:r>
      <w:r w:rsidR="00BD5C2D" w:rsidRPr="00A05698">
        <w:rPr>
          <w:spacing w:val="-2"/>
        </w:rPr>
        <w:t>Loi N°1/2011 du 0</w:t>
      </w:r>
      <w:r w:rsidR="00460BAB" w:rsidRPr="00A05698">
        <w:rPr>
          <w:spacing w:val="-2"/>
        </w:rPr>
        <w:t xml:space="preserve">2 mars 2011 portant principes </w:t>
      </w:r>
      <w:r w:rsidR="00BD5C2D" w:rsidRPr="00A05698">
        <w:rPr>
          <w:spacing w:val="-2"/>
        </w:rPr>
        <w:t xml:space="preserve">fondamentaux relatifs </w:t>
      </w:r>
      <w:r w:rsidR="00460BAB" w:rsidRPr="00A05698">
        <w:rPr>
          <w:spacing w:val="-2"/>
        </w:rPr>
        <w:t xml:space="preserve">à la définition de la politique </w:t>
      </w:r>
      <w:r w:rsidR="00BD5C2D" w:rsidRPr="00A05698">
        <w:rPr>
          <w:spacing w:val="-2"/>
        </w:rPr>
        <w:t>nationale de la protection de l’environnement naturel et construit</w:t>
      </w:r>
      <w:r w:rsidR="005D7734" w:rsidRPr="00A05698">
        <w:rPr>
          <w:spacing w:val="-2"/>
        </w:rPr>
        <w:t>,</w:t>
      </w:r>
      <w:r w:rsidR="00460BAB" w:rsidRPr="00A05698">
        <w:rPr>
          <w:spacing w:val="-2"/>
        </w:rPr>
        <w:t xml:space="preserve"> mais aussi de </w:t>
      </w:r>
      <w:r w:rsidR="005D7734" w:rsidRPr="00A05698">
        <w:rPr>
          <w:spacing w:val="-2"/>
        </w:rPr>
        <w:t>la Loi</w:t>
      </w:r>
      <w:r w:rsidR="00004591" w:rsidRPr="00A05698">
        <w:rPr>
          <w:spacing w:val="-2"/>
        </w:rPr>
        <w:t xml:space="preserve"> n°10/2010 du 24 septembre 2010 sur l’évaluation environnementale</w:t>
      </w:r>
      <w:r w:rsidR="00460BAB" w:rsidRPr="00A05698">
        <w:rPr>
          <w:spacing w:val="-2"/>
        </w:rPr>
        <w:t xml:space="preserve"> en Guinée Bissau</w:t>
      </w:r>
      <w:r w:rsidR="00A93881" w:rsidRPr="00A05698">
        <w:rPr>
          <w:spacing w:val="-2"/>
        </w:rPr>
        <w:t>.</w:t>
      </w:r>
    </w:p>
    <w:p w:rsidR="00A45EEC" w:rsidRPr="00A05698" w:rsidRDefault="00A45EEC" w:rsidP="004F4212">
      <w:pPr>
        <w:spacing w:before="120" w:after="120"/>
        <w:ind w:left="-284" w:right="-142"/>
        <w:jc w:val="both"/>
        <w:rPr>
          <w:spacing w:val="-2"/>
        </w:rPr>
      </w:pPr>
      <w:r w:rsidRPr="00A05698">
        <w:rPr>
          <w:spacing w:val="-2"/>
        </w:rPr>
        <w:t>Les objectifs d</w:t>
      </w:r>
      <w:r w:rsidR="00233D1D" w:rsidRPr="00A05698">
        <w:rPr>
          <w:spacing w:val="-2"/>
        </w:rPr>
        <w:t>u CGES</w:t>
      </w:r>
      <w:r w:rsidRPr="00A05698">
        <w:rPr>
          <w:spacing w:val="-2"/>
        </w:rPr>
        <w:t xml:space="preserve"> sont :</w:t>
      </w:r>
    </w:p>
    <w:p w:rsidR="00A45EEC" w:rsidRPr="00A05698" w:rsidRDefault="00A45EEC" w:rsidP="003C76AE">
      <w:pPr>
        <w:pStyle w:val="PargrafodaLista"/>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2"/>
        <w:jc w:val="both"/>
        <w:rPr>
          <w:rFonts w:ascii="Times New Roman" w:hAnsi="Times New Roman"/>
          <w:sz w:val="24"/>
          <w:szCs w:val="24"/>
        </w:rPr>
      </w:pPr>
      <w:r w:rsidRPr="00A05698">
        <w:rPr>
          <w:rFonts w:ascii="Times New Roman" w:hAnsi="Times New Roman"/>
          <w:sz w:val="24"/>
          <w:szCs w:val="24"/>
        </w:rPr>
        <w:t xml:space="preserve">Appréhender les enjeux environnementaux </w:t>
      </w:r>
      <w:r w:rsidR="003D721D" w:rsidRPr="00A05698">
        <w:rPr>
          <w:rFonts w:ascii="Times New Roman" w:hAnsi="Times New Roman"/>
          <w:sz w:val="24"/>
          <w:szCs w:val="24"/>
        </w:rPr>
        <w:t>et sociaux</w:t>
      </w:r>
      <w:r w:rsidR="00FC46CF">
        <w:rPr>
          <w:rFonts w:ascii="Times New Roman" w:hAnsi="Times New Roman"/>
          <w:sz w:val="24"/>
          <w:szCs w:val="24"/>
        </w:rPr>
        <w:t>,</w:t>
      </w:r>
      <w:r w:rsidR="00FC46CF" w:rsidRPr="00FC46CF">
        <w:rPr>
          <w:spacing w:val="-2"/>
        </w:rPr>
        <w:t xml:space="preserve"> </w:t>
      </w:r>
      <w:r w:rsidR="00FC46CF" w:rsidRPr="00083B97">
        <w:rPr>
          <w:rFonts w:ascii="Times New Roman" w:hAnsi="Times New Roman"/>
          <w:spacing w:val="-2"/>
          <w:sz w:val="24"/>
          <w:szCs w:val="24"/>
        </w:rPr>
        <w:t>y compris ceux liés à l’EAS/HS</w:t>
      </w:r>
      <w:r w:rsidR="00FC46CF">
        <w:rPr>
          <w:rStyle w:val="Refdenotaderodap"/>
          <w:spacing w:val="-2"/>
        </w:rPr>
        <w:footnoteReference w:id="2"/>
      </w:r>
      <w:r w:rsidR="00FC46CF">
        <w:rPr>
          <w:spacing w:val="-2"/>
        </w:rPr>
        <w:t xml:space="preserve"> </w:t>
      </w:r>
      <w:r w:rsidR="003D721D" w:rsidRPr="00A05698">
        <w:rPr>
          <w:rFonts w:ascii="Times New Roman" w:hAnsi="Times New Roman"/>
          <w:sz w:val="24"/>
          <w:szCs w:val="24"/>
        </w:rPr>
        <w:t xml:space="preserve"> majeurs associés au projet </w:t>
      </w:r>
      <w:r w:rsidRPr="00A05698">
        <w:rPr>
          <w:rFonts w:ascii="Times New Roman" w:hAnsi="Times New Roman"/>
          <w:sz w:val="24"/>
          <w:szCs w:val="24"/>
        </w:rPr>
        <w:t>et définir la stratégie de gestion environnementale associée à ces types de projets,</w:t>
      </w:r>
    </w:p>
    <w:p w:rsidR="00A45EEC" w:rsidRPr="00A05698" w:rsidRDefault="00A45EEC" w:rsidP="003C76AE">
      <w:pPr>
        <w:pStyle w:val="PargrafodaLista"/>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2"/>
        <w:jc w:val="both"/>
        <w:rPr>
          <w:rFonts w:ascii="Times New Roman" w:hAnsi="Times New Roman"/>
          <w:sz w:val="24"/>
          <w:szCs w:val="24"/>
        </w:rPr>
      </w:pPr>
      <w:r w:rsidRPr="00A05698">
        <w:rPr>
          <w:rFonts w:ascii="Times New Roman" w:hAnsi="Times New Roman"/>
          <w:sz w:val="24"/>
          <w:szCs w:val="24"/>
        </w:rPr>
        <w:t>Développer en termes de stratégies, les méthodes permettant au projet d’atteindre ses buts dans les limites temporelles prévues et en conformité avec les normes environnementales et</w:t>
      </w:r>
      <w:r w:rsidR="008D21A1">
        <w:rPr>
          <w:rFonts w:ascii="Times New Roman" w:hAnsi="Times New Roman"/>
          <w:sz w:val="24"/>
          <w:szCs w:val="24"/>
        </w:rPr>
        <w:t xml:space="preserve"> sociales</w:t>
      </w:r>
      <w:r w:rsidRPr="00A05698">
        <w:rPr>
          <w:rFonts w:ascii="Times New Roman" w:hAnsi="Times New Roman"/>
          <w:sz w:val="24"/>
          <w:szCs w:val="24"/>
        </w:rPr>
        <w:t>,</w:t>
      </w:r>
    </w:p>
    <w:p w:rsidR="00A45EEC" w:rsidRPr="00A05698" w:rsidRDefault="00A45EEC" w:rsidP="003C76AE">
      <w:pPr>
        <w:pStyle w:val="PargrafodaLista"/>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2"/>
        <w:jc w:val="both"/>
        <w:rPr>
          <w:rFonts w:ascii="Times New Roman" w:hAnsi="Times New Roman"/>
          <w:sz w:val="24"/>
          <w:szCs w:val="24"/>
        </w:rPr>
      </w:pPr>
      <w:r w:rsidRPr="00A05698">
        <w:rPr>
          <w:rFonts w:ascii="Times New Roman" w:hAnsi="Times New Roman"/>
          <w:sz w:val="24"/>
          <w:szCs w:val="24"/>
        </w:rPr>
        <w:t>Préciser les rôles et responsabilités pour gérer et suivre les préoccupations environnementales et sociales relatives au projet,</w:t>
      </w:r>
    </w:p>
    <w:p w:rsidR="00A45EEC" w:rsidRPr="00A05698" w:rsidRDefault="00A45EEC" w:rsidP="003C76AE">
      <w:pPr>
        <w:pStyle w:val="PargrafodaLista"/>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2"/>
        <w:jc w:val="both"/>
        <w:rPr>
          <w:rFonts w:ascii="Times New Roman" w:hAnsi="Times New Roman"/>
          <w:sz w:val="24"/>
          <w:szCs w:val="24"/>
        </w:rPr>
      </w:pPr>
      <w:r w:rsidRPr="00A05698">
        <w:rPr>
          <w:rFonts w:ascii="Times New Roman" w:hAnsi="Times New Roman"/>
          <w:sz w:val="24"/>
          <w:szCs w:val="24"/>
        </w:rPr>
        <w:t>Déterminer les besoins en formation, renforcement des capacités et autre assistance technique pour la mise en œuvre adéquate des résultats d</w:t>
      </w:r>
      <w:r w:rsidR="00233D1D" w:rsidRPr="00A05698">
        <w:rPr>
          <w:rFonts w:ascii="Times New Roman" w:hAnsi="Times New Roman"/>
          <w:sz w:val="24"/>
          <w:szCs w:val="24"/>
        </w:rPr>
        <w:t>u CGES</w:t>
      </w:r>
      <w:r w:rsidRPr="00A05698">
        <w:rPr>
          <w:rFonts w:ascii="Times New Roman" w:hAnsi="Times New Roman"/>
          <w:sz w:val="24"/>
          <w:szCs w:val="24"/>
        </w:rPr>
        <w:t>,</w:t>
      </w:r>
    </w:p>
    <w:p w:rsidR="00A45EEC" w:rsidRPr="00A05698" w:rsidRDefault="00A45EEC" w:rsidP="003C76AE">
      <w:pPr>
        <w:pStyle w:val="PargrafodaLista"/>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2"/>
        <w:jc w:val="both"/>
        <w:rPr>
          <w:rFonts w:ascii="Times New Roman" w:hAnsi="Times New Roman"/>
          <w:sz w:val="24"/>
          <w:szCs w:val="24"/>
        </w:rPr>
      </w:pPr>
      <w:r w:rsidRPr="00A05698">
        <w:rPr>
          <w:rFonts w:ascii="Times New Roman" w:hAnsi="Times New Roman"/>
          <w:sz w:val="24"/>
          <w:szCs w:val="24"/>
        </w:rPr>
        <w:t xml:space="preserve">Fixer le montant du financement à pourvoir pour mettre en œuvre le plan cadre de gestion. </w:t>
      </w:r>
    </w:p>
    <w:p w:rsidR="00A45EEC" w:rsidRPr="00A05698" w:rsidRDefault="00A45EEC" w:rsidP="004F4212">
      <w:pPr>
        <w:pStyle w:val="PargrafodaLista"/>
        <w:autoSpaceDE w:val="0"/>
        <w:autoSpaceDN w:val="0"/>
        <w:adjustRightInd w:val="0"/>
        <w:spacing w:after="0" w:line="240" w:lineRule="auto"/>
        <w:ind w:right="142"/>
        <w:jc w:val="both"/>
        <w:rPr>
          <w:rFonts w:ascii="Times New Roman" w:hAnsi="Times New Roman"/>
          <w:sz w:val="24"/>
          <w:szCs w:val="24"/>
        </w:rPr>
      </w:pPr>
    </w:p>
    <w:p w:rsidR="00A45EEC" w:rsidRPr="00A05698" w:rsidRDefault="00A45EEC" w:rsidP="00157035">
      <w:pPr>
        <w:pStyle w:val="PargrafodaLista"/>
        <w:numPr>
          <w:ilvl w:val="1"/>
          <w:numId w:val="99"/>
        </w:numPr>
        <w:spacing w:after="120" w:line="240" w:lineRule="auto"/>
        <w:outlineLvl w:val="1"/>
        <w:rPr>
          <w:rFonts w:ascii="Times New Roman" w:hAnsi="Times New Roman"/>
          <w:b/>
          <w:bCs/>
          <w:sz w:val="24"/>
          <w:szCs w:val="24"/>
        </w:rPr>
      </w:pPr>
      <w:bookmarkStart w:id="50" w:name="_Toc414262960"/>
      <w:bookmarkStart w:id="51" w:name="_Toc414262821"/>
      <w:bookmarkStart w:id="52" w:name="_Toc414260071"/>
      <w:bookmarkStart w:id="53" w:name="_Toc414259799"/>
      <w:bookmarkStart w:id="54" w:name="_Toc512871941"/>
      <w:bookmarkStart w:id="55" w:name="_Toc4070723"/>
      <w:bookmarkStart w:id="56" w:name="_Toc53716485"/>
      <w:bookmarkStart w:id="57" w:name="_Toc73459701"/>
      <w:r w:rsidRPr="00A05698">
        <w:rPr>
          <w:rFonts w:ascii="Times New Roman" w:hAnsi="Times New Roman"/>
          <w:b/>
          <w:bCs/>
          <w:sz w:val="24"/>
          <w:szCs w:val="24"/>
        </w:rPr>
        <w:t>DÉMARCHE MÉTHODOLOGIQUE</w:t>
      </w:r>
      <w:bookmarkEnd w:id="50"/>
      <w:bookmarkEnd w:id="51"/>
      <w:bookmarkEnd w:id="52"/>
      <w:bookmarkEnd w:id="53"/>
      <w:bookmarkEnd w:id="54"/>
      <w:bookmarkEnd w:id="55"/>
      <w:bookmarkEnd w:id="56"/>
      <w:bookmarkEnd w:id="57"/>
      <w:r w:rsidRPr="00A05698">
        <w:rPr>
          <w:rFonts w:ascii="Times New Roman" w:hAnsi="Times New Roman"/>
          <w:b/>
          <w:bCs/>
          <w:sz w:val="24"/>
          <w:szCs w:val="24"/>
        </w:rPr>
        <w:t xml:space="preserve"> </w:t>
      </w:r>
    </w:p>
    <w:p w:rsidR="00A45EEC" w:rsidRPr="00A05698" w:rsidRDefault="00A45EEC" w:rsidP="004F4212">
      <w:pPr>
        <w:spacing w:before="120" w:after="120"/>
        <w:ind w:left="-284" w:right="-142"/>
        <w:jc w:val="both"/>
        <w:rPr>
          <w:spacing w:val="-2"/>
        </w:rPr>
      </w:pPr>
      <w:r w:rsidRPr="00A05698">
        <w:rPr>
          <w:spacing w:val="-2"/>
        </w:rPr>
        <w:t xml:space="preserve">La méthodologie suivie pour la réalisation </w:t>
      </w:r>
      <w:r w:rsidR="00233D1D" w:rsidRPr="00A05698">
        <w:rPr>
          <w:spacing w:val="-2"/>
        </w:rPr>
        <w:t>du CGES</w:t>
      </w:r>
      <w:r w:rsidRPr="00A05698">
        <w:rPr>
          <w:spacing w:val="-2"/>
        </w:rPr>
        <w:t xml:space="preserve"> a été articulée autour des étapes suivantes :</w:t>
      </w:r>
    </w:p>
    <w:p w:rsidR="00A45EEC" w:rsidRPr="000E72B5" w:rsidRDefault="00A45EEC" w:rsidP="00157035">
      <w:pPr>
        <w:pStyle w:val="Primeiroavanodecorpodetexto2"/>
        <w:numPr>
          <w:ilvl w:val="0"/>
          <w:numId w:val="100"/>
        </w:numPr>
        <w:spacing w:after="0" w:line="240" w:lineRule="auto"/>
        <w:ind w:left="567"/>
        <w:jc w:val="both"/>
        <w:rPr>
          <w:rFonts w:ascii="Times New Roman" w:eastAsiaTheme="minorHAnsi" w:hAnsi="Times New Roman"/>
          <w:spacing w:val="-2"/>
        </w:rPr>
      </w:pPr>
      <w:r w:rsidRPr="000E72B5">
        <w:rPr>
          <w:rFonts w:ascii="Times New Roman" w:eastAsiaTheme="minorHAnsi" w:hAnsi="Times New Roman"/>
          <w:spacing w:val="-2"/>
        </w:rPr>
        <w:t>La collecte des données ;</w:t>
      </w:r>
    </w:p>
    <w:p w:rsidR="00A45EEC" w:rsidRPr="000E72B5" w:rsidRDefault="00A45EEC" w:rsidP="00157035">
      <w:pPr>
        <w:pStyle w:val="Primeiroavanodecorpodetexto2"/>
        <w:numPr>
          <w:ilvl w:val="0"/>
          <w:numId w:val="100"/>
        </w:numPr>
        <w:spacing w:after="0" w:line="240" w:lineRule="auto"/>
        <w:ind w:left="567"/>
        <w:jc w:val="both"/>
        <w:rPr>
          <w:rFonts w:ascii="Times New Roman" w:eastAsiaTheme="minorHAnsi" w:hAnsi="Times New Roman"/>
          <w:spacing w:val="-2"/>
        </w:rPr>
      </w:pPr>
      <w:r w:rsidRPr="000E72B5">
        <w:rPr>
          <w:rFonts w:ascii="Times New Roman" w:eastAsiaTheme="minorHAnsi" w:hAnsi="Times New Roman"/>
          <w:spacing w:val="-2"/>
        </w:rPr>
        <w:lastRenderedPageBreak/>
        <w:t>Le traitement et l’analyse des documents stratégiques et de planification à l</w:t>
      </w:r>
      <w:r w:rsidR="00A05714" w:rsidRPr="000E72B5">
        <w:rPr>
          <w:rFonts w:ascii="Times New Roman" w:eastAsiaTheme="minorHAnsi" w:hAnsi="Times New Roman"/>
          <w:spacing w:val="-2"/>
        </w:rPr>
        <w:t>’</w:t>
      </w:r>
      <w:r w:rsidRPr="000E72B5">
        <w:rPr>
          <w:rFonts w:ascii="Times New Roman" w:eastAsiaTheme="minorHAnsi" w:hAnsi="Times New Roman"/>
          <w:spacing w:val="-2"/>
        </w:rPr>
        <w:t xml:space="preserve">échelle nationale et locale relatif au projet </w:t>
      </w:r>
    </w:p>
    <w:p w:rsidR="00A45EEC" w:rsidRPr="000E72B5" w:rsidRDefault="00A45EEC" w:rsidP="00157035">
      <w:pPr>
        <w:pStyle w:val="Primeiroavanodecorpodetexto2"/>
        <w:numPr>
          <w:ilvl w:val="0"/>
          <w:numId w:val="100"/>
        </w:numPr>
        <w:spacing w:after="0" w:line="240" w:lineRule="auto"/>
        <w:ind w:left="567"/>
        <w:jc w:val="both"/>
        <w:rPr>
          <w:rFonts w:ascii="Times New Roman" w:eastAsiaTheme="minorHAnsi" w:hAnsi="Times New Roman"/>
          <w:spacing w:val="-2"/>
        </w:rPr>
      </w:pPr>
      <w:r w:rsidRPr="000E72B5">
        <w:rPr>
          <w:rFonts w:ascii="Times New Roman" w:eastAsiaTheme="minorHAnsi" w:hAnsi="Times New Roman"/>
          <w:spacing w:val="-2"/>
        </w:rPr>
        <w:t>Rencontres avec les acteurs institutionnels et socioprofessionnels principalement concernés par le projet ;</w:t>
      </w:r>
    </w:p>
    <w:p w:rsidR="00A45EEC" w:rsidRPr="000E72B5" w:rsidRDefault="00A45EEC" w:rsidP="00157035">
      <w:pPr>
        <w:pStyle w:val="Primeiroavanodecorpodetexto2"/>
        <w:numPr>
          <w:ilvl w:val="0"/>
          <w:numId w:val="100"/>
        </w:numPr>
        <w:spacing w:after="0" w:line="240" w:lineRule="auto"/>
        <w:ind w:left="567"/>
        <w:jc w:val="both"/>
        <w:rPr>
          <w:rFonts w:ascii="Times New Roman" w:eastAsiaTheme="minorHAnsi" w:hAnsi="Times New Roman"/>
          <w:spacing w:val="-2"/>
        </w:rPr>
      </w:pPr>
      <w:r w:rsidRPr="000E72B5">
        <w:rPr>
          <w:rFonts w:ascii="Times New Roman" w:eastAsiaTheme="minorHAnsi" w:hAnsi="Times New Roman"/>
          <w:spacing w:val="-2"/>
        </w:rPr>
        <w:t xml:space="preserve">La rédaction </w:t>
      </w:r>
      <w:r w:rsidR="007E383E" w:rsidRPr="000E72B5">
        <w:rPr>
          <w:rFonts w:ascii="Times New Roman" w:eastAsiaTheme="minorHAnsi" w:hAnsi="Times New Roman"/>
          <w:spacing w:val="-2"/>
        </w:rPr>
        <w:t xml:space="preserve">et la validation </w:t>
      </w:r>
      <w:r w:rsidRPr="000E72B5">
        <w:rPr>
          <w:rFonts w:ascii="Times New Roman" w:eastAsiaTheme="minorHAnsi" w:hAnsi="Times New Roman"/>
          <w:spacing w:val="-2"/>
        </w:rPr>
        <w:t>du rapport d</w:t>
      </w:r>
      <w:r w:rsidR="00233D1D" w:rsidRPr="000E72B5">
        <w:rPr>
          <w:rFonts w:ascii="Times New Roman" w:eastAsiaTheme="minorHAnsi" w:hAnsi="Times New Roman"/>
          <w:spacing w:val="-2"/>
        </w:rPr>
        <w:t>e CGES</w:t>
      </w:r>
      <w:r w:rsidRPr="000E72B5">
        <w:rPr>
          <w:rFonts w:ascii="Times New Roman" w:eastAsiaTheme="minorHAnsi" w:hAnsi="Times New Roman"/>
          <w:spacing w:val="-2"/>
        </w:rPr>
        <w:t>.</w:t>
      </w:r>
    </w:p>
    <w:p w:rsidR="0040071E" w:rsidRPr="00A05698" w:rsidRDefault="0040071E" w:rsidP="004F4212">
      <w:pPr>
        <w:pStyle w:val="Primeiroavanodecorpodetexto2"/>
        <w:spacing w:after="0" w:line="240" w:lineRule="auto"/>
        <w:ind w:left="1080" w:firstLine="0"/>
        <w:jc w:val="both"/>
        <w:rPr>
          <w:rFonts w:ascii="Times New Roman" w:eastAsiaTheme="minorHAnsi" w:hAnsi="Times New Roman"/>
          <w:spacing w:val="-2"/>
          <w:sz w:val="24"/>
          <w:szCs w:val="24"/>
        </w:rPr>
      </w:pPr>
    </w:p>
    <w:p w:rsidR="0040071E" w:rsidRPr="00A05698" w:rsidRDefault="00A45EEC" w:rsidP="00157035">
      <w:pPr>
        <w:pStyle w:val="PargrafodaLista"/>
        <w:numPr>
          <w:ilvl w:val="2"/>
          <w:numId w:val="99"/>
        </w:numPr>
        <w:spacing w:after="120" w:line="240" w:lineRule="auto"/>
        <w:outlineLvl w:val="1"/>
        <w:rPr>
          <w:rFonts w:ascii="Times New Roman" w:hAnsi="Times New Roman"/>
          <w:b/>
          <w:bCs/>
          <w:sz w:val="24"/>
          <w:szCs w:val="24"/>
        </w:rPr>
      </w:pPr>
      <w:bookmarkStart w:id="58" w:name="_Toc368520776"/>
      <w:bookmarkStart w:id="59" w:name="_Toc322967459"/>
      <w:bookmarkStart w:id="60" w:name="_Toc276893081"/>
      <w:bookmarkStart w:id="61" w:name="_Toc414262961"/>
      <w:bookmarkStart w:id="62" w:name="_Toc414262822"/>
      <w:bookmarkStart w:id="63" w:name="_Toc414260072"/>
      <w:bookmarkStart w:id="64" w:name="_Toc414259800"/>
      <w:bookmarkStart w:id="65" w:name="_Toc512871942"/>
      <w:bookmarkStart w:id="66" w:name="_Toc4070724"/>
      <w:bookmarkStart w:id="67" w:name="_Toc53716486"/>
      <w:bookmarkStart w:id="68" w:name="_Toc73459702"/>
      <w:r w:rsidRPr="00A05698">
        <w:rPr>
          <w:rFonts w:ascii="Times New Roman" w:hAnsi="Times New Roman"/>
          <w:b/>
          <w:bCs/>
          <w:sz w:val="24"/>
          <w:szCs w:val="24"/>
        </w:rPr>
        <w:t>La collecte des donnée</w:t>
      </w:r>
      <w:bookmarkEnd w:id="58"/>
      <w:bookmarkEnd w:id="59"/>
      <w:bookmarkEnd w:id="60"/>
      <w:r w:rsidRPr="00A05698">
        <w:rPr>
          <w:rFonts w:ascii="Times New Roman" w:hAnsi="Times New Roman"/>
          <w:b/>
          <w:bCs/>
          <w:sz w:val="24"/>
          <w:szCs w:val="24"/>
        </w:rPr>
        <w:t>s</w:t>
      </w:r>
      <w:bookmarkEnd w:id="61"/>
      <w:bookmarkEnd w:id="62"/>
      <w:bookmarkEnd w:id="63"/>
      <w:bookmarkEnd w:id="64"/>
      <w:bookmarkEnd w:id="65"/>
      <w:bookmarkEnd w:id="66"/>
      <w:bookmarkEnd w:id="67"/>
      <w:bookmarkEnd w:id="68"/>
    </w:p>
    <w:p w:rsidR="00A45EEC" w:rsidRPr="00A05698" w:rsidRDefault="004A55C8" w:rsidP="004F4212">
      <w:pPr>
        <w:spacing w:before="120" w:after="120"/>
        <w:ind w:left="-284" w:right="-142"/>
        <w:jc w:val="both"/>
        <w:rPr>
          <w:spacing w:val="-2"/>
        </w:rPr>
      </w:pPr>
      <w:r w:rsidRPr="00A05698">
        <w:rPr>
          <w:spacing w:val="-2"/>
        </w:rPr>
        <w:t xml:space="preserve">Depuis, </w:t>
      </w:r>
      <w:r w:rsidR="00467D97" w:rsidRPr="00A05698">
        <w:rPr>
          <w:spacing w:val="-2"/>
        </w:rPr>
        <w:t xml:space="preserve">le 12 </w:t>
      </w:r>
      <w:r w:rsidR="00D26C79" w:rsidRPr="00A05698">
        <w:rPr>
          <w:spacing w:val="-2"/>
        </w:rPr>
        <w:t>décembre</w:t>
      </w:r>
      <w:r w:rsidR="00467D97" w:rsidRPr="00A05698">
        <w:rPr>
          <w:spacing w:val="-2"/>
        </w:rPr>
        <w:t xml:space="preserve"> 2020</w:t>
      </w:r>
      <w:r w:rsidR="00D26C79" w:rsidRPr="00A05698">
        <w:rPr>
          <w:spacing w:val="-2"/>
        </w:rPr>
        <w:t>,</w:t>
      </w:r>
      <w:r w:rsidR="00467D97" w:rsidRPr="00A05698">
        <w:rPr>
          <w:spacing w:val="-2"/>
        </w:rPr>
        <w:t xml:space="preserve"> </w:t>
      </w:r>
      <w:r w:rsidR="00D26C79" w:rsidRPr="00A05698">
        <w:rPr>
          <w:spacing w:val="-2"/>
        </w:rPr>
        <w:t>l</w:t>
      </w:r>
      <w:r w:rsidR="00A45EEC" w:rsidRPr="00A05698">
        <w:rPr>
          <w:spacing w:val="-2"/>
        </w:rPr>
        <w:t xml:space="preserve">a collecte des données </w:t>
      </w:r>
      <w:r w:rsidR="00AA5F51" w:rsidRPr="00A05698">
        <w:rPr>
          <w:spacing w:val="-2"/>
        </w:rPr>
        <w:t xml:space="preserve">est </w:t>
      </w:r>
      <w:r w:rsidR="00D7052B" w:rsidRPr="00A05698">
        <w:rPr>
          <w:spacing w:val="-2"/>
        </w:rPr>
        <w:t xml:space="preserve">en </w:t>
      </w:r>
      <w:r w:rsidR="00744FDF" w:rsidRPr="00A05698">
        <w:rPr>
          <w:spacing w:val="-2"/>
        </w:rPr>
        <w:t>cours grâce au</w:t>
      </w:r>
      <w:r w:rsidR="00A45EEC" w:rsidRPr="00A05698">
        <w:rPr>
          <w:spacing w:val="-2"/>
        </w:rPr>
        <w:t xml:space="preserve"> moyen de recherche</w:t>
      </w:r>
      <w:r w:rsidR="003B27B7" w:rsidRPr="00A05698">
        <w:rPr>
          <w:spacing w:val="-2"/>
        </w:rPr>
        <w:t>s</w:t>
      </w:r>
      <w:r w:rsidR="00A45EEC" w:rsidRPr="00A05698">
        <w:rPr>
          <w:spacing w:val="-2"/>
        </w:rPr>
        <w:t xml:space="preserve"> documentaire</w:t>
      </w:r>
      <w:r w:rsidR="003B27B7" w:rsidRPr="00A05698">
        <w:rPr>
          <w:spacing w:val="-2"/>
        </w:rPr>
        <w:t>s</w:t>
      </w:r>
      <w:r w:rsidR="00A45EEC" w:rsidRPr="00A05698">
        <w:rPr>
          <w:spacing w:val="-2"/>
        </w:rPr>
        <w:t>, des investigations de terrain, des consultations et des entretiens avec les principaux acteurs.</w:t>
      </w:r>
    </w:p>
    <w:p w:rsidR="00A45EEC" w:rsidRPr="00A05698" w:rsidRDefault="008D03A6" w:rsidP="003C76AE">
      <w:pPr>
        <w:pStyle w:val="Listacommarcas2"/>
        <w:numPr>
          <w:ilvl w:val="0"/>
          <w:numId w:val="4"/>
        </w:numPr>
        <w:spacing w:line="240" w:lineRule="auto"/>
        <w:rPr>
          <w:rFonts w:ascii="Times New Roman" w:hAnsi="Times New Roman"/>
          <w:b/>
          <w:sz w:val="24"/>
          <w:lang w:val="fr-FR"/>
        </w:rPr>
      </w:pPr>
      <w:r w:rsidRPr="00A05698">
        <w:rPr>
          <w:rFonts w:ascii="Times New Roman" w:hAnsi="Times New Roman"/>
          <w:b/>
          <w:sz w:val="24"/>
          <w:lang w:val="fr-FR"/>
        </w:rPr>
        <w:t>Recherche</w:t>
      </w:r>
      <w:r w:rsidR="00A45EEC" w:rsidRPr="00A05698">
        <w:rPr>
          <w:rFonts w:ascii="Times New Roman" w:hAnsi="Times New Roman"/>
          <w:b/>
          <w:sz w:val="24"/>
          <w:lang w:val="fr-FR"/>
        </w:rPr>
        <w:t xml:space="preserve"> documentaire : </w:t>
      </w:r>
    </w:p>
    <w:p w:rsidR="00A45EEC" w:rsidRPr="00A05698" w:rsidRDefault="00A45EEC" w:rsidP="004F4212">
      <w:pPr>
        <w:spacing w:before="120" w:after="120"/>
        <w:ind w:left="-284" w:right="-142"/>
        <w:jc w:val="both"/>
        <w:rPr>
          <w:spacing w:val="-2"/>
        </w:rPr>
      </w:pPr>
      <w:r w:rsidRPr="00A05698">
        <w:rPr>
          <w:spacing w:val="-2"/>
        </w:rPr>
        <w:t>Elle a consisté en la collecte des données de base relatives au projet, aux caractéristiques biophysiques et socioéconomiques de la zone d’influence du projet ainsi qu’aux cadres politique, législatif et réglementaire r</w:t>
      </w:r>
      <w:r w:rsidR="00A31068" w:rsidRPr="00A05698">
        <w:rPr>
          <w:spacing w:val="-2"/>
        </w:rPr>
        <w:t xml:space="preserve">égissant l’environnement et le </w:t>
      </w:r>
      <w:r w:rsidR="004B2290" w:rsidRPr="00A05698">
        <w:rPr>
          <w:spacing w:val="-2"/>
        </w:rPr>
        <w:t>secteur</w:t>
      </w:r>
      <w:r w:rsidRPr="00A05698">
        <w:rPr>
          <w:spacing w:val="-2"/>
        </w:rPr>
        <w:t xml:space="preserve"> de l</w:t>
      </w:r>
      <w:r w:rsidR="00A05714" w:rsidRPr="00A05698">
        <w:rPr>
          <w:spacing w:val="-2"/>
        </w:rPr>
        <w:t>’</w:t>
      </w:r>
      <w:r w:rsidRPr="00A05698">
        <w:rPr>
          <w:spacing w:val="-2"/>
        </w:rPr>
        <w:t>agriculture et de gestion de projet.</w:t>
      </w:r>
    </w:p>
    <w:p w:rsidR="006E7B9C" w:rsidRPr="00A05698" w:rsidRDefault="007C3D82" w:rsidP="003C76AE">
      <w:pPr>
        <w:pStyle w:val="Listacommarcas2"/>
        <w:numPr>
          <w:ilvl w:val="0"/>
          <w:numId w:val="4"/>
        </w:numPr>
        <w:spacing w:after="120" w:line="240" w:lineRule="auto"/>
        <w:rPr>
          <w:rFonts w:ascii="Times New Roman" w:hAnsi="Times New Roman"/>
          <w:b/>
          <w:sz w:val="24"/>
          <w:lang w:val="fr-FR"/>
        </w:rPr>
      </w:pPr>
      <w:r w:rsidRPr="00A05698">
        <w:rPr>
          <w:rFonts w:ascii="Times New Roman" w:hAnsi="Times New Roman"/>
          <w:b/>
          <w:sz w:val="24"/>
          <w:lang w:val="fr-FR"/>
        </w:rPr>
        <w:t xml:space="preserve">Investigations et </w:t>
      </w:r>
      <w:r w:rsidR="00A45EEC" w:rsidRPr="00A05698">
        <w:rPr>
          <w:rFonts w:ascii="Times New Roman" w:hAnsi="Times New Roman"/>
          <w:b/>
          <w:sz w:val="24"/>
          <w:lang w:val="fr-FR"/>
        </w:rPr>
        <w:t>Entretiens avec les principaux acteurs :</w:t>
      </w:r>
    </w:p>
    <w:p w:rsidR="005D1591" w:rsidRPr="00A05698" w:rsidRDefault="005D1591" w:rsidP="004F4212">
      <w:pPr>
        <w:spacing w:before="120" w:after="120"/>
        <w:ind w:left="-284" w:right="-142"/>
        <w:jc w:val="both"/>
        <w:rPr>
          <w:spacing w:val="-2"/>
        </w:rPr>
      </w:pPr>
      <w:bookmarkStart w:id="69" w:name="_Toc414262962"/>
      <w:bookmarkStart w:id="70" w:name="_Toc414262823"/>
      <w:bookmarkStart w:id="71" w:name="_Toc414260073"/>
      <w:bookmarkStart w:id="72" w:name="_Toc414259801"/>
      <w:bookmarkStart w:id="73" w:name="_Toc368520777"/>
      <w:bookmarkStart w:id="74" w:name="_Toc322967460"/>
      <w:bookmarkStart w:id="75" w:name="_Toc276893082"/>
      <w:bookmarkStart w:id="76" w:name="_Toc512871943"/>
      <w:bookmarkStart w:id="77" w:name="_Toc4070725"/>
      <w:bookmarkStart w:id="78" w:name="_Toc53716487"/>
      <w:r w:rsidRPr="00A05698">
        <w:rPr>
          <w:spacing w:val="-2"/>
        </w:rPr>
        <w:t>Poursuivant l'approche participative et inclusive du projet PUSA, des interviews semi-structurées ont été utilisées comme outils afin de collecter la bonne information sur le projet et aussi recueillir en premier lieu les éventuels impacts négatifs causés par la pandémie de la COVID 19 dans leurs différents secteurs d’activités (situation de référence).</w:t>
      </w:r>
    </w:p>
    <w:p w:rsidR="005D1591" w:rsidRPr="004D1BD0" w:rsidRDefault="005D1591" w:rsidP="004F4212">
      <w:pPr>
        <w:spacing w:before="120" w:after="120"/>
        <w:ind w:left="-284" w:right="-142"/>
        <w:jc w:val="both"/>
        <w:rPr>
          <w:i/>
          <w:spacing w:val="-2"/>
        </w:rPr>
      </w:pPr>
      <w:r w:rsidRPr="00A05698">
        <w:rPr>
          <w:spacing w:val="-2"/>
        </w:rPr>
        <w:t xml:space="preserve">En second lieu, nous </w:t>
      </w:r>
      <w:r w:rsidR="004F4DF7">
        <w:rPr>
          <w:spacing w:val="-2"/>
        </w:rPr>
        <w:t xml:space="preserve">avons </w:t>
      </w:r>
      <w:r w:rsidRPr="00A05698">
        <w:rPr>
          <w:spacing w:val="-2"/>
        </w:rPr>
        <w:t>recueillir les avis, recommandation</w:t>
      </w:r>
      <w:r w:rsidR="00925843" w:rsidRPr="00A05698">
        <w:rPr>
          <w:spacing w:val="-2"/>
        </w:rPr>
        <w:t>s</w:t>
      </w:r>
      <w:r w:rsidRPr="00A05698">
        <w:rPr>
          <w:spacing w:val="-2"/>
        </w:rPr>
        <w:t xml:space="preserve"> et préoccupations des services, directions techniques ou autres acteurs (Ministère de l'agriculture et du développement rural (MARD), les fédérations ou organisations des producteurs de noix de cajou, les populations concernées, etc. (</w:t>
      </w:r>
      <w:r w:rsidRPr="004D1BD0">
        <w:rPr>
          <w:i/>
          <w:spacing w:val="-2"/>
        </w:rPr>
        <w:t>voir la liste des acteurs rencontr</w:t>
      </w:r>
      <w:r w:rsidR="00002844" w:rsidRPr="00A05698">
        <w:rPr>
          <w:i/>
          <w:spacing w:val="-2"/>
        </w:rPr>
        <w:t>és</w:t>
      </w:r>
      <w:r w:rsidRPr="004D1BD0">
        <w:rPr>
          <w:i/>
          <w:spacing w:val="-2"/>
        </w:rPr>
        <w:t xml:space="preserve"> </w:t>
      </w:r>
      <w:r w:rsidR="00002844" w:rsidRPr="00A05698">
        <w:rPr>
          <w:i/>
          <w:spacing w:val="-2"/>
        </w:rPr>
        <w:t>en annexes</w:t>
      </w:r>
      <w:r w:rsidRPr="004D1BD0">
        <w:rPr>
          <w:i/>
          <w:spacing w:val="-2"/>
        </w:rPr>
        <w:t xml:space="preserve">). </w:t>
      </w:r>
    </w:p>
    <w:p w:rsidR="005D1591" w:rsidRPr="00A05698" w:rsidRDefault="005D1591" w:rsidP="004F4212">
      <w:pPr>
        <w:spacing w:before="120" w:after="120"/>
        <w:ind w:left="-284" w:right="-142"/>
        <w:jc w:val="both"/>
        <w:rPr>
          <w:spacing w:val="-2"/>
        </w:rPr>
      </w:pPr>
      <w:r w:rsidRPr="00A05698">
        <w:rPr>
          <w:spacing w:val="-2"/>
        </w:rPr>
        <w:t>Cette démarche permet d’obtenir les recommandations et les orientations nécessaires pour une bonne mise en œuvre du CGES du projet PUSA inspir</w:t>
      </w:r>
      <w:r w:rsidR="00420403" w:rsidRPr="00A05698">
        <w:rPr>
          <w:spacing w:val="-2"/>
        </w:rPr>
        <w:t>é</w:t>
      </w:r>
      <w:r w:rsidRPr="00A05698">
        <w:rPr>
          <w:spacing w:val="-2"/>
        </w:rPr>
        <w:t xml:space="preserve"> du CGES actualisé du Projet PEASA 2. </w:t>
      </w:r>
    </w:p>
    <w:p w:rsidR="005D1591" w:rsidRPr="00A05698" w:rsidRDefault="005D1591" w:rsidP="004F4212">
      <w:pPr>
        <w:spacing w:before="120" w:after="120"/>
        <w:ind w:left="-284" w:right="-142"/>
        <w:jc w:val="both"/>
        <w:rPr>
          <w:spacing w:val="-2"/>
        </w:rPr>
      </w:pPr>
      <w:r w:rsidRPr="00A05698">
        <w:rPr>
          <w:spacing w:val="-2"/>
        </w:rPr>
        <w:t xml:space="preserve">L’objectif reste </w:t>
      </w:r>
      <w:r w:rsidR="00AD5237" w:rsidRPr="00A05698">
        <w:rPr>
          <w:spacing w:val="-2"/>
        </w:rPr>
        <w:t>à</w:t>
      </w:r>
      <w:r w:rsidRPr="00A05698">
        <w:rPr>
          <w:spacing w:val="-2"/>
        </w:rPr>
        <w:t xml:space="preserve"> déterminer les </w:t>
      </w:r>
      <w:r w:rsidR="00D320C0">
        <w:rPr>
          <w:spacing w:val="-2"/>
        </w:rPr>
        <w:t>zones d’intervention spécifique</w:t>
      </w:r>
      <w:r w:rsidRPr="00A05698">
        <w:rPr>
          <w:spacing w:val="-2"/>
        </w:rPr>
        <w:t xml:space="preserve"> concernées par ce projet au regard des enjeux et des impacts (positif</w:t>
      </w:r>
      <w:r w:rsidR="00420403" w:rsidRPr="00A05698">
        <w:rPr>
          <w:spacing w:val="-2"/>
        </w:rPr>
        <w:t>s</w:t>
      </w:r>
      <w:r w:rsidRPr="00A05698">
        <w:rPr>
          <w:spacing w:val="-2"/>
        </w:rPr>
        <w:t xml:space="preserve"> et négatif</w:t>
      </w:r>
      <w:r w:rsidR="00420403" w:rsidRPr="00A05698">
        <w:rPr>
          <w:spacing w:val="-2"/>
        </w:rPr>
        <w:t>s</w:t>
      </w:r>
      <w:r w:rsidRPr="00A05698">
        <w:rPr>
          <w:spacing w:val="-2"/>
        </w:rPr>
        <w:t xml:space="preserve">) en cohérence avec les activités et politiques définis par l’Etat Bissau guinéen et la Banque Mondiale. </w:t>
      </w:r>
    </w:p>
    <w:p w:rsidR="005D1591" w:rsidRPr="00A05698" w:rsidRDefault="005D1591" w:rsidP="004F4212">
      <w:pPr>
        <w:spacing w:before="120" w:after="120"/>
        <w:ind w:left="-284" w:right="-142"/>
        <w:jc w:val="both"/>
        <w:rPr>
          <w:spacing w:val="-2"/>
        </w:rPr>
      </w:pPr>
      <w:r w:rsidRPr="00A05698">
        <w:rPr>
          <w:spacing w:val="-2"/>
        </w:rPr>
        <w:t xml:space="preserve">Le rapport reflétera clairement un résumé des préoccupations majeures soulevées par les acteurs, lesquelles de ces préoccupations ont été intégrées dans l’analyse des impacts et surtout l’identification et la détermination des coûts des mesures d’atténuation, de compensation ou de bonification. </w:t>
      </w:r>
    </w:p>
    <w:p w:rsidR="005D1591" w:rsidRPr="00A05698" w:rsidRDefault="005D1591" w:rsidP="004F4212">
      <w:pPr>
        <w:spacing w:before="120" w:after="120"/>
        <w:ind w:left="-284" w:right="-142"/>
        <w:jc w:val="both"/>
        <w:rPr>
          <w:spacing w:val="-2"/>
        </w:rPr>
      </w:pPr>
      <w:r w:rsidRPr="00A05698">
        <w:rPr>
          <w:spacing w:val="-2"/>
        </w:rPr>
        <w:t xml:space="preserve">Le plan de consultation avec les méthodes/outils utilisés, de même que la liste des acteurs consultés seront mis en annexe du rapport. </w:t>
      </w:r>
    </w:p>
    <w:p w:rsidR="00A45EEC" w:rsidRPr="00A05698" w:rsidRDefault="00B805ED" w:rsidP="00157035">
      <w:pPr>
        <w:pStyle w:val="PargrafodaLista"/>
        <w:numPr>
          <w:ilvl w:val="2"/>
          <w:numId w:val="99"/>
        </w:numPr>
        <w:spacing w:after="120" w:line="240" w:lineRule="auto"/>
        <w:outlineLvl w:val="1"/>
        <w:rPr>
          <w:rFonts w:ascii="Times New Roman" w:hAnsi="Times New Roman"/>
          <w:b/>
          <w:bCs/>
          <w:sz w:val="24"/>
          <w:szCs w:val="24"/>
        </w:rPr>
      </w:pPr>
      <w:bookmarkStart w:id="79" w:name="_Toc73459703"/>
      <w:r w:rsidRPr="00A05698">
        <w:rPr>
          <w:rFonts w:ascii="Times New Roman" w:hAnsi="Times New Roman"/>
          <w:b/>
          <w:bCs/>
          <w:sz w:val="24"/>
          <w:szCs w:val="24"/>
        </w:rPr>
        <w:t>Traitement</w:t>
      </w:r>
      <w:r w:rsidR="00A45EEC" w:rsidRPr="00A05698">
        <w:rPr>
          <w:rFonts w:ascii="Times New Roman" w:hAnsi="Times New Roman"/>
          <w:b/>
          <w:bCs/>
          <w:sz w:val="24"/>
          <w:szCs w:val="24"/>
        </w:rPr>
        <w:t xml:space="preserve"> et analyse de l’information, rédaction du rapport</w:t>
      </w:r>
      <w:bookmarkEnd w:id="69"/>
      <w:bookmarkEnd w:id="70"/>
      <w:bookmarkEnd w:id="71"/>
      <w:bookmarkEnd w:id="72"/>
      <w:bookmarkEnd w:id="73"/>
      <w:bookmarkEnd w:id="74"/>
      <w:bookmarkEnd w:id="75"/>
      <w:bookmarkEnd w:id="76"/>
      <w:bookmarkEnd w:id="77"/>
      <w:bookmarkEnd w:id="78"/>
      <w:bookmarkEnd w:id="79"/>
    </w:p>
    <w:p w:rsidR="00A45EEC" w:rsidRPr="00A05698" w:rsidRDefault="00A45EEC" w:rsidP="004F4212">
      <w:pPr>
        <w:spacing w:before="120" w:after="120"/>
        <w:ind w:left="-284" w:right="-142"/>
        <w:jc w:val="both"/>
        <w:rPr>
          <w:spacing w:val="-2"/>
        </w:rPr>
      </w:pPr>
      <w:r w:rsidRPr="00A05698">
        <w:t xml:space="preserve">Durant cette phase, les informations et les données recueillies au moment des étapes antérieures sont </w:t>
      </w:r>
      <w:r w:rsidRPr="00A05698">
        <w:rPr>
          <w:spacing w:val="-2"/>
        </w:rPr>
        <w:t>traitées</w:t>
      </w:r>
      <w:r w:rsidR="00B66F61" w:rsidRPr="00A05698">
        <w:rPr>
          <w:spacing w:val="-2"/>
        </w:rPr>
        <w:t>,</w:t>
      </w:r>
      <w:r w:rsidRPr="00A05698">
        <w:rPr>
          <w:spacing w:val="-2"/>
        </w:rPr>
        <w:t xml:space="preserve"> </w:t>
      </w:r>
      <w:r w:rsidR="001F724D" w:rsidRPr="00A05698">
        <w:rPr>
          <w:spacing w:val="-2"/>
        </w:rPr>
        <w:t>analysées</w:t>
      </w:r>
      <w:r w:rsidR="00D37024" w:rsidRPr="00A05698">
        <w:rPr>
          <w:spacing w:val="-2"/>
        </w:rPr>
        <w:t>. Il permet de res</w:t>
      </w:r>
      <w:r w:rsidR="00B66F61" w:rsidRPr="00A05698">
        <w:rPr>
          <w:spacing w:val="-2"/>
        </w:rPr>
        <w:t>sortir les enjeux environnementaux et sociaux</w:t>
      </w:r>
      <w:r w:rsidR="001F724D" w:rsidRPr="00A05698">
        <w:rPr>
          <w:spacing w:val="-2"/>
        </w:rPr>
        <w:t xml:space="preserve"> </w:t>
      </w:r>
      <w:r w:rsidRPr="00A05698">
        <w:rPr>
          <w:spacing w:val="-2"/>
        </w:rPr>
        <w:t>pour en tirer les récepteurs sensibles du milieu c’est-à-dire ceux qui risquent de subir une perturbation une fois</w:t>
      </w:r>
      <w:r w:rsidR="00CD6E1B" w:rsidRPr="00A05698">
        <w:rPr>
          <w:spacing w:val="-2"/>
        </w:rPr>
        <w:t xml:space="preserve"> que</w:t>
      </w:r>
      <w:r w:rsidRPr="00A05698">
        <w:rPr>
          <w:spacing w:val="-2"/>
        </w:rPr>
        <w:t xml:space="preserve"> le projet </w:t>
      </w:r>
      <w:r w:rsidR="00CD6E1B" w:rsidRPr="00A05698">
        <w:rPr>
          <w:spacing w:val="-2"/>
        </w:rPr>
        <w:t xml:space="preserve">sera </w:t>
      </w:r>
      <w:r w:rsidRPr="00A05698">
        <w:rPr>
          <w:spacing w:val="-2"/>
        </w:rPr>
        <w:t>mis en œuvre et les vecteurs de modification ou sources de perturbation.</w:t>
      </w:r>
    </w:p>
    <w:p w:rsidR="00A45EEC" w:rsidRPr="00A05698" w:rsidRDefault="00A45EEC" w:rsidP="004F4212">
      <w:pPr>
        <w:spacing w:before="120" w:after="120"/>
        <w:ind w:left="-284" w:right="-142"/>
        <w:jc w:val="both"/>
        <w:rPr>
          <w:spacing w:val="-2"/>
        </w:rPr>
      </w:pPr>
      <w:r w:rsidRPr="00A05698">
        <w:rPr>
          <w:spacing w:val="-2"/>
        </w:rPr>
        <w:t>Deux listes seront produites à partir de ce travail : une liste des principales activités des composantes du projet (durant toutes les phases) qui sont vecteurs de perturbations (sources d’impact) et une lis</w:t>
      </w:r>
      <w:r w:rsidR="009E0278" w:rsidRPr="00A05698">
        <w:rPr>
          <w:spacing w:val="-2"/>
        </w:rPr>
        <w:t>te des mesures d</w:t>
      </w:r>
      <w:r w:rsidR="00A05714" w:rsidRPr="00A05698">
        <w:rPr>
          <w:spacing w:val="-2"/>
        </w:rPr>
        <w:t>’</w:t>
      </w:r>
      <w:r w:rsidR="009E0278" w:rsidRPr="00A05698">
        <w:rPr>
          <w:spacing w:val="-2"/>
        </w:rPr>
        <w:t xml:space="preserve">accompagnement, </w:t>
      </w:r>
      <w:r w:rsidR="007C1E13" w:rsidRPr="00A05698">
        <w:rPr>
          <w:spacing w:val="-2"/>
        </w:rPr>
        <w:t xml:space="preserve">d’encadrement et de formation </w:t>
      </w:r>
      <w:r w:rsidRPr="00A05698">
        <w:rPr>
          <w:spacing w:val="-2"/>
        </w:rPr>
        <w:t>qu</w:t>
      </w:r>
      <w:r w:rsidR="00A05714" w:rsidRPr="00A05698">
        <w:rPr>
          <w:spacing w:val="-2"/>
        </w:rPr>
        <w:t>’</w:t>
      </w:r>
      <w:r w:rsidRPr="00A05698">
        <w:rPr>
          <w:spacing w:val="-2"/>
        </w:rPr>
        <w:t>il fau</w:t>
      </w:r>
      <w:r w:rsidR="00CA6EF3" w:rsidRPr="00A05698">
        <w:rPr>
          <w:spacing w:val="-2"/>
        </w:rPr>
        <w:t>dra</w:t>
      </w:r>
      <w:r w:rsidRPr="00A05698">
        <w:rPr>
          <w:spacing w:val="-2"/>
        </w:rPr>
        <w:t xml:space="preserve"> adopter pour assurer une meilleure qualité de l</w:t>
      </w:r>
      <w:r w:rsidR="00A05714" w:rsidRPr="00A05698">
        <w:rPr>
          <w:spacing w:val="-2"/>
        </w:rPr>
        <w:t>’</w:t>
      </w:r>
      <w:r w:rsidRPr="00A05698">
        <w:rPr>
          <w:spacing w:val="-2"/>
        </w:rPr>
        <w:t xml:space="preserve">environnement et de la santé humaine. </w:t>
      </w:r>
    </w:p>
    <w:p w:rsidR="00616DEA" w:rsidRPr="00A05698" w:rsidRDefault="00616DEA" w:rsidP="00A108A6"/>
    <w:p w:rsidR="00561643" w:rsidRDefault="00561643" w:rsidP="00A108A6"/>
    <w:p w:rsidR="00126534" w:rsidRDefault="00126534" w:rsidP="00A108A6"/>
    <w:p w:rsidR="00345951" w:rsidRDefault="00345951" w:rsidP="00A108A6"/>
    <w:p w:rsidR="00345951" w:rsidRDefault="00345951" w:rsidP="00A108A6"/>
    <w:p w:rsidR="00345951" w:rsidRDefault="00345951" w:rsidP="00A108A6"/>
    <w:p w:rsidR="00345951" w:rsidRDefault="00345951" w:rsidP="00A108A6"/>
    <w:p w:rsidR="00345951" w:rsidRDefault="00345951" w:rsidP="00A108A6"/>
    <w:p w:rsidR="00345951" w:rsidRDefault="00345951" w:rsidP="00A108A6"/>
    <w:p w:rsidR="00345951" w:rsidRDefault="00345951" w:rsidP="00A108A6"/>
    <w:p w:rsidR="00345951" w:rsidRDefault="00345951" w:rsidP="00A108A6"/>
    <w:p w:rsidR="00345951" w:rsidRDefault="00345951" w:rsidP="00A108A6"/>
    <w:p w:rsidR="00126534" w:rsidRDefault="00126534" w:rsidP="00A108A6"/>
    <w:p w:rsidR="00C36737" w:rsidRPr="00A05698" w:rsidRDefault="00C36737" w:rsidP="00A108A6"/>
    <w:p w:rsidR="00A45EEC" w:rsidRPr="00A05698" w:rsidRDefault="00A45EEC" w:rsidP="00157035">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right="-142"/>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0" w:name="_Toc512871945"/>
      <w:bookmarkStart w:id="81" w:name="_Toc4070727"/>
      <w:bookmarkStart w:id="82" w:name="_Toc53716489"/>
      <w:bookmarkStart w:id="83" w:name="_Toc73459704"/>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DESCRIPTION DU PROJET</w:t>
      </w:r>
      <w:bookmarkEnd w:id="80"/>
      <w:bookmarkEnd w:id="81"/>
      <w:bookmarkEnd w:id="82"/>
      <w:bookmarkEnd w:id="83"/>
    </w:p>
    <w:p w:rsidR="00211041" w:rsidRPr="00A05698" w:rsidRDefault="00211041" w:rsidP="004F4212">
      <w:pPr>
        <w:rPr>
          <w:b/>
          <w:bCs/>
        </w:rPr>
      </w:pPr>
      <w:bookmarkStart w:id="84" w:name="_Toc512871946"/>
      <w:bookmarkStart w:id="85" w:name="_Toc4070728"/>
    </w:p>
    <w:p w:rsidR="00E4121D" w:rsidRPr="00A05698" w:rsidRDefault="00DC40D7" w:rsidP="0084077E">
      <w:pPr>
        <w:pStyle w:val="PargrafodaLista"/>
        <w:spacing w:after="120" w:line="240" w:lineRule="auto"/>
        <w:ind w:left="1068"/>
        <w:outlineLvl w:val="1"/>
        <w:rPr>
          <w:rFonts w:ascii="Times New Roman" w:hAnsi="Times New Roman"/>
          <w:b/>
          <w:bCs/>
          <w:sz w:val="24"/>
          <w:szCs w:val="24"/>
        </w:rPr>
      </w:pPr>
      <w:bookmarkStart w:id="86" w:name="_Toc73459705"/>
      <w:bookmarkStart w:id="87" w:name="_Toc53716490"/>
      <w:r>
        <w:rPr>
          <w:rFonts w:ascii="Times New Roman" w:hAnsi="Times New Roman"/>
          <w:b/>
          <w:bCs/>
          <w:sz w:val="24"/>
          <w:szCs w:val="24"/>
        </w:rPr>
        <w:t>2</w:t>
      </w:r>
      <w:r w:rsidR="001C16FA" w:rsidRPr="00A05698">
        <w:rPr>
          <w:rFonts w:ascii="Times New Roman" w:hAnsi="Times New Roman"/>
          <w:b/>
          <w:bCs/>
          <w:sz w:val="24"/>
          <w:szCs w:val="24"/>
        </w:rPr>
        <w:t xml:space="preserve">.1 </w:t>
      </w:r>
      <w:bookmarkEnd w:id="84"/>
      <w:bookmarkEnd w:id="85"/>
      <w:r w:rsidR="001C16FA" w:rsidRPr="00A05698">
        <w:rPr>
          <w:rFonts w:ascii="Times New Roman" w:hAnsi="Times New Roman"/>
          <w:b/>
          <w:bCs/>
          <w:sz w:val="24"/>
          <w:szCs w:val="24"/>
        </w:rPr>
        <w:t>PRESENTATION DU PROJET</w:t>
      </w:r>
      <w:bookmarkEnd w:id="86"/>
      <w:r w:rsidR="001C16FA" w:rsidRPr="00A05698">
        <w:rPr>
          <w:rFonts w:ascii="Times New Roman" w:hAnsi="Times New Roman"/>
          <w:b/>
          <w:bCs/>
          <w:sz w:val="24"/>
          <w:szCs w:val="24"/>
        </w:rPr>
        <w:t xml:space="preserve"> </w:t>
      </w:r>
      <w:bookmarkEnd w:id="87"/>
    </w:p>
    <w:p w:rsidR="001A64DF" w:rsidRPr="00A05698" w:rsidRDefault="005001FF" w:rsidP="00681BD5">
      <w:pPr>
        <w:spacing w:before="120" w:after="120"/>
        <w:ind w:left="-284" w:right="-142"/>
        <w:jc w:val="both"/>
      </w:pPr>
      <w:r w:rsidRPr="00A05698">
        <w:t xml:space="preserve">Le </w:t>
      </w:r>
      <w:r w:rsidR="00661F97" w:rsidRPr="00A05698">
        <w:t>Projet d’urgence de</w:t>
      </w:r>
      <w:r w:rsidR="009016D4" w:rsidRPr="00A05698">
        <w:t xml:space="preserve"> Sécurité Alimentaire en Guinée </w:t>
      </w:r>
      <w:r w:rsidR="00E4121D" w:rsidRPr="00A05698">
        <w:t>Bissau vise</w:t>
      </w:r>
      <w:r w:rsidR="0063137D" w:rsidRPr="00A05698">
        <w:t xml:space="preserve"> principalement à atténuer l</w:t>
      </w:r>
      <w:r w:rsidR="00A05714" w:rsidRPr="00A05698">
        <w:t>’</w:t>
      </w:r>
      <w:r w:rsidR="0063137D" w:rsidRPr="00A05698">
        <w:t>impact de la pandémie de COVID-19 sur la sécurité alimentaire et nutritionnelle de la Guinée-Bissau</w:t>
      </w:r>
      <w:r w:rsidR="00A12590" w:rsidRPr="00A05698">
        <w:t xml:space="preserve">. De </w:t>
      </w:r>
      <w:r w:rsidR="0063137D" w:rsidRPr="00A05698">
        <w:t>plus</w:t>
      </w:r>
      <w:r w:rsidR="00A12590" w:rsidRPr="00A05698">
        <w:t>, il vise à</w:t>
      </w:r>
      <w:r w:rsidR="0063137D" w:rsidRPr="00A05698">
        <w:t xml:space="preserve"> minimiser les risques liés à la commercialisation des noix de cajou. De manière générale, le projet contribue donc à la réalisation des objectifs de développement durable (SDG) sur l</w:t>
      </w:r>
      <w:r w:rsidR="00A05714" w:rsidRPr="00A05698">
        <w:t>’</w:t>
      </w:r>
      <w:r w:rsidR="0063137D" w:rsidRPr="00A05698">
        <w:t>élimination de la faim, la sécurité alimentaire et l</w:t>
      </w:r>
      <w:r w:rsidR="00A05714" w:rsidRPr="00A05698">
        <w:t>’</w:t>
      </w:r>
      <w:r w:rsidR="0063137D" w:rsidRPr="00A05698">
        <w:t>amélioration de la nutrition (SDG2) et SDG1 sur l</w:t>
      </w:r>
      <w:r w:rsidR="00A05714" w:rsidRPr="00A05698">
        <w:t>’</w:t>
      </w:r>
      <w:r w:rsidR="0063137D" w:rsidRPr="00A05698">
        <w:t xml:space="preserve">élimination de la pauvreté sous toutes ses formes. </w:t>
      </w:r>
      <w:r w:rsidR="00A12590" w:rsidRPr="00A05698">
        <w:t xml:space="preserve">Tous </w:t>
      </w:r>
      <w:r w:rsidR="008E0340" w:rsidRPr="00A05698">
        <w:t>l</w:t>
      </w:r>
      <w:r w:rsidR="00A12590" w:rsidRPr="00A05698">
        <w:t xml:space="preserve">es </w:t>
      </w:r>
      <w:r w:rsidR="00D01CFF" w:rsidRPr="00A05698">
        <w:t>objectifs</w:t>
      </w:r>
      <w:r w:rsidR="00A12590" w:rsidRPr="00A05698">
        <w:t xml:space="preserve"> du</w:t>
      </w:r>
      <w:r w:rsidR="0063137D" w:rsidRPr="00A05698">
        <w:t xml:space="preserve"> </w:t>
      </w:r>
      <w:r w:rsidR="00681BD5" w:rsidRPr="00A05698">
        <w:t>projet sont</w:t>
      </w:r>
      <w:r w:rsidR="0063137D" w:rsidRPr="00A05698">
        <w:t xml:space="preserve"> conforme</w:t>
      </w:r>
      <w:r w:rsidR="00A12590" w:rsidRPr="00A05698">
        <w:t>s</w:t>
      </w:r>
      <w:r w:rsidR="0063137D" w:rsidRPr="00A05698">
        <w:t xml:space="preserve"> à l</w:t>
      </w:r>
      <w:r w:rsidR="00A05714" w:rsidRPr="00A05698">
        <w:t>’</w:t>
      </w:r>
      <w:r w:rsidR="0063137D" w:rsidRPr="00A05698">
        <w:t>objectif stratégique de la Banque mondiale visant</w:t>
      </w:r>
      <w:r w:rsidR="00A12590" w:rsidRPr="00A05698">
        <w:t xml:space="preserve"> ainsi</w:t>
      </w:r>
      <w:r w:rsidR="0063137D" w:rsidRPr="00A05698">
        <w:t xml:space="preserve"> à mettre fin à l</w:t>
      </w:r>
      <w:r w:rsidR="00A05714" w:rsidRPr="00A05698">
        <w:t>’</w:t>
      </w:r>
      <w:r w:rsidR="0063137D" w:rsidRPr="00A05698">
        <w:t>extrême pauvreté.</w:t>
      </w:r>
    </w:p>
    <w:p w:rsidR="0063137D" w:rsidRPr="00A05698" w:rsidRDefault="0063137D" w:rsidP="00681BD5">
      <w:pPr>
        <w:spacing w:before="120" w:after="120"/>
        <w:ind w:left="-284" w:right="-142"/>
        <w:jc w:val="both"/>
      </w:pPr>
      <w:r w:rsidRPr="00A05698">
        <w:t xml:space="preserve">Le projet est également en parfaite adéquation avec </w:t>
      </w:r>
      <w:r w:rsidR="006176D3" w:rsidRPr="00A05698">
        <w:t>« </w:t>
      </w:r>
      <w:r w:rsidRPr="00A05698">
        <w:t>Terra Ranka</w:t>
      </w:r>
      <w:r w:rsidR="006176D3" w:rsidRPr="00A05698">
        <w:t> »</w:t>
      </w:r>
      <w:r w:rsidRPr="00A05698">
        <w:t>, la stratégie de développement de la Guinée Bissau, qui place l</w:t>
      </w:r>
      <w:r w:rsidR="00A05714" w:rsidRPr="00A05698">
        <w:t>’</w:t>
      </w:r>
      <w:r w:rsidRPr="00A05698">
        <w:t>agriculture parmi les secteurs de croissance</w:t>
      </w:r>
      <w:r w:rsidR="008846B6" w:rsidRPr="00A05698">
        <w:t xml:space="preserve">. En effet, </w:t>
      </w:r>
      <w:r w:rsidR="00634095" w:rsidRPr="00A05698">
        <w:t>le présent projet</w:t>
      </w:r>
      <w:r w:rsidRPr="00A05698">
        <w:t xml:space="preserve"> cherch</w:t>
      </w:r>
      <w:r w:rsidR="00634095" w:rsidRPr="00A05698">
        <w:t>e</w:t>
      </w:r>
      <w:r w:rsidRPr="00A05698">
        <w:t xml:space="preserve"> à lutter contre l</w:t>
      </w:r>
      <w:r w:rsidR="00A05714" w:rsidRPr="00A05698">
        <w:t>’</w:t>
      </w:r>
      <w:r w:rsidRPr="00A05698">
        <w:t>insécurité alimentaire et à augmenter les revenus des producteurs de noix de cajou.</w:t>
      </w:r>
    </w:p>
    <w:p w:rsidR="001A11C6" w:rsidRPr="00A05698" w:rsidRDefault="0063137D" w:rsidP="00681BD5">
      <w:pPr>
        <w:spacing w:before="120" w:after="120"/>
        <w:ind w:left="-284" w:right="-142"/>
        <w:jc w:val="both"/>
      </w:pPr>
      <w:r w:rsidRPr="00A05698">
        <w:t>En outre, le projet est pleinement aligné sur le Cadre de partenariat pays (CPP) du Groupe de la Banque mondiale pour 2018-2021. Le CPP vise à soutenir deux domaines d</w:t>
      </w:r>
      <w:r w:rsidR="00A05714" w:rsidRPr="00A05698">
        <w:t>’</w:t>
      </w:r>
      <w:r w:rsidRPr="00A05698">
        <w:t xml:space="preserve">intervention : </w:t>
      </w:r>
    </w:p>
    <w:p w:rsidR="001A11C6" w:rsidRPr="00A05698" w:rsidRDefault="0063137D" w:rsidP="00157035">
      <w:pPr>
        <w:pStyle w:val="PargrafodaLista"/>
        <w:numPr>
          <w:ilvl w:val="0"/>
          <w:numId w:val="101"/>
        </w:numPr>
        <w:spacing w:before="120" w:after="120"/>
        <w:ind w:right="-142"/>
        <w:jc w:val="both"/>
        <w:rPr>
          <w:rFonts w:ascii="Times New Roman" w:hAnsi="Times New Roman"/>
          <w:sz w:val="24"/>
          <w:szCs w:val="24"/>
        </w:rPr>
      </w:pPr>
      <w:r w:rsidRPr="00A05698">
        <w:rPr>
          <w:rFonts w:ascii="Times New Roman" w:hAnsi="Times New Roman"/>
          <w:sz w:val="24"/>
          <w:szCs w:val="24"/>
        </w:rPr>
        <w:t>améliorer l</w:t>
      </w:r>
      <w:r w:rsidR="00A05714" w:rsidRPr="00A05698">
        <w:rPr>
          <w:rFonts w:ascii="Times New Roman" w:hAnsi="Times New Roman"/>
          <w:sz w:val="24"/>
          <w:szCs w:val="24"/>
        </w:rPr>
        <w:t>’</w:t>
      </w:r>
      <w:r w:rsidRPr="00A05698">
        <w:rPr>
          <w:rFonts w:ascii="Times New Roman" w:hAnsi="Times New Roman"/>
          <w:sz w:val="24"/>
          <w:szCs w:val="24"/>
        </w:rPr>
        <w:t xml:space="preserve">accès à des services de base de qualité, et </w:t>
      </w:r>
    </w:p>
    <w:p w:rsidR="001A11C6" w:rsidRPr="00A05698" w:rsidRDefault="0063137D" w:rsidP="00157035">
      <w:pPr>
        <w:pStyle w:val="PargrafodaLista"/>
        <w:numPr>
          <w:ilvl w:val="0"/>
          <w:numId w:val="101"/>
        </w:numPr>
        <w:spacing w:before="120" w:after="120"/>
        <w:ind w:right="-142"/>
        <w:jc w:val="both"/>
        <w:rPr>
          <w:rFonts w:ascii="Times New Roman" w:hAnsi="Times New Roman"/>
          <w:sz w:val="24"/>
          <w:szCs w:val="24"/>
        </w:rPr>
      </w:pPr>
      <w:r w:rsidRPr="00A05698">
        <w:rPr>
          <w:rFonts w:ascii="Times New Roman" w:hAnsi="Times New Roman"/>
          <w:sz w:val="24"/>
          <w:szCs w:val="24"/>
        </w:rPr>
        <w:t xml:space="preserve">élargir les opportunités économiques et renforcer la résilience. </w:t>
      </w:r>
    </w:p>
    <w:p w:rsidR="0063137D" w:rsidRPr="00A05698" w:rsidRDefault="0063137D" w:rsidP="00681BD5">
      <w:pPr>
        <w:spacing w:before="120" w:after="120"/>
        <w:ind w:left="-284" w:right="-142"/>
        <w:jc w:val="both"/>
      </w:pPr>
      <w:r w:rsidRPr="00A05698">
        <w:t>Cette opération tire parti de cette flexibilité pour répondre aux besoins immédiats de sécurité alimentaire des personnes en détresse, ce qui devrait avoir des effets tangibles sur la réduction de la pauvreté. En outre, l</w:t>
      </w:r>
      <w:r w:rsidR="00A05714" w:rsidRPr="00A05698">
        <w:t>’</w:t>
      </w:r>
      <w:r w:rsidRPr="00A05698">
        <w:t>opération contribue directement au deuxième pilier du cadre de réponse sociale de la Banque au COVID-19, car elle offre un soutien alimentaire aux ménages vulnérables et renforce leur résistance aux chocs.</w:t>
      </w:r>
    </w:p>
    <w:p w:rsidR="00651506" w:rsidRPr="00A05698" w:rsidRDefault="00DC40D7" w:rsidP="00431CDE">
      <w:pPr>
        <w:pStyle w:val="PargrafodaLista"/>
        <w:spacing w:after="0" w:line="240" w:lineRule="auto"/>
        <w:ind w:left="1068"/>
        <w:outlineLvl w:val="1"/>
        <w:rPr>
          <w:rFonts w:ascii="Times New Roman" w:hAnsi="Times New Roman"/>
          <w:b/>
          <w:bCs/>
          <w:sz w:val="24"/>
          <w:szCs w:val="24"/>
        </w:rPr>
      </w:pPr>
      <w:bookmarkStart w:id="88" w:name="_Toc73459706"/>
      <w:r>
        <w:rPr>
          <w:rFonts w:ascii="Times New Roman" w:hAnsi="Times New Roman"/>
          <w:b/>
          <w:bCs/>
          <w:sz w:val="24"/>
          <w:szCs w:val="24"/>
        </w:rPr>
        <w:t>2</w:t>
      </w:r>
      <w:r w:rsidR="007F54C9" w:rsidRPr="00A05698">
        <w:rPr>
          <w:rFonts w:ascii="Times New Roman" w:hAnsi="Times New Roman"/>
          <w:b/>
          <w:bCs/>
          <w:sz w:val="24"/>
          <w:szCs w:val="24"/>
        </w:rPr>
        <w:t>.2 OBJECTIF DU PROJET</w:t>
      </w:r>
      <w:r w:rsidR="00431CDE" w:rsidRPr="00A05698">
        <w:rPr>
          <w:rFonts w:ascii="Times New Roman" w:hAnsi="Times New Roman"/>
          <w:b/>
          <w:bCs/>
          <w:sz w:val="24"/>
          <w:szCs w:val="24"/>
        </w:rPr>
        <w:t xml:space="preserve"> PUSA</w:t>
      </w:r>
      <w:bookmarkEnd w:id="88"/>
    </w:p>
    <w:p w:rsidR="00431CDE" w:rsidRPr="00A05698" w:rsidRDefault="00431CDE" w:rsidP="00431CDE">
      <w:pPr>
        <w:pStyle w:val="PargrafodaLista"/>
        <w:tabs>
          <w:tab w:val="left" w:pos="547"/>
          <w:tab w:val="left" w:pos="720"/>
        </w:tabs>
        <w:spacing w:after="0" w:line="240" w:lineRule="auto"/>
        <w:ind w:left="0"/>
        <w:contextualSpacing w:val="0"/>
        <w:jc w:val="both"/>
        <w:rPr>
          <w:rFonts w:ascii="Times New Roman" w:hAnsi="Times New Roman"/>
          <w:b/>
          <w:sz w:val="24"/>
          <w:szCs w:val="24"/>
        </w:rPr>
      </w:pPr>
    </w:p>
    <w:p w:rsidR="00D8067D" w:rsidRPr="00A05698" w:rsidRDefault="00305BD7" w:rsidP="0020666F">
      <w:pPr>
        <w:pStyle w:val="PargrafodaLista"/>
        <w:tabs>
          <w:tab w:val="left" w:pos="547"/>
          <w:tab w:val="left" w:pos="720"/>
        </w:tabs>
        <w:spacing w:after="0" w:line="240" w:lineRule="auto"/>
        <w:ind w:left="-284"/>
        <w:contextualSpacing w:val="0"/>
        <w:jc w:val="both"/>
        <w:rPr>
          <w:rFonts w:ascii="Times New Roman" w:hAnsi="Times New Roman"/>
          <w:sz w:val="24"/>
          <w:szCs w:val="24"/>
        </w:rPr>
      </w:pPr>
      <w:r w:rsidRPr="00A05698">
        <w:rPr>
          <w:rFonts w:ascii="Times New Roman" w:hAnsi="Times New Roman"/>
          <w:b/>
          <w:sz w:val="24"/>
          <w:szCs w:val="24"/>
        </w:rPr>
        <w:t>Les objectifs du projet sont les suivants :</w:t>
      </w:r>
      <w:r w:rsidRPr="00A05698">
        <w:rPr>
          <w:rFonts w:ascii="Times New Roman" w:hAnsi="Times New Roman"/>
          <w:sz w:val="24"/>
          <w:szCs w:val="24"/>
        </w:rPr>
        <w:t xml:space="preserve"> </w:t>
      </w:r>
    </w:p>
    <w:p w:rsidR="00D8067D" w:rsidRPr="00A05698" w:rsidRDefault="00D8067D" w:rsidP="003C76AE">
      <w:pPr>
        <w:pStyle w:val="PargrafodaLista"/>
        <w:numPr>
          <w:ilvl w:val="0"/>
          <w:numId w:val="28"/>
        </w:numPr>
        <w:tabs>
          <w:tab w:val="left" w:pos="547"/>
          <w:tab w:val="left" w:pos="720"/>
        </w:tabs>
        <w:spacing w:before="120"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w:t>
      </w:r>
      <w:r w:rsidR="00EB42D3" w:rsidRPr="00A05698">
        <w:rPr>
          <w:rFonts w:ascii="Times New Roman" w:hAnsi="Times New Roman"/>
          <w:sz w:val="24"/>
          <w:szCs w:val="24"/>
        </w:rPr>
        <w:t>Soutenir</w:t>
      </w:r>
      <w:r w:rsidR="00305BD7" w:rsidRPr="00A05698">
        <w:rPr>
          <w:rFonts w:ascii="Times New Roman" w:hAnsi="Times New Roman"/>
          <w:sz w:val="24"/>
          <w:szCs w:val="24"/>
        </w:rPr>
        <w:t xml:space="preserve"> l</w:t>
      </w:r>
      <w:r w:rsidR="00A05714" w:rsidRPr="00A05698">
        <w:rPr>
          <w:rFonts w:ascii="Times New Roman" w:hAnsi="Times New Roman"/>
          <w:sz w:val="24"/>
          <w:szCs w:val="24"/>
        </w:rPr>
        <w:t>’</w:t>
      </w:r>
      <w:r w:rsidR="00305BD7" w:rsidRPr="00A05698">
        <w:rPr>
          <w:rFonts w:ascii="Times New Roman" w:hAnsi="Times New Roman"/>
          <w:sz w:val="24"/>
          <w:szCs w:val="24"/>
        </w:rPr>
        <w:t xml:space="preserve">augmentation de la production de cultures vivrières ; </w:t>
      </w:r>
    </w:p>
    <w:p w:rsidR="00EB42D3" w:rsidRPr="00A05698" w:rsidRDefault="00EB42D3" w:rsidP="003C76AE">
      <w:pPr>
        <w:pStyle w:val="PargrafodaLista"/>
        <w:numPr>
          <w:ilvl w:val="0"/>
          <w:numId w:val="28"/>
        </w:numPr>
        <w:tabs>
          <w:tab w:val="left" w:pos="547"/>
          <w:tab w:val="left" w:pos="720"/>
        </w:tabs>
        <w:spacing w:before="120"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Accroître</w:t>
      </w:r>
      <w:r w:rsidR="00305BD7" w:rsidRPr="00A05698">
        <w:rPr>
          <w:rFonts w:ascii="Times New Roman" w:hAnsi="Times New Roman"/>
          <w:sz w:val="24"/>
          <w:szCs w:val="24"/>
        </w:rPr>
        <w:t xml:space="preserve"> l</w:t>
      </w:r>
      <w:r w:rsidR="00A05714" w:rsidRPr="00A05698">
        <w:rPr>
          <w:rFonts w:ascii="Times New Roman" w:hAnsi="Times New Roman"/>
          <w:sz w:val="24"/>
          <w:szCs w:val="24"/>
        </w:rPr>
        <w:t>’</w:t>
      </w:r>
      <w:r w:rsidR="00305BD7" w:rsidRPr="00A05698">
        <w:rPr>
          <w:rFonts w:ascii="Times New Roman" w:hAnsi="Times New Roman"/>
          <w:sz w:val="24"/>
          <w:szCs w:val="24"/>
        </w:rPr>
        <w:t>accès des ménages en situation d</w:t>
      </w:r>
      <w:r w:rsidR="00A05714" w:rsidRPr="00A05698">
        <w:rPr>
          <w:rFonts w:ascii="Times New Roman" w:hAnsi="Times New Roman"/>
          <w:sz w:val="24"/>
          <w:szCs w:val="24"/>
        </w:rPr>
        <w:t>’</w:t>
      </w:r>
      <w:r w:rsidR="00305BD7" w:rsidRPr="00A05698">
        <w:rPr>
          <w:rFonts w:ascii="Times New Roman" w:hAnsi="Times New Roman"/>
          <w:sz w:val="24"/>
          <w:szCs w:val="24"/>
        </w:rPr>
        <w:t xml:space="preserve">insécurité alimentaire aux denrées alimentaires destinées à la consommation ; et </w:t>
      </w:r>
    </w:p>
    <w:p w:rsidR="00AD530A" w:rsidRPr="00A05698" w:rsidRDefault="00EB42D3" w:rsidP="003C76AE">
      <w:pPr>
        <w:pStyle w:val="PargrafodaLista"/>
        <w:numPr>
          <w:ilvl w:val="0"/>
          <w:numId w:val="28"/>
        </w:numPr>
        <w:tabs>
          <w:tab w:val="left" w:pos="547"/>
          <w:tab w:val="left" w:pos="720"/>
        </w:tabs>
        <w:spacing w:before="120"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Contribuer</w:t>
      </w:r>
      <w:r w:rsidR="00305BD7" w:rsidRPr="00A05698">
        <w:rPr>
          <w:rFonts w:ascii="Times New Roman" w:hAnsi="Times New Roman"/>
          <w:sz w:val="24"/>
          <w:szCs w:val="24"/>
        </w:rPr>
        <w:t xml:space="preserve"> à réduire la vulnérabilité du secteur de la noix de cajou aux risques du marché. </w:t>
      </w:r>
    </w:p>
    <w:p w:rsidR="006A0494" w:rsidRPr="00A05698" w:rsidRDefault="00DC40D7" w:rsidP="008E0340">
      <w:pPr>
        <w:pStyle w:val="PargrafodaLista"/>
        <w:spacing w:after="120" w:line="240" w:lineRule="auto"/>
        <w:ind w:left="1068"/>
        <w:outlineLvl w:val="1"/>
        <w:rPr>
          <w:rFonts w:ascii="Times New Roman" w:hAnsi="Times New Roman"/>
          <w:b/>
          <w:bCs/>
          <w:sz w:val="24"/>
          <w:szCs w:val="24"/>
        </w:rPr>
      </w:pPr>
      <w:bookmarkStart w:id="89" w:name="_Toc53716491"/>
      <w:bookmarkStart w:id="90" w:name="_Toc73459707"/>
      <w:r>
        <w:rPr>
          <w:rFonts w:ascii="Times New Roman" w:hAnsi="Times New Roman"/>
          <w:b/>
          <w:bCs/>
          <w:sz w:val="24"/>
          <w:szCs w:val="24"/>
        </w:rPr>
        <w:t>2</w:t>
      </w:r>
      <w:r w:rsidR="007F54C9" w:rsidRPr="00A05698">
        <w:rPr>
          <w:rFonts w:ascii="Times New Roman" w:hAnsi="Times New Roman"/>
          <w:b/>
          <w:bCs/>
          <w:sz w:val="24"/>
          <w:szCs w:val="24"/>
        </w:rPr>
        <w:t>.3</w:t>
      </w:r>
      <w:r w:rsidR="00692030" w:rsidRPr="00A05698">
        <w:rPr>
          <w:rFonts w:ascii="Times New Roman" w:hAnsi="Times New Roman"/>
          <w:b/>
          <w:bCs/>
          <w:sz w:val="24"/>
          <w:szCs w:val="24"/>
        </w:rPr>
        <w:t xml:space="preserve"> </w:t>
      </w:r>
      <w:r w:rsidR="00EB52C7" w:rsidRPr="00A05698">
        <w:rPr>
          <w:rFonts w:ascii="Times New Roman" w:hAnsi="Times New Roman"/>
          <w:b/>
          <w:bCs/>
          <w:sz w:val="24"/>
          <w:szCs w:val="24"/>
        </w:rPr>
        <w:t>COMPOSANTES DU PROJET</w:t>
      </w:r>
      <w:bookmarkEnd w:id="89"/>
      <w:bookmarkEnd w:id="90"/>
    </w:p>
    <w:p w:rsidR="00EB7DB0" w:rsidRPr="00A05698" w:rsidRDefault="00EB7DB0" w:rsidP="004F4212">
      <w:pPr>
        <w:pStyle w:val="PargrafodaLista"/>
        <w:tabs>
          <w:tab w:val="left" w:pos="547"/>
          <w:tab w:val="left" w:pos="720"/>
        </w:tabs>
        <w:spacing w:after="120" w:line="240" w:lineRule="auto"/>
        <w:ind w:left="0"/>
        <w:contextualSpacing w:val="0"/>
        <w:jc w:val="both"/>
        <w:rPr>
          <w:rFonts w:ascii="Times New Roman" w:hAnsi="Times New Roman"/>
          <w:sz w:val="24"/>
          <w:szCs w:val="24"/>
        </w:rPr>
      </w:pPr>
      <w:r w:rsidRPr="00A05698">
        <w:rPr>
          <w:rFonts w:ascii="Times New Roman" w:hAnsi="Times New Roman"/>
          <w:sz w:val="24"/>
          <w:szCs w:val="24"/>
        </w:rPr>
        <w:t>Le projet sera organisé autour de trois composantes principales décrites ci-dessous.</w:t>
      </w:r>
    </w:p>
    <w:p w:rsidR="00EB7DB0" w:rsidRPr="00A05698" w:rsidRDefault="00EB7DB0" w:rsidP="00157035">
      <w:pPr>
        <w:pStyle w:val="PargrafodaLista"/>
        <w:numPr>
          <w:ilvl w:val="0"/>
          <w:numId w:val="37"/>
        </w:numPr>
        <w:tabs>
          <w:tab w:val="left" w:pos="547"/>
        </w:tabs>
        <w:spacing w:before="480" w:after="360" w:line="240" w:lineRule="auto"/>
        <w:jc w:val="both"/>
        <w:outlineLvl w:val="0"/>
        <w:rPr>
          <w:rFonts w:ascii="Times New Roman" w:hAnsi="Times New Roman"/>
          <w:b/>
          <w:sz w:val="24"/>
          <w:szCs w:val="24"/>
          <w:u w:val="single"/>
        </w:rPr>
      </w:pPr>
      <w:bookmarkStart w:id="91" w:name="_Toc69918666"/>
      <w:bookmarkStart w:id="92" w:name="_Toc73452862"/>
      <w:bookmarkStart w:id="93" w:name="_Toc73459708"/>
      <w:r w:rsidRPr="00A05698">
        <w:rPr>
          <w:rFonts w:ascii="Times New Roman" w:hAnsi="Times New Roman"/>
          <w:b/>
          <w:sz w:val="24"/>
          <w:szCs w:val="24"/>
          <w:u w:val="single"/>
        </w:rPr>
        <w:t>Composante 1 : Soutien à la production agricole (10 millions de dollars US)</w:t>
      </w:r>
      <w:bookmarkEnd w:id="91"/>
      <w:bookmarkEnd w:id="92"/>
      <w:bookmarkEnd w:id="93"/>
    </w:p>
    <w:p w:rsidR="00B64130" w:rsidRPr="00A05698" w:rsidRDefault="00EB7DB0" w:rsidP="0020666F">
      <w:pPr>
        <w:spacing w:before="120" w:after="120"/>
        <w:ind w:left="-284" w:right="-142"/>
        <w:jc w:val="both"/>
      </w:pPr>
      <w:r w:rsidRPr="00A05698">
        <w:t>L</w:t>
      </w:r>
      <w:r w:rsidR="00A05714" w:rsidRPr="00A05698">
        <w:t>’</w:t>
      </w:r>
      <w:r w:rsidRPr="00A05698">
        <w:t>objectif de cette composante est de soutenir une réponse accélérée de l</w:t>
      </w:r>
      <w:r w:rsidR="00A05714" w:rsidRPr="00A05698">
        <w:t>’</w:t>
      </w:r>
      <w:r w:rsidRPr="00A05698">
        <w:t>offre axée sur la préservation/restauration de la capacité de production des agriculteurs éligibles, afin de leur permettre de s</w:t>
      </w:r>
      <w:r w:rsidR="00A05714" w:rsidRPr="00A05698">
        <w:t>’</w:t>
      </w:r>
      <w:r w:rsidRPr="00A05698">
        <w:t xml:space="preserve">engager efficacement dans la production continue et élargie de denrées alimentaires de base essentielles à court - ou moyen - terme (6-24 mois).  </w:t>
      </w:r>
    </w:p>
    <w:p w:rsidR="00B64130" w:rsidRPr="00A05698" w:rsidRDefault="00EB7DB0" w:rsidP="004F4212">
      <w:pPr>
        <w:pStyle w:val="PargrafodaLista"/>
        <w:tabs>
          <w:tab w:val="left" w:pos="547"/>
          <w:tab w:val="left" w:pos="720"/>
        </w:tabs>
        <w:spacing w:after="120" w:line="240" w:lineRule="auto"/>
        <w:ind w:left="0"/>
        <w:contextualSpacing w:val="0"/>
        <w:jc w:val="both"/>
        <w:rPr>
          <w:rFonts w:ascii="Times New Roman" w:hAnsi="Times New Roman"/>
          <w:b/>
          <w:sz w:val="24"/>
          <w:szCs w:val="24"/>
          <w:u w:val="single"/>
        </w:rPr>
      </w:pPr>
      <w:r w:rsidRPr="00A05698">
        <w:rPr>
          <w:rFonts w:ascii="Times New Roman" w:hAnsi="Times New Roman"/>
          <w:b/>
          <w:sz w:val="24"/>
          <w:szCs w:val="24"/>
          <w:u w:val="single"/>
        </w:rPr>
        <w:t xml:space="preserve">Le projet </w:t>
      </w:r>
      <w:r w:rsidR="002712BB" w:rsidRPr="00A05698">
        <w:rPr>
          <w:rFonts w:ascii="Times New Roman" w:hAnsi="Times New Roman"/>
          <w:b/>
          <w:sz w:val="24"/>
          <w:szCs w:val="24"/>
          <w:u w:val="single"/>
        </w:rPr>
        <w:t>financ</w:t>
      </w:r>
      <w:r w:rsidR="002712BB">
        <w:rPr>
          <w:rFonts w:ascii="Times New Roman" w:hAnsi="Times New Roman"/>
          <w:b/>
          <w:sz w:val="24"/>
          <w:szCs w:val="24"/>
          <w:u w:val="single"/>
        </w:rPr>
        <w:t>era</w:t>
      </w:r>
      <w:r w:rsidR="002712BB" w:rsidRPr="00A05698">
        <w:rPr>
          <w:rFonts w:ascii="Times New Roman" w:hAnsi="Times New Roman"/>
          <w:b/>
          <w:sz w:val="24"/>
          <w:szCs w:val="24"/>
          <w:u w:val="single"/>
        </w:rPr>
        <w:t xml:space="preserve"> :</w:t>
      </w:r>
      <w:r w:rsidRPr="00A05698">
        <w:rPr>
          <w:rFonts w:ascii="Times New Roman" w:hAnsi="Times New Roman"/>
          <w:b/>
          <w:sz w:val="24"/>
          <w:szCs w:val="24"/>
          <w:u w:val="single"/>
        </w:rPr>
        <w:t xml:space="preserve"> </w:t>
      </w:r>
    </w:p>
    <w:p w:rsidR="00B64130" w:rsidRPr="00A05698" w:rsidRDefault="00EB7DB0" w:rsidP="003C76AE">
      <w:pPr>
        <w:pStyle w:val="PargrafodaLista"/>
        <w:numPr>
          <w:ilvl w:val="0"/>
          <w:numId w:val="27"/>
        </w:numPr>
        <w:tabs>
          <w:tab w:val="left" w:pos="547"/>
          <w:tab w:val="left" w:pos="720"/>
        </w:tabs>
        <w:spacing w:after="120" w:line="240" w:lineRule="auto"/>
        <w:contextualSpacing w:val="0"/>
        <w:jc w:val="both"/>
        <w:rPr>
          <w:rFonts w:ascii="Times New Roman" w:hAnsi="Times New Roman"/>
          <w:sz w:val="24"/>
          <w:szCs w:val="24"/>
        </w:rPr>
      </w:pPr>
      <w:r w:rsidRPr="00A05698">
        <w:rPr>
          <w:rFonts w:ascii="Times New Roman" w:hAnsi="Times New Roman"/>
          <w:sz w:val="24"/>
          <w:szCs w:val="24"/>
        </w:rPr>
        <w:t>l</w:t>
      </w:r>
      <w:r w:rsidR="00A05714" w:rsidRPr="00A05698">
        <w:rPr>
          <w:rFonts w:ascii="Times New Roman" w:hAnsi="Times New Roman"/>
          <w:sz w:val="24"/>
          <w:szCs w:val="24"/>
        </w:rPr>
        <w:t>’</w:t>
      </w:r>
      <w:r w:rsidRPr="00A05698">
        <w:rPr>
          <w:rFonts w:ascii="Times New Roman" w:hAnsi="Times New Roman"/>
          <w:sz w:val="24"/>
          <w:szCs w:val="24"/>
        </w:rPr>
        <w:t>achat et la distribution de semences et de matériel de plantation améliorés, en mettant l</w:t>
      </w:r>
      <w:r w:rsidR="00A05714" w:rsidRPr="00A05698">
        <w:rPr>
          <w:rFonts w:ascii="Times New Roman" w:hAnsi="Times New Roman"/>
          <w:sz w:val="24"/>
          <w:szCs w:val="24"/>
        </w:rPr>
        <w:t>’</w:t>
      </w:r>
      <w:r w:rsidRPr="00A05698">
        <w:rPr>
          <w:rFonts w:ascii="Times New Roman" w:hAnsi="Times New Roman"/>
          <w:sz w:val="24"/>
          <w:szCs w:val="24"/>
        </w:rPr>
        <w:t xml:space="preserve">accent sur les cultures et les légumes essentiels à la sécurité alimentaire ; </w:t>
      </w:r>
    </w:p>
    <w:p w:rsidR="00B64130" w:rsidRPr="00A05698" w:rsidRDefault="006A0494" w:rsidP="003C76AE">
      <w:pPr>
        <w:pStyle w:val="PargrafodaLista"/>
        <w:numPr>
          <w:ilvl w:val="0"/>
          <w:numId w:val="27"/>
        </w:numPr>
        <w:tabs>
          <w:tab w:val="left" w:pos="547"/>
          <w:tab w:val="left" w:pos="720"/>
        </w:tabs>
        <w:spacing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w:t>
      </w:r>
      <w:r w:rsidR="00EB7DB0" w:rsidRPr="00A05698">
        <w:rPr>
          <w:rFonts w:ascii="Times New Roman" w:hAnsi="Times New Roman"/>
          <w:sz w:val="24"/>
          <w:szCs w:val="24"/>
        </w:rPr>
        <w:t>l</w:t>
      </w:r>
      <w:r w:rsidR="00A05714" w:rsidRPr="00A05698">
        <w:rPr>
          <w:rFonts w:ascii="Times New Roman" w:hAnsi="Times New Roman"/>
          <w:sz w:val="24"/>
          <w:szCs w:val="24"/>
        </w:rPr>
        <w:t>’</w:t>
      </w:r>
      <w:r w:rsidR="00EB7DB0" w:rsidRPr="00A05698">
        <w:rPr>
          <w:rFonts w:ascii="Times New Roman" w:hAnsi="Times New Roman"/>
          <w:sz w:val="24"/>
          <w:szCs w:val="24"/>
        </w:rPr>
        <w:t>accès au matériel et à la main-d</w:t>
      </w:r>
      <w:r w:rsidR="00A05714" w:rsidRPr="00A05698">
        <w:rPr>
          <w:rFonts w:ascii="Times New Roman" w:hAnsi="Times New Roman"/>
          <w:sz w:val="24"/>
          <w:szCs w:val="24"/>
        </w:rPr>
        <w:t>’</w:t>
      </w:r>
      <w:r w:rsidR="00EB7DB0" w:rsidRPr="00A05698">
        <w:rPr>
          <w:rFonts w:ascii="Times New Roman" w:hAnsi="Times New Roman"/>
          <w:sz w:val="24"/>
          <w:szCs w:val="24"/>
        </w:rPr>
        <w:t xml:space="preserve">œuvre agricoles nécessaires ; et </w:t>
      </w:r>
    </w:p>
    <w:p w:rsidR="00E34814" w:rsidRPr="00A05698" w:rsidRDefault="006A0494" w:rsidP="003C76AE">
      <w:pPr>
        <w:pStyle w:val="PargrafodaLista"/>
        <w:numPr>
          <w:ilvl w:val="0"/>
          <w:numId w:val="27"/>
        </w:numPr>
        <w:tabs>
          <w:tab w:val="left" w:pos="547"/>
          <w:tab w:val="left" w:pos="720"/>
        </w:tabs>
        <w:spacing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w:t>
      </w:r>
      <w:r w:rsidR="00EB7DB0" w:rsidRPr="00A05698">
        <w:rPr>
          <w:rFonts w:ascii="Times New Roman" w:hAnsi="Times New Roman"/>
          <w:sz w:val="24"/>
          <w:szCs w:val="24"/>
        </w:rPr>
        <w:t>la fourniture des services de conseil requis pour soutenir l</w:t>
      </w:r>
      <w:r w:rsidR="00A05714" w:rsidRPr="00A05698">
        <w:rPr>
          <w:rFonts w:ascii="Times New Roman" w:hAnsi="Times New Roman"/>
          <w:sz w:val="24"/>
          <w:szCs w:val="24"/>
        </w:rPr>
        <w:t>’</w:t>
      </w:r>
      <w:r w:rsidR="00EB7DB0" w:rsidRPr="00A05698">
        <w:rPr>
          <w:rFonts w:ascii="Times New Roman" w:hAnsi="Times New Roman"/>
          <w:sz w:val="24"/>
          <w:szCs w:val="24"/>
        </w:rPr>
        <w:t xml:space="preserve">amélioration de la production, de la productivité et de la résilience des systèmes de production au changement climatique. </w:t>
      </w:r>
    </w:p>
    <w:p w:rsidR="003B1852" w:rsidRPr="00A05698" w:rsidRDefault="00EB7DB0" w:rsidP="003A3546">
      <w:pPr>
        <w:spacing w:before="120" w:after="120"/>
        <w:ind w:left="-284" w:right="-142"/>
        <w:jc w:val="both"/>
      </w:pPr>
      <w:r w:rsidRPr="00A05698">
        <w:t>Une attention particulière sera accordée aux cultures maraîchères, une activité agricole importante dans les zones urbaines et périurbaines, qui est principalement une vocation féminine. Lorsqu</w:t>
      </w:r>
      <w:r w:rsidR="00A05714" w:rsidRPr="00A05698">
        <w:t>’</w:t>
      </w:r>
      <w:r w:rsidRPr="00A05698">
        <w:t>il sera jugé essentiel pour la sécurité alimentaire des ménages, le projet soutiendra les services d</w:t>
      </w:r>
      <w:r w:rsidR="00A05714" w:rsidRPr="00A05698">
        <w:t>’</w:t>
      </w:r>
      <w:r w:rsidRPr="00A05698">
        <w:t xml:space="preserve">élevage, notamment la vaccination, le déparasitage et la gestion des maladies. </w:t>
      </w:r>
    </w:p>
    <w:p w:rsidR="00EB7DB0" w:rsidRPr="00A05698" w:rsidRDefault="00EB7DB0" w:rsidP="003A3546">
      <w:pPr>
        <w:spacing w:before="120" w:after="120"/>
        <w:ind w:left="-284" w:right="-142"/>
        <w:jc w:val="both"/>
      </w:pPr>
      <w:r w:rsidRPr="00A05698">
        <w:t>En outre, les activités soutenues au titre de cette composante investiront dans les techniques et pratiques d</w:t>
      </w:r>
      <w:r w:rsidR="00A05714" w:rsidRPr="00A05698">
        <w:t>’</w:t>
      </w:r>
      <w:r w:rsidRPr="00A05698">
        <w:t>agriculture intelligente sur le plan climatique (CSA), les semences résistantes à la sécheresse et le renforcement des capacités des agriculteurs. Pour faciliter un ciblage approprié, le projet évaluera également la vulnérabilité des différentes populations par le biais d</w:t>
      </w:r>
      <w:r w:rsidR="00A05714" w:rsidRPr="00A05698">
        <w:t>’</w:t>
      </w:r>
      <w:r w:rsidRPr="00A05698">
        <w:t>une Mission d</w:t>
      </w:r>
      <w:r w:rsidR="00A05714" w:rsidRPr="00A05698">
        <w:t>’</w:t>
      </w:r>
      <w:r w:rsidRPr="00A05698">
        <w:t>Évaluation rapide des Récoltes et de la Sécurité alimentaire.</w:t>
      </w:r>
    </w:p>
    <w:p w:rsidR="00EB7DB0" w:rsidRPr="00A05698" w:rsidRDefault="00EB7DB0" w:rsidP="003A3546">
      <w:pPr>
        <w:spacing w:before="120" w:after="120"/>
        <w:ind w:left="-284" w:right="-142"/>
        <w:jc w:val="both"/>
      </w:pPr>
      <w:r w:rsidRPr="00A05698">
        <w:t>Les activités relevant de ce volet seront mises en œuvre en partenariat avec la FAO et soutenues au cours de deux campagnes agricoles, en commençant par la campagne agricole actuelle.</w:t>
      </w:r>
    </w:p>
    <w:p w:rsidR="00EB7DB0" w:rsidRPr="00A05698" w:rsidRDefault="00EB7DB0" w:rsidP="00157035">
      <w:pPr>
        <w:pStyle w:val="PargrafodaLista"/>
        <w:numPr>
          <w:ilvl w:val="0"/>
          <w:numId w:val="38"/>
        </w:numPr>
        <w:tabs>
          <w:tab w:val="left" w:pos="547"/>
          <w:tab w:val="left" w:pos="720"/>
        </w:tabs>
        <w:spacing w:after="160" w:line="240" w:lineRule="auto"/>
        <w:contextualSpacing w:val="0"/>
        <w:jc w:val="both"/>
        <w:outlineLvl w:val="0"/>
        <w:rPr>
          <w:rFonts w:ascii="Times New Roman" w:hAnsi="Times New Roman"/>
          <w:b/>
          <w:sz w:val="24"/>
          <w:szCs w:val="24"/>
          <w:u w:val="single"/>
        </w:rPr>
      </w:pPr>
      <w:bookmarkStart w:id="94" w:name="_Toc69918667"/>
      <w:bookmarkStart w:id="95" w:name="_Toc73452863"/>
      <w:bookmarkStart w:id="96" w:name="_Toc73459709"/>
      <w:r w:rsidRPr="00A05698">
        <w:rPr>
          <w:rFonts w:ascii="Times New Roman" w:hAnsi="Times New Roman"/>
          <w:b/>
          <w:sz w:val="24"/>
          <w:szCs w:val="24"/>
          <w:u w:val="single"/>
        </w:rPr>
        <w:t>Composante 2 : Soutien aux Filets de Sécurité communautaires (2,5 millions de dollars US)</w:t>
      </w:r>
      <w:bookmarkEnd w:id="94"/>
      <w:bookmarkEnd w:id="95"/>
      <w:bookmarkEnd w:id="96"/>
    </w:p>
    <w:p w:rsidR="00EB7DB0" w:rsidRPr="00A05698" w:rsidRDefault="00EB7DB0" w:rsidP="003A3546">
      <w:pPr>
        <w:spacing w:before="120" w:after="120"/>
        <w:ind w:left="-284" w:right="-142"/>
        <w:jc w:val="both"/>
      </w:pPr>
      <w:r w:rsidRPr="00A05698">
        <w:t>Le choc pandémique Covid-19 sur le secteur de la noix de cajou devrait entraîner des pertes d</w:t>
      </w:r>
      <w:r w:rsidR="00A05714" w:rsidRPr="00A05698">
        <w:t>’</w:t>
      </w:r>
      <w:r w:rsidRPr="00A05698">
        <w:t>emplois tout au long de la chaîne de valeur.  L</w:t>
      </w:r>
      <w:r w:rsidR="00A05714" w:rsidRPr="00A05698">
        <w:t>’</w:t>
      </w:r>
      <w:r w:rsidRPr="00A05698">
        <w:t>impact de ces pertes d</w:t>
      </w:r>
      <w:r w:rsidR="00A05714" w:rsidRPr="00A05698">
        <w:t>’</w:t>
      </w:r>
      <w:r w:rsidRPr="00A05698">
        <w:t>emplois devrait être plus important pour la multitude de travailleurs non qualifiés de la chaîne de valeur, pour lesquels les salaires journaliers sont la seule source de revenus pour la sécurité alimentaire des ménages. L</w:t>
      </w:r>
      <w:r w:rsidR="00A05714" w:rsidRPr="00A05698">
        <w:t>’</w:t>
      </w:r>
      <w:r w:rsidRPr="00A05698">
        <w:t>escalade prévue des prix des denrées alimentaires (en partie due à la baisse prévue de la production intérieure et à la hausse des prix à l</w:t>
      </w:r>
      <w:r w:rsidR="00A05714" w:rsidRPr="00A05698">
        <w:t>’</w:t>
      </w:r>
      <w:r w:rsidRPr="00A05698">
        <w:t xml:space="preserve">importation), devrait amplifier le choc sur la sécurité alimentaire de leurs ménages. </w:t>
      </w:r>
    </w:p>
    <w:p w:rsidR="00EB7DB0" w:rsidRPr="00A05698" w:rsidRDefault="00EB7DB0" w:rsidP="003A3546">
      <w:pPr>
        <w:spacing w:before="120" w:after="120"/>
        <w:ind w:left="-284" w:right="-142"/>
        <w:jc w:val="both"/>
      </w:pPr>
      <w:r w:rsidRPr="00A05698">
        <w:t>Les investissements réalisés dans le cadre de cette composante visent à assurer la sécurité alimentaire des ménages pour les parties des communautés touchées par les pertes d</w:t>
      </w:r>
      <w:r w:rsidR="00A05714" w:rsidRPr="00A05698">
        <w:t>’</w:t>
      </w:r>
      <w:r w:rsidRPr="00A05698">
        <w:t>emploi, en atténuant les déficits de revenus qui sont attendus grâce à un soutien aux travaux publics. L</w:t>
      </w:r>
      <w:r w:rsidR="00A05714" w:rsidRPr="00A05698">
        <w:t>’</w:t>
      </w:r>
      <w:r w:rsidRPr="00A05698">
        <w:t>accent sera mis sur la création d</w:t>
      </w:r>
      <w:r w:rsidR="00A05714" w:rsidRPr="00A05698">
        <w:t>’</w:t>
      </w:r>
      <w:r w:rsidRPr="00A05698">
        <w:t>actifs publics qui contribueront à l</w:t>
      </w:r>
      <w:r w:rsidR="00A05714" w:rsidRPr="00A05698">
        <w:t>’</w:t>
      </w:r>
      <w:r w:rsidRPr="00A05698">
        <w:t>impact de l</w:t>
      </w:r>
      <w:r w:rsidR="00A05714" w:rsidRPr="00A05698">
        <w:t>’</w:t>
      </w:r>
      <w:r w:rsidRPr="00A05698">
        <w:t>aide fournie au titre de la Composante 1 ou l</w:t>
      </w:r>
      <w:r w:rsidR="00A05714" w:rsidRPr="00A05698">
        <w:t>’</w:t>
      </w:r>
      <w:r w:rsidRPr="00A05698">
        <w:t>amélioreront. Ces actifs pourraient inclure un soutien à la distribution d</w:t>
      </w:r>
      <w:r w:rsidR="00A05714" w:rsidRPr="00A05698">
        <w:t>’</w:t>
      </w:r>
      <w:r w:rsidRPr="00A05698">
        <w:t xml:space="preserve">intrants, la réhabilitation des </w:t>
      </w:r>
      <w:r w:rsidR="00BA5825">
        <w:t>infrastructures</w:t>
      </w:r>
      <w:r w:rsidR="00BA5825" w:rsidRPr="00A05698">
        <w:t xml:space="preserve"> </w:t>
      </w:r>
      <w:r w:rsidRPr="00A05698">
        <w:t xml:space="preserve">de stockage, </w:t>
      </w:r>
      <w:r w:rsidR="00145298">
        <w:t>la réhabilitation</w:t>
      </w:r>
      <w:r w:rsidR="00145298" w:rsidRPr="00A05698">
        <w:t xml:space="preserve"> </w:t>
      </w:r>
      <w:r w:rsidRPr="00A05698">
        <w:t>de routes d</w:t>
      </w:r>
      <w:r w:rsidR="00A05714" w:rsidRPr="00A05698">
        <w:t>’</w:t>
      </w:r>
      <w:r w:rsidRPr="00A05698">
        <w:t>accès aux zones de production agricole, la construction de marchés locaux,</w:t>
      </w:r>
      <w:r w:rsidR="007B79DF" w:rsidRPr="007B79DF">
        <w:t xml:space="preserve"> </w:t>
      </w:r>
      <w:r w:rsidR="007B79DF">
        <w:t xml:space="preserve">la réhabilitation </w:t>
      </w:r>
      <w:r w:rsidR="007B79DF" w:rsidRPr="00622418">
        <w:t>d'infrastructures publiques d'irrigation</w:t>
      </w:r>
      <w:r w:rsidR="007B79DF">
        <w:t xml:space="preserve"> et la réhabilitation </w:t>
      </w:r>
      <w:r w:rsidR="007B79DF" w:rsidRPr="00622418">
        <w:t>de rizières</w:t>
      </w:r>
      <w:r w:rsidRPr="00A05698">
        <w:t xml:space="preserve"> etc. Les salaires journaliers pour les activités </w:t>
      </w:r>
      <w:r w:rsidR="00A05714" w:rsidRPr="00A05698">
        <w:t>« </w:t>
      </w:r>
      <w:r w:rsidRPr="00A05698">
        <w:t>argent contre travail</w:t>
      </w:r>
      <w:r w:rsidR="00A05714" w:rsidRPr="00A05698">
        <w:t> »</w:t>
      </w:r>
      <w:r w:rsidRPr="00A05698">
        <w:t xml:space="preserve"> seront inférieurs à ceux de la main-d</w:t>
      </w:r>
      <w:r w:rsidR="00A05714" w:rsidRPr="00A05698">
        <w:t>’</w:t>
      </w:r>
      <w:r w:rsidRPr="00A05698">
        <w:t xml:space="preserve">œuvre non qualifiée au niveau local, ce qui constituera un mécanisme </w:t>
      </w:r>
      <w:r w:rsidR="00A05714" w:rsidRPr="00A05698">
        <w:t>« </w:t>
      </w:r>
      <w:r w:rsidRPr="00A05698">
        <w:t>intégré</w:t>
      </w:r>
      <w:r w:rsidR="00A05714" w:rsidRPr="00A05698">
        <w:t> »</w:t>
      </w:r>
      <w:r w:rsidRPr="00A05698">
        <w:t xml:space="preserve"> d</w:t>
      </w:r>
      <w:r w:rsidR="00A05714" w:rsidRPr="00A05698">
        <w:t>’</w:t>
      </w:r>
      <w:r w:rsidRPr="00A05698">
        <w:t>autosuffisance pour les transferts d</w:t>
      </w:r>
      <w:r w:rsidR="00A05714" w:rsidRPr="00A05698">
        <w:t>’</w:t>
      </w:r>
      <w:r w:rsidRPr="00A05698">
        <w:t>argent, qui garantira également que les travaux publics ne concurrenceront pas l</w:t>
      </w:r>
      <w:r w:rsidR="00A05714" w:rsidRPr="00A05698">
        <w:t>’</w:t>
      </w:r>
      <w:r w:rsidRPr="00A05698">
        <w:t>agriculture pour le travail saisonnier. La mise en œuvre de cette activité tiendra compte des activités financées dans le cadre du projet en cours sur les filets de sécurité et les services de base (P163901) pour assurer la complémentarité.</w:t>
      </w:r>
    </w:p>
    <w:p w:rsidR="00EB7DB0" w:rsidRPr="00A05698" w:rsidRDefault="00EB7DB0" w:rsidP="003A3546">
      <w:pPr>
        <w:spacing w:before="120" w:after="120"/>
        <w:ind w:left="-284" w:right="-142"/>
        <w:jc w:val="both"/>
      </w:pPr>
      <w:r w:rsidRPr="00A05698">
        <w:t>Cette composante, qui sera mise en œuvre par la FAO en partenariat avec le Ministère de l</w:t>
      </w:r>
      <w:r w:rsidR="00A05714" w:rsidRPr="00A05698">
        <w:t>’</w:t>
      </w:r>
      <w:r w:rsidRPr="00A05698">
        <w:t>Agriculture et du Développement rural (MARD), financera principalement les salaires (en espèces ou en nature), les outils et les équipements, ainsi que d</w:t>
      </w:r>
      <w:r w:rsidR="00A05714" w:rsidRPr="00A05698">
        <w:t>’</w:t>
      </w:r>
      <w:r w:rsidRPr="00A05698">
        <w:t xml:space="preserve">autres coûts non salariaux, qui seraient nécessaires pour des travaux publics spécifiques. </w:t>
      </w:r>
    </w:p>
    <w:p w:rsidR="00EB7DB0" w:rsidRPr="00A05698" w:rsidRDefault="00EB7DB0" w:rsidP="00157035">
      <w:pPr>
        <w:pStyle w:val="PargrafodaLista"/>
        <w:numPr>
          <w:ilvl w:val="0"/>
          <w:numId w:val="38"/>
        </w:numPr>
        <w:tabs>
          <w:tab w:val="left" w:pos="547"/>
          <w:tab w:val="left" w:pos="720"/>
        </w:tabs>
        <w:spacing w:after="160" w:line="240" w:lineRule="auto"/>
        <w:contextualSpacing w:val="0"/>
        <w:jc w:val="both"/>
        <w:outlineLvl w:val="0"/>
        <w:rPr>
          <w:rFonts w:ascii="Times New Roman" w:hAnsi="Times New Roman"/>
          <w:b/>
          <w:sz w:val="24"/>
          <w:szCs w:val="24"/>
          <w:u w:val="single"/>
        </w:rPr>
      </w:pPr>
      <w:bookmarkStart w:id="97" w:name="_Toc69918668"/>
      <w:bookmarkStart w:id="98" w:name="_Toc73452864"/>
      <w:bookmarkStart w:id="99" w:name="_Toc73459710"/>
      <w:r w:rsidRPr="00A05698">
        <w:rPr>
          <w:rFonts w:ascii="Times New Roman" w:hAnsi="Times New Roman"/>
          <w:b/>
          <w:sz w:val="24"/>
          <w:szCs w:val="24"/>
          <w:u w:val="single"/>
        </w:rPr>
        <w:t>Composante 3 : Soutien à l</w:t>
      </w:r>
      <w:r w:rsidR="00A05714" w:rsidRPr="00A05698">
        <w:rPr>
          <w:rFonts w:ascii="Times New Roman" w:hAnsi="Times New Roman"/>
          <w:b/>
          <w:sz w:val="24"/>
          <w:szCs w:val="24"/>
          <w:u w:val="single"/>
        </w:rPr>
        <w:t>’</w:t>
      </w:r>
      <w:r w:rsidRPr="00A05698">
        <w:rPr>
          <w:rFonts w:ascii="Times New Roman" w:hAnsi="Times New Roman"/>
          <w:b/>
          <w:sz w:val="24"/>
          <w:szCs w:val="24"/>
          <w:u w:val="single"/>
        </w:rPr>
        <w:t>atténuation des risques (1,5 million de dollars)</w:t>
      </w:r>
      <w:bookmarkEnd w:id="97"/>
      <w:bookmarkEnd w:id="98"/>
      <w:bookmarkEnd w:id="99"/>
    </w:p>
    <w:p w:rsidR="00EB7DB0" w:rsidRPr="00A05698" w:rsidRDefault="00EB7DB0" w:rsidP="003A3546">
      <w:pPr>
        <w:spacing w:before="120" w:after="120"/>
        <w:ind w:left="-284" w:right="-142"/>
        <w:jc w:val="both"/>
      </w:pPr>
      <w:r w:rsidRPr="00A05698">
        <w:t>La pandémie d</w:t>
      </w:r>
      <w:r w:rsidR="008C2771" w:rsidRPr="00A05698">
        <w:t xml:space="preserve">e </w:t>
      </w:r>
      <w:r w:rsidR="00971169" w:rsidRPr="00A05698">
        <w:t>la Covid</w:t>
      </w:r>
      <w:r w:rsidRPr="00A05698">
        <w:t>-19 a mis en évidence la grande vulnérabilité de l</w:t>
      </w:r>
      <w:r w:rsidR="00A05714" w:rsidRPr="00A05698">
        <w:t>’</w:t>
      </w:r>
      <w:r w:rsidRPr="00A05698">
        <w:t>économie bissau-guinéenne aux chocs, due à sa forte dépendance à une quasi monoculture. Bien que la diversification soit la panacée ultime à cette vulnérabilité, un certain nombre de me</w:t>
      </w:r>
      <w:r w:rsidR="00037A04" w:rsidRPr="00A05698">
        <w:t xml:space="preserve">sures de gestion des risques </w:t>
      </w:r>
      <w:r w:rsidR="008C2771" w:rsidRPr="00A05698">
        <w:t>exacte</w:t>
      </w:r>
      <w:r w:rsidRPr="00A05698">
        <w:t xml:space="preserve"> (par exemple, contrats à terme, assurance, couverture, amélioration du stockage, etc.) ainsi que des instruments de gestion des risques ex post (par exemple, financement des risques éventuels) peuvent réduire les vulnérabilités spécifiques du secteur de la noix de cajou aux risques du marché. La proposition consiste à explorer la faisabilité, puis à piloter la mise en œuvre de mesures de gestion des risques de marché appropriées au niveau local pour le secteur de la noix de cajou. Ces mesures permettraient de renforcer la résilience du secteur aux risques du marché auxquels il est de plus en plus exposé (par exemple, une chute des prix en 2018, les perturbations actuelles des chaînes d</w:t>
      </w:r>
      <w:r w:rsidR="00A05714" w:rsidRPr="00A05698">
        <w:t>’</w:t>
      </w:r>
      <w:r w:rsidRPr="00A05698">
        <w:t>approvisionnement mondiales) et jetteraient les bases d</w:t>
      </w:r>
      <w:r w:rsidR="00A05714" w:rsidRPr="00A05698">
        <w:t>’</w:t>
      </w:r>
      <w:r w:rsidRPr="00A05698">
        <w:t xml:space="preserve">une reprise durable. </w:t>
      </w:r>
    </w:p>
    <w:p w:rsidR="00EB7DB0" w:rsidRPr="00A05698" w:rsidRDefault="00EB7DB0" w:rsidP="003A3546">
      <w:pPr>
        <w:spacing w:before="120" w:after="120"/>
        <w:ind w:left="-284" w:right="-142"/>
        <w:jc w:val="both"/>
      </w:pPr>
      <w:r w:rsidRPr="00A05698">
        <w:t>Un projet financé par la Banque et récemment clôturé a soutenu la construction de structures de stockage des noix de cajou</w:t>
      </w:r>
      <w:r w:rsidR="000813B8" w:rsidRPr="00A05698">
        <w:t>. Ce projet</w:t>
      </w:r>
      <w:r w:rsidRPr="00A05698">
        <w:t xml:space="preserve"> a également évalué les besoins en ce qui concerne l</w:t>
      </w:r>
      <w:r w:rsidR="00A05714" w:rsidRPr="00A05698">
        <w:t>’</w:t>
      </w:r>
      <w:r w:rsidRPr="00A05698">
        <w:t>introduction d</w:t>
      </w:r>
      <w:r w:rsidR="00A05714" w:rsidRPr="00A05698">
        <w:t>’</w:t>
      </w:r>
      <w:r w:rsidRPr="00A05698">
        <w:t>un système de récépissés d</w:t>
      </w:r>
      <w:r w:rsidR="00A05714" w:rsidRPr="00A05698">
        <w:t>’</w:t>
      </w:r>
      <w:r w:rsidRPr="00A05698">
        <w:t>entrepôt négociables. Il est proposé de s</w:t>
      </w:r>
      <w:r w:rsidR="00A05714" w:rsidRPr="00A05698">
        <w:t>’</w:t>
      </w:r>
      <w:r w:rsidRPr="00A05698">
        <w:t>appuyer sur ces progrès lors de la mise en œuvre du projet. Dans ce contexte, le projet financerait l</w:t>
      </w:r>
      <w:r w:rsidR="00A05714" w:rsidRPr="00A05698">
        <w:t>’</w:t>
      </w:r>
      <w:r w:rsidRPr="00A05698">
        <w:t xml:space="preserve">assistance technique (AT), ainsi que les coûts liés au pilotage de la mesure de gestion des risques identifiée. </w:t>
      </w:r>
    </w:p>
    <w:p w:rsidR="00EB7DB0" w:rsidRPr="00A05698" w:rsidRDefault="00EB7DB0" w:rsidP="00157035">
      <w:pPr>
        <w:pStyle w:val="PargrafodaLista"/>
        <w:numPr>
          <w:ilvl w:val="0"/>
          <w:numId w:val="39"/>
        </w:numPr>
        <w:tabs>
          <w:tab w:val="left" w:pos="547"/>
          <w:tab w:val="left" w:pos="720"/>
        </w:tabs>
        <w:spacing w:after="120" w:line="240" w:lineRule="auto"/>
        <w:contextualSpacing w:val="0"/>
        <w:jc w:val="both"/>
        <w:rPr>
          <w:rFonts w:ascii="Times New Roman" w:hAnsi="Times New Roman"/>
          <w:b/>
          <w:sz w:val="24"/>
          <w:szCs w:val="24"/>
          <w:u w:val="single"/>
        </w:rPr>
      </w:pPr>
      <w:r w:rsidRPr="00A05698">
        <w:rPr>
          <w:rFonts w:ascii="Times New Roman" w:hAnsi="Times New Roman"/>
          <w:b/>
          <w:sz w:val="24"/>
          <w:szCs w:val="24"/>
          <w:u w:val="single"/>
        </w:rPr>
        <w:t>Composante 4 : Gestion du projet (1,0 million de dollars US).</w:t>
      </w:r>
    </w:p>
    <w:p w:rsidR="00EB7DB0" w:rsidRPr="00A05698" w:rsidRDefault="00EB7DB0" w:rsidP="006E1A82">
      <w:pPr>
        <w:spacing w:before="120" w:after="120"/>
        <w:ind w:left="-284" w:right="-142"/>
        <w:jc w:val="both"/>
      </w:pPr>
      <w:r w:rsidRPr="00A05698">
        <w:t>L</w:t>
      </w:r>
      <w:r w:rsidR="00A05714" w:rsidRPr="00A05698">
        <w:t>’</w:t>
      </w:r>
      <w:r w:rsidRPr="00A05698">
        <w:t>objectif de cette composante est de faciliter la mise en œuvre effective des activités du projet et le suivi des résultats. Cette composante financera les activités liées à la coordination et à la gestion du projet, y compris l</w:t>
      </w:r>
      <w:r w:rsidR="00A05714" w:rsidRPr="00A05698">
        <w:t>’</w:t>
      </w:r>
      <w:r w:rsidRPr="00A05698">
        <w:t xml:space="preserve">élaboration de plans de travail et de budgets annuels, la gestion financière (GF) et la passation de marchés, </w:t>
      </w:r>
      <w:r w:rsidR="0079471A">
        <w:t xml:space="preserve">le respect de mesures sauvegardes, </w:t>
      </w:r>
      <w:r w:rsidRPr="00A05698">
        <w:t>le suivi et l</w:t>
      </w:r>
      <w:r w:rsidR="00A05714" w:rsidRPr="00A05698">
        <w:t>’</w:t>
      </w:r>
      <w:r w:rsidRPr="00A05698">
        <w:t>évaluation (S&amp;E), l</w:t>
      </w:r>
      <w:r w:rsidR="00A05714" w:rsidRPr="00A05698">
        <w:t>’</w:t>
      </w:r>
      <w:r w:rsidRPr="00A05698">
        <w:t>engagement des citoyens ainsi qu</w:t>
      </w:r>
      <w:r w:rsidR="00A05714" w:rsidRPr="00A05698">
        <w:t>’</w:t>
      </w:r>
      <w:r w:rsidRPr="00A05698">
        <w:t xml:space="preserve">un mécanisme de règlement des plaintes (MRP).   </w:t>
      </w:r>
    </w:p>
    <w:p w:rsidR="00EB7DB0" w:rsidRPr="00A05698" w:rsidRDefault="00EB7DB0" w:rsidP="00157035">
      <w:pPr>
        <w:pStyle w:val="Default"/>
        <w:numPr>
          <w:ilvl w:val="0"/>
          <w:numId w:val="40"/>
        </w:numPr>
        <w:tabs>
          <w:tab w:val="left" w:pos="547"/>
          <w:tab w:val="left" w:pos="720"/>
        </w:tabs>
        <w:autoSpaceDE/>
        <w:autoSpaceDN/>
        <w:adjustRightInd/>
        <w:spacing w:before="120" w:after="120"/>
        <w:jc w:val="both"/>
        <w:rPr>
          <w:rFonts w:ascii="Times New Roman" w:hAnsi="Times New Roman" w:cs="Times New Roman"/>
          <w:b/>
          <w:color w:val="172D5F"/>
          <w:u w:val="single"/>
        </w:rPr>
      </w:pPr>
      <w:r w:rsidRPr="00A05698">
        <w:rPr>
          <w:rFonts w:ascii="Times New Roman" w:hAnsi="Times New Roman" w:cs="Times New Roman"/>
          <w:b/>
          <w:noProof/>
          <w:u w:val="single"/>
        </w:rPr>
        <w:t>Composante 5 : Intervention d</w:t>
      </w:r>
      <w:r w:rsidR="00A05714" w:rsidRPr="00A05698">
        <w:rPr>
          <w:rFonts w:ascii="Times New Roman" w:hAnsi="Times New Roman" w:cs="Times New Roman"/>
          <w:b/>
          <w:noProof/>
          <w:u w:val="single"/>
        </w:rPr>
        <w:t>’</w:t>
      </w:r>
      <w:r w:rsidRPr="00A05698">
        <w:rPr>
          <w:rFonts w:ascii="Times New Roman" w:hAnsi="Times New Roman" w:cs="Times New Roman"/>
          <w:b/>
          <w:noProof/>
          <w:u w:val="single"/>
        </w:rPr>
        <w:t>urgence contingente (0 million de dollars US)</w:t>
      </w:r>
    </w:p>
    <w:p w:rsidR="006E1A82" w:rsidRPr="00A05698" w:rsidRDefault="00EB7DB0" w:rsidP="00AD407E">
      <w:pPr>
        <w:spacing w:before="120" w:after="120"/>
        <w:ind w:left="-284" w:right="-142"/>
        <w:jc w:val="both"/>
      </w:pPr>
      <w:r w:rsidRPr="00A05698">
        <w:t>Cette composante d</w:t>
      </w:r>
      <w:r w:rsidR="00A05714" w:rsidRPr="00A05698">
        <w:t>’</w:t>
      </w:r>
      <w:r w:rsidRPr="00A05698">
        <w:t>intervention d</w:t>
      </w:r>
      <w:r w:rsidR="00A05714" w:rsidRPr="00A05698">
        <w:t>’</w:t>
      </w:r>
      <w:r w:rsidRPr="00A05698">
        <w:t>urgence contingente à coût zéro (CERC) financera les dépenses admissibles en cas de crises naturelles ou d</w:t>
      </w:r>
      <w:r w:rsidR="00A05714" w:rsidRPr="00A05698">
        <w:t>’</w:t>
      </w:r>
      <w:r w:rsidRPr="00A05698">
        <w:t>origine humaine, de catastrophes, de chocs économiques graves ou d</w:t>
      </w:r>
      <w:r w:rsidR="00A05714" w:rsidRPr="00A05698">
        <w:t>’</w:t>
      </w:r>
      <w:r w:rsidRPr="00A05698">
        <w:t>autres crises et situations d</w:t>
      </w:r>
      <w:r w:rsidR="00A05714" w:rsidRPr="00A05698">
        <w:t>’</w:t>
      </w:r>
      <w:r w:rsidRPr="00A05698">
        <w:t>urgence en Guinée-Bissau. La mise en œuvre de cette composante suivra un plan de mise en œuvre de la réponse d</w:t>
      </w:r>
      <w:r w:rsidR="00A05714" w:rsidRPr="00A05698">
        <w:t>’</w:t>
      </w:r>
      <w:r w:rsidRPr="00A05698">
        <w:t>urgence contingente (CERIP) détaillée et satisfaisante pour la Banque mondiale qui sera préparée pour chaque crise él</w:t>
      </w:r>
      <w:r w:rsidR="00276859" w:rsidRPr="00A05698">
        <w:t>igible</w:t>
      </w:r>
      <w:r w:rsidR="006A0494" w:rsidRPr="00A05698">
        <w:t>.</w:t>
      </w:r>
    </w:p>
    <w:p w:rsidR="004C3B98" w:rsidRPr="00A05698" w:rsidRDefault="00DC40D7" w:rsidP="00AD407E">
      <w:pPr>
        <w:pStyle w:val="PargrafodaLista"/>
        <w:spacing w:after="120" w:line="240" w:lineRule="auto"/>
        <w:ind w:left="1068"/>
        <w:outlineLvl w:val="1"/>
        <w:rPr>
          <w:rFonts w:ascii="Times New Roman" w:hAnsi="Times New Roman"/>
          <w:b/>
          <w:bCs/>
          <w:sz w:val="24"/>
          <w:szCs w:val="24"/>
        </w:rPr>
      </w:pPr>
      <w:bookmarkStart w:id="100" w:name="_Toc73459711"/>
      <w:r>
        <w:rPr>
          <w:rFonts w:ascii="Times New Roman" w:hAnsi="Times New Roman"/>
          <w:b/>
          <w:bCs/>
          <w:sz w:val="24"/>
          <w:szCs w:val="24"/>
        </w:rPr>
        <w:t>2</w:t>
      </w:r>
      <w:r w:rsidR="00AD407E" w:rsidRPr="00A05698">
        <w:rPr>
          <w:rFonts w:ascii="Times New Roman" w:hAnsi="Times New Roman"/>
          <w:b/>
          <w:bCs/>
          <w:sz w:val="24"/>
          <w:szCs w:val="24"/>
        </w:rPr>
        <w:t xml:space="preserve">.4 </w:t>
      </w:r>
      <w:r w:rsidR="009A4D85" w:rsidRPr="00A05698">
        <w:rPr>
          <w:rFonts w:ascii="Times New Roman" w:hAnsi="Times New Roman"/>
          <w:b/>
          <w:bCs/>
          <w:sz w:val="24"/>
          <w:szCs w:val="24"/>
        </w:rPr>
        <w:t>ZONES D’INTERVENTION DU PROJET PUSA</w:t>
      </w:r>
      <w:bookmarkEnd w:id="100"/>
    </w:p>
    <w:p w:rsidR="00E943F9" w:rsidRPr="00A05698" w:rsidRDefault="00A56BFF" w:rsidP="00246DB5">
      <w:pPr>
        <w:spacing w:before="120" w:after="120"/>
        <w:ind w:left="-284" w:right="-142"/>
        <w:jc w:val="both"/>
      </w:pPr>
      <w:r w:rsidRPr="00A05698">
        <w:t>Le Projet de Sécurité Alimentaire d</w:t>
      </w:r>
      <w:r w:rsidR="00A05714" w:rsidRPr="00A05698">
        <w:t>’</w:t>
      </w:r>
      <w:r w:rsidRPr="00A05698">
        <w:t>Urgence en Guinée Bissau</w:t>
      </w:r>
      <w:r w:rsidR="00E943F9" w:rsidRPr="00A05698">
        <w:t xml:space="preserve"> interviendra dans</w:t>
      </w:r>
      <w:r w:rsidR="00762684" w:rsidRPr="00A05698">
        <w:t xml:space="preserve"> </w:t>
      </w:r>
      <w:r w:rsidR="00F87FCA" w:rsidRPr="00A05698">
        <w:t>l’étendu du pays s</w:t>
      </w:r>
      <w:r w:rsidR="007510B1" w:rsidRPr="00A05698">
        <w:t xml:space="preserve">urtout </w:t>
      </w:r>
      <w:r w:rsidR="00F87FCA" w:rsidRPr="00A05698">
        <w:t>dans les zones les plus touché</w:t>
      </w:r>
      <w:r w:rsidR="004B0B6B" w:rsidRPr="00A05698">
        <w:t>e</w:t>
      </w:r>
      <w:r w:rsidR="00F87FCA" w:rsidRPr="00A05698">
        <w:t xml:space="preserve">s </w:t>
      </w:r>
      <w:r w:rsidR="007510B1" w:rsidRPr="00A05698">
        <w:t>par les impacts négatifs de la pandémie d</w:t>
      </w:r>
      <w:r w:rsidR="000C5831" w:rsidRPr="00A05698">
        <w:t>e</w:t>
      </w:r>
      <w:r w:rsidR="007510B1" w:rsidRPr="00A05698">
        <w:t xml:space="preserve"> COVID 19</w:t>
      </w:r>
      <w:r w:rsidR="00965B2C" w:rsidRPr="00A05698">
        <w:t>.</w:t>
      </w:r>
    </w:p>
    <w:p w:rsidR="00E943F9" w:rsidRPr="00A05698" w:rsidRDefault="00E943F9" w:rsidP="00246DB5">
      <w:pPr>
        <w:spacing w:before="120" w:after="120"/>
        <w:ind w:left="-284" w:right="-142"/>
        <w:jc w:val="both"/>
      </w:pPr>
      <w:r w:rsidRPr="00A05698">
        <w:t>Pour des raisons d’effic</w:t>
      </w:r>
      <w:r w:rsidR="00104AF3" w:rsidRPr="00A05698">
        <w:t xml:space="preserve">acité et d’impact, le Projet </w:t>
      </w:r>
      <w:r w:rsidR="00CF376D" w:rsidRPr="00A05698">
        <w:t xml:space="preserve">sera mis en œuvre avec des </w:t>
      </w:r>
      <w:r w:rsidRPr="00A05698">
        <w:t>approche</w:t>
      </w:r>
      <w:r w:rsidR="00CF376D" w:rsidRPr="00A05698">
        <w:t>s</w:t>
      </w:r>
      <w:r w:rsidRPr="00A05698">
        <w:t xml:space="preserve"> </w:t>
      </w:r>
      <w:r w:rsidR="0053273C" w:rsidRPr="00A05698">
        <w:t>de concertat</w:t>
      </w:r>
      <w:r w:rsidR="00EE30C3" w:rsidRPr="00A05698">
        <w:t xml:space="preserve">ion avec </w:t>
      </w:r>
      <w:r w:rsidR="00CF376D" w:rsidRPr="00A05698">
        <w:t>les différents acteurs</w:t>
      </w:r>
      <w:r w:rsidR="00EE30C3" w:rsidRPr="00A05698">
        <w:t xml:space="preserve"> intervenant</w:t>
      </w:r>
      <w:r w:rsidR="000813B8" w:rsidRPr="00A05698">
        <w:t xml:space="preserve"> à cet effet</w:t>
      </w:r>
      <w:r w:rsidR="0052063D" w:rsidRPr="00A05698">
        <w:t xml:space="preserve"> ainsi que la</w:t>
      </w:r>
      <w:r w:rsidRPr="00A05698">
        <w:t xml:space="preserve"> concentration des interventions dans des zones géographiques réunissant : </w:t>
      </w:r>
    </w:p>
    <w:p w:rsidR="00E943F9" w:rsidRPr="00A05698" w:rsidRDefault="00E943F9" w:rsidP="004F4212">
      <w:pPr>
        <w:pStyle w:val="Lista2"/>
        <w:rPr>
          <w:rFonts w:ascii="Times New Roman" w:hAnsi="Times New Roman"/>
          <w:sz w:val="24"/>
          <w:szCs w:val="24"/>
        </w:rPr>
      </w:pPr>
      <w:r w:rsidRPr="00A05698">
        <w:rPr>
          <w:rFonts w:ascii="Times New Roman" w:hAnsi="Times New Roman"/>
          <w:sz w:val="24"/>
          <w:szCs w:val="24"/>
        </w:rPr>
        <w:t>(a)</w:t>
      </w:r>
      <w:r w:rsidR="00A05714" w:rsidRPr="00A05698">
        <w:rPr>
          <w:rFonts w:ascii="Times New Roman" w:hAnsi="Times New Roman"/>
          <w:sz w:val="24"/>
          <w:szCs w:val="24"/>
        </w:rPr>
        <w:tab/>
      </w:r>
      <w:r w:rsidRPr="00A05698">
        <w:rPr>
          <w:rFonts w:ascii="Times New Roman" w:hAnsi="Times New Roman"/>
          <w:sz w:val="24"/>
          <w:szCs w:val="24"/>
        </w:rPr>
        <w:t xml:space="preserve">un potentiel aménageable et des opportunités de </w:t>
      </w:r>
      <w:r w:rsidR="00D11976" w:rsidRPr="00A05698">
        <w:rPr>
          <w:rFonts w:ascii="Times New Roman" w:hAnsi="Times New Roman"/>
          <w:sz w:val="24"/>
          <w:szCs w:val="24"/>
        </w:rPr>
        <w:t xml:space="preserve">production et de </w:t>
      </w:r>
      <w:r w:rsidRPr="00A05698">
        <w:rPr>
          <w:rFonts w:ascii="Times New Roman" w:hAnsi="Times New Roman"/>
          <w:sz w:val="24"/>
          <w:szCs w:val="24"/>
        </w:rPr>
        <w:t xml:space="preserve">commercialisation et </w:t>
      </w:r>
      <w:r w:rsidR="00D11976" w:rsidRPr="00A05698">
        <w:rPr>
          <w:rFonts w:ascii="Times New Roman" w:hAnsi="Times New Roman"/>
          <w:sz w:val="24"/>
          <w:szCs w:val="24"/>
        </w:rPr>
        <w:t xml:space="preserve">de </w:t>
      </w:r>
      <w:r w:rsidRPr="00A05698">
        <w:rPr>
          <w:rFonts w:ascii="Times New Roman" w:hAnsi="Times New Roman"/>
          <w:sz w:val="24"/>
          <w:szCs w:val="24"/>
        </w:rPr>
        <w:t xml:space="preserve">transformation </w:t>
      </w:r>
      <w:r w:rsidR="00D11976" w:rsidRPr="00A05698">
        <w:rPr>
          <w:rFonts w:ascii="Times New Roman" w:hAnsi="Times New Roman"/>
          <w:sz w:val="24"/>
          <w:szCs w:val="24"/>
        </w:rPr>
        <w:t xml:space="preserve">des noix de cajou </w:t>
      </w:r>
      <w:r w:rsidR="00323ED5" w:rsidRPr="00A05698">
        <w:rPr>
          <w:rFonts w:ascii="Times New Roman" w:hAnsi="Times New Roman"/>
          <w:sz w:val="24"/>
          <w:szCs w:val="24"/>
        </w:rPr>
        <w:t xml:space="preserve">ou des productions vivrières </w:t>
      </w:r>
      <w:r w:rsidRPr="00A05698">
        <w:rPr>
          <w:rFonts w:ascii="Times New Roman" w:hAnsi="Times New Roman"/>
          <w:sz w:val="24"/>
          <w:szCs w:val="24"/>
        </w:rPr>
        <w:t xml:space="preserve">; </w:t>
      </w:r>
    </w:p>
    <w:p w:rsidR="00E943F9" w:rsidRPr="00A05698" w:rsidRDefault="00E943F9" w:rsidP="004F4212">
      <w:pPr>
        <w:pStyle w:val="Lista2"/>
        <w:rPr>
          <w:rFonts w:ascii="Times New Roman" w:hAnsi="Times New Roman"/>
          <w:sz w:val="24"/>
          <w:szCs w:val="24"/>
        </w:rPr>
      </w:pPr>
      <w:r w:rsidRPr="00A05698">
        <w:rPr>
          <w:rFonts w:ascii="Times New Roman" w:hAnsi="Times New Roman"/>
          <w:sz w:val="24"/>
          <w:szCs w:val="24"/>
        </w:rPr>
        <w:t>(b)</w:t>
      </w:r>
      <w:r w:rsidR="00A05714" w:rsidRPr="00A05698">
        <w:rPr>
          <w:rFonts w:ascii="Times New Roman" w:hAnsi="Times New Roman"/>
          <w:sz w:val="24"/>
          <w:szCs w:val="24"/>
        </w:rPr>
        <w:tab/>
      </w:r>
      <w:r w:rsidRPr="00A05698">
        <w:rPr>
          <w:rFonts w:ascii="Times New Roman" w:hAnsi="Times New Roman"/>
          <w:sz w:val="24"/>
          <w:szCs w:val="24"/>
        </w:rPr>
        <w:t xml:space="preserve">l’expression d’une demande et l’engagement de la collectivité locale et des </w:t>
      </w:r>
      <w:r w:rsidR="008E60E7" w:rsidRPr="00A05698">
        <w:rPr>
          <w:rFonts w:ascii="Times New Roman" w:hAnsi="Times New Roman"/>
          <w:sz w:val="24"/>
          <w:szCs w:val="24"/>
        </w:rPr>
        <w:t>agriculteurs</w:t>
      </w:r>
      <w:r w:rsidRPr="00A05698">
        <w:rPr>
          <w:rFonts w:ascii="Times New Roman" w:hAnsi="Times New Roman"/>
          <w:sz w:val="24"/>
          <w:szCs w:val="24"/>
        </w:rPr>
        <w:t xml:space="preserve"> ;  </w:t>
      </w:r>
    </w:p>
    <w:p w:rsidR="00E943F9" w:rsidRPr="00A05698" w:rsidRDefault="00E943F9" w:rsidP="004F4212">
      <w:pPr>
        <w:pStyle w:val="Lista2"/>
        <w:rPr>
          <w:rFonts w:ascii="Times New Roman" w:hAnsi="Times New Roman"/>
          <w:sz w:val="24"/>
          <w:szCs w:val="24"/>
        </w:rPr>
      </w:pPr>
      <w:r w:rsidRPr="00A05698">
        <w:rPr>
          <w:rFonts w:ascii="Times New Roman" w:hAnsi="Times New Roman"/>
          <w:sz w:val="24"/>
          <w:szCs w:val="24"/>
        </w:rPr>
        <w:t>(c)</w:t>
      </w:r>
      <w:r w:rsidR="00A05714" w:rsidRPr="00A05698">
        <w:rPr>
          <w:rFonts w:ascii="Times New Roman" w:hAnsi="Times New Roman"/>
          <w:sz w:val="24"/>
          <w:szCs w:val="24"/>
        </w:rPr>
        <w:tab/>
      </w:r>
      <w:r w:rsidRPr="00A05698">
        <w:rPr>
          <w:rFonts w:ascii="Times New Roman" w:hAnsi="Times New Roman"/>
          <w:sz w:val="24"/>
          <w:szCs w:val="24"/>
        </w:rPr>
        <w:t>une incidence importante de la pauvreté</w:t>
      </w:r>
      <w:r w:rsidR="009608B4" w:rsidRPr="00A05698">
        <w:rPr>
          <w:rFonts w:ascii="Times New Roman" w:hAnsi="Times New Roman"/>
          <w:sz w:val="24"/>
          <w:szCs w:val="24"/>
        </w:rPr>
        <w:t xml:space="preserve"> ou d’</w:t>
      </w:r>
      <w:r w:rsidR="00F30847" w:rsidRPr="00A05698">
        <w:rPr>
          <w:rFonts w:ascii="Times New Roman" w:hAnsi="Times New Roman"/>
          <w:sz w:val="24"/>
          <w:szCs w:val="24"/>
        </w:rPr>
        <w:t>insécurité</w:t>
      </w:r>
      <w:r w:rsidR="009608B4" w:rsidRPr="00A05698">
        <w:rPr>
          <w:rFonts w:ascii="Times New Roman" w:hAnsi="Times New Roman"/>
          <w:sz w:val="24"/>
          <w:szCs w:val="24"/>
        </w:rPr>
        <w:t xml:space="preserve"> alimentaire</w:t>
      </w:r>
      <w:r w:rsidR="00F30847" w:rsidRPr="00A05698">
        <w:rPr>
          <w:rFonts w:ascii="Times New Roman" w:hAnsi="Times New Roman"/>
          <w:sz w:val="24"/>
          <w:szCs w:val="24"/>
        </w:rPr>
        <w:t xml:space="preserve"> accentué par la pandémie</w:t>
      </w:r>
      <w:r w:rsidRPr="00A05698">
        <w:rPr>
          <w:rFonts w:ascii="Times New Roman" w:hAnsi="Times New Roman"/>
          <w:sz w:val="24"/>
          <w:szCs w:val="24"/>
        </w:rPr>
        <w:t xml:space="preserve">. </w:t>
      </w:r>
    </w:p>
    <w:p w:rsidR="00416FE4" w:rsidRPr="00A05698" w:rsidRDefault="00E943F9" w:rsidP="00083B97">
      <w:pPr>
        <w:spacing w:before="120" w:after="120"/>
        <w:ind w:left="-284" w:right="-142"/>
        <w:jc w:val="both"/>
        <w:rPr>
          <w:b/>
        </w:rPr>
      </w:pPr>
      <w:r w:rsidRPr="00A05698">
        <w:t>Les zones d’intervention sont également exposées a</w:t>
      </w:r>
      <w:r w:rsidR="0057379A" w:rsidRPr="00A05698">
        <w:t xml:space="preserve">ux aléas climatiques (inondation des champs de culture </w:t>
      </w:r>
      <w:r w:rsidR="00FC5DA2" w:rsidRPr="00A05698">
        <w:t>comme au Sud</w:t>
      </w:r>
      <w:r w:rsidRPr="00A05698">
        <w:t xml:space="preserve">, feux de brousse) et risques agricoles (dommages causés par les animaux ou les oiseaux, mortalité bétail, maladies végétales). </w:t>
      </w:r>
    </w:p>
    <w:p w:rsidR="00276D21" w:rsidRPr="00A05698" w:rsidRDefault="00DC40D7" w:rsidP="00B226BD">
      <w:pPr>
        <w:pStyle w:val="PargrafodaLista"/>
        <w:spacing w:after="120" w:line="240" w:lineRule="auto"/>
        <w:ind w:left="1068"/>
        <w:outlineLvl w:val="1"/>
        <w:rPr>
          <w:rFonts w:ascii="Times New Roman" w:hAnsi="Times New Roman"/>
          <w:b/>
          <w:bCs/>
          <w:sz w:val="24"/>
          <w:szCs w:val="24"/>
        </w:rPr>
      </w:pPr>
      <w:bookmarkStart w:id="101" w:name="_Toc73459712"/>
      <w:r>
        <w:rPr>
          <w:rFonts w:ascii="Times New Roman" w:hAnsi="Times New Roman"/>
          <w:b/>
          <w:bCs/>
          <w:sz w:val="24"/>
          <w:szCs w:val="24"/>
        </w:rPr>
        <w:t>2</w:t>
      </w:r>
      <w:r w:rsidR="006B1D52" w:rsidRPr="00A05698">
        <w:rPr>
          <w:rFonts w:ascii="Times New Roman" w:hAnsi="Times New Roman"/>
          <w:b/>
          <w:bCs/>
          <w:sz w:val="24"/>
          <w:szCs w:val="24"/>
        </w:rPr>
        <w:t xml:space="preserve">.5 </w:t>
      </w:r>
      <w:r w:rsidR="005A5247">
        <w:rPr>
          <w:rFonts w:ascii="Times New Roman" w:hAnsi="Times New Roman"/>
          <w:b/>
          <w:bCs/>
          <w:sz w:val="24"/>
          <w:szCs w:val="24"/>
        </w:rPr>
        <w:t>CIBLAGE DES DIFFERENT</w:t>
      </w:r>
      <w:r w:rsidR="00276D21" w:rsidRPr="00A05698">
        <w:rPr>
          <w:rFonts w:ascii="Times New Roman" w:hAnsi="Times New Roman"/>
          <w:b/>
          <w:bCs/>
          <w:sz w:val="24"/>
          <w:szCs w:val="24"/>
        </w:rPr>
        <w:t>S BENEFICIAIRE</w:t>
      </w:r>
      <w:r w:rsidR="005A5247">
        <w:rPr>
          <w:rFonts w:ascii="Times New Roman" w:hAnsi="Times New Roman"/>
          <w:b/>
          <w:bCs/>
          <w:sz w:val="24"/>
          <w:szCs w:val="24"/>
        </w:rPr>
        <w:t>S</w:t>
      </w:r>
      <w:r w:rsidR="00276D21" w:rsidRPr="00A05698">
        <w:rPr>
          <w:rFonts w:ascii="Times New Roman" w:hAnsi="Times New Roman"/>
          <w:b/>
          <w:bCs/>
          <w:sz w:val="24"/>
          <w:szCs w:val="24"/>
        </w:rPr>
        <w:t xml:space="preserve"> DU PROJET</w:t>
      </w:r>
      <w:bookmarkEnd w:id="101"/>
    </w:p>
    <w:p w:rsidR="002357D0" w:rsidRPr="00A05698" w:rsidRDefault="00276D21" w:rsidP="00B226BD">
      <w:pPr>
        <w:spacing w:before="120" w:after="120"/>
        <w:ind w:left="-284" w:right="-142"/>
        <w:jc w:val="both"/>
      </w:pPr>
      <w:r w:rsidRPr="00A05698">
        <w:t xml:space="preserve">Les bénéficiaires directs des projets sont </w:t>
      </w:r>
      <w:r w:rsidR="002357D0" w:rsidRPr="00A05698">
        <w:t>notamment :</w:t>
      </w:r>
      <w:r w:rsidRPr="00A05698">
        <w:t xml:space="preserve"> </w:t>
      </w:r>
    </w:p>
    <w:p w:rsidR="00A759B4" w:rsidRPr="00A05698" w:rsidRDefault="002357D0" w:rsidP="003C76AE">
      <w:pPr>
        <w:pStyle w:val="PargrafodaLista"/>
        <w:numPr>
          <w:ilvl w:val="0"/>
          <w:numId w:val="29"/>
        </w:numPr>
        <w:tabs>
          <w:tab w:val="left" w:pos="547"/>
          <w:tab w:val="left" w:pos="720"/>
        </w:tabs>
        <w:spacing w:after="120" w:line="240" w:lineRule="auto"/>
        <w:contextualSpacing w:val="0"/>
        <w:jc w:val="both"/>
        <w:rPr>
          <w:rFonts w:ascii="Times New Roman" w:hAnsi="Times New Roman"/>
          <w:sz w:val="24"/>
          <w:szCs w:val="24"/>
        </w:rPr>
      </w:pPr>
      <w:r w:rsidRPr="00A05698">
        <w:rPr>
          <w:rFonts w:ascii="Times New Roman" w:hAnsi="Times New Roman"/>
          <w:sz w:val="24"/>
          <w:szCs w:val="24"/>
        </w:rPr>
        <w:t>L</w:t>
      </w:r>
      <w:r w:rsidR="00276D21" w:rsidRPr="00A05698">
        <w:rPr>
          <w:rFonts w:ascii="Times New Roman" w:hAnsi="Times New Roman"/>
          <w:sz w:val="24"/>
          <w:szCs w:val="24"/>
        </w:rPr>
        <w:t xml:space="preserve">es petits exploitants agricoles, pour lesquels la production de noix de cajou fait partie intégrante de la sécurité alimentaire ; </w:t>
      </w:r>
    </w:p>
    <w:p w:rsidR="00A759B4" w:rsidRPr="00A05698" w:rsidRDefault="00276D21" w:rsidP="003C76AE">
      <w:pPr>
        <w:pStyle w:val="PargrafodaLista"/>
        <w:numPr>
          <w:ilvl w:val="0"/>
          <w:numId w:val="29"/>
        </w:numPr>
        <w:tabs>
          <w:tab w:val="left" w:pos="547"/>
          <w:tab w:val="left" w:pos="720"/>
        </w:tabs>
        <w:spacing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les ménages en situation d</w:t>
      </w:r>
      <w:r w:rsidR="00A05714" w:rsidRPr="00A05698">
        <w:rPr>
          <w:rFonts w:ascii="Times New Roman" w:hAnsi="Times New Roman"/>
          <w:sz w:val="24"/>
          <w:szCs w:val="24"/>
        </w:rPr>
        <w:t>’</w:t>
      </w:r>
      <w:r w:rsidRPr="00A05698">
        <w:rPr>
          <w:rFonts w:ascii="Times New Roman" w:hAnsi="Times New Roman"/>
          <w:sz w:val="24"/>
          <w:szCs w:val="24"/>
        </w:rPr>
        <w:t xml:space="preserve">insécurité alimentaire qui dépendent du travail saisonnier ou du salaire journalier pour leur sécurité alimentaire ; </w:t>
      </w:r>
    </w:p>
    <w:p w:rsidR="00A759B4" w:rsidRPr="00A05698" w:rsidRDefault="00A759B4" w:rsidP="003C76AE">
      <w:pPr>
        <w:pStyle w:val="PargrafodaLista"/>
        <w:numPr>
          <w:ilvl w:val="0"/>
          <w:numId w:val="29"/>
        </w:numPr>
        <w:tabs>
          <w:tab w:val="left" w:pos="547"/>
          <w:tab w:val="left" w:pos="720"/>
        </w:tabs>
        <w:spacing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w:t>
      </w:r>
      <w:r w:rsidR="00276D21" w:rsidRPr="00A05698">
        <w:rPr>
          <w:rFonts w:ascii="Times New Roman" w:hAnsi="Times New Roman"/>
          <w:sz w:val="24"/>
          <w:szCs w:val="24"/>
        </w:rPr>
        <w:t xml:space="preserve">les maraîchers. </w:t>
      </w:r>
    </w:p>
    <w:p w:rsidR="00165F19" w:rsidRPr="00A05698" w:rsidRDefault="00276D21" w:rsidP="00B226BD">
      <w:pPr>
        <w:spacing w:before="120" w:after="120"/>
        <w:ind w:left="-284" w:right="-142"/>
        <w:jc w:val="both"/>
      </w:pPr>
      <w:r w:rsidRPr="00A05698">
        <w:t>Au moins 50 000 ménages bénéficieront d</w:t>
      </w:r>
      <w:r w:rsidR="00A05714" w:rsidRPr="00A05698">
        <w:t>’</w:t>
      </w:r>
      <w:r w:rsidRPr="00A05698">
        <w:t>un soutien en matière d</w:t>
      </w:r>
      <w:r w:rsidR="00A05714" w:rsidRPr="00A05698">
        <w:t>’</w:t>
      </w:r>
      <w:r w:rsidRPr="00A05698">
        <w:t xml:space="preserve">intrants et 10 000 autres ménages des activités </w:t>
      </w:r>
      <w:r w:rsidR="00A05714" w:rsidRPr="00A05698">
        <w:t>« </w:t>
      </w:r>
      <w:r w:rsidRPr="00A05698">
        <w:t>argent contre travail</w:t>
      </w:r>
      <w:r w:rsidR="00A05714" w:rsidRPr="00A05698">
        <w:t> »</w:t>
      </w:r>
      <w:r w:rsidRPr="00A05698">
        <w:t xml:space="preserve">. En se fondant sur la taille moyenne des ménages en Guinée-Bissau, cela représente environ 378 000 personnes. </w:t>
      </w:r>
    </w:p>
    <w:p w:rsidR="00165F19" w:rsidRPr="00A05698" w:rsidRDefault="00276D21" w:rsidP="00B226BD">
      <w:pPr>
        <w:spacing w:before="120" w:after="120"/>
        <w:ind w:left="-284" w:right="-142"/>
        <w:jc w:val="both"/>
      </w:pPr>
      <w:r w:rsidRPr="00A05698">
        <w:t>Les bénéficiaires indirects comprennent les travailleurs, les consommateurs qui auront accès à la nourriture provenant de la production excédentaire et les fournisseurs d</w:t>
      </w:r>
      <w:r w:rsidR="00A05714" w:rsidRPr="00A05698">
        <w:t>’</w:t>
      </w:r>
      <w:r w:rsidRPr="00A05698">
        <w:t xml:space="preserve">intrants. </w:t>
      </w:r>
    </w:p>
    <w:p w:rsidR="009010BD" w:rsidRPr="00A05698" w:rsidRDefault="00276D21" w:rsidP="00B226BD">
      <w:pPr>
        <w:spacing w:before="120" w:after="120"/>
        <w:ind w:left="-284" w:right="-142"/>
        <w:jc w:val="both"/>
      </w:pPr>
      <w:r w:rsidRPr="00A05698">
        <w:t xml:space="preserve">Compte tenu de la fluidité de la situation, le projet aurait également une couverture nationale, bien que le ciblage permette de se concentrer sur les </w:t>
      </w:r>
      <w:r w:rsidR="00681BD5" w:rsidRPr="00A05698">
        <w:t>régions les</w:t>
      </w:r>
      <w:r w:rsidRPr="00A05698">
        <w:t xml:space="preserve"> plus touchées par l</w:t>
      </w:r>
      <w:r w:rsidR="00A05714" w:rsidRPr="00A05698">
        <w:t>’</w:t>
      </w:r>
      <w:r w:rsidRPr="00A05698">
        <w:t>insécurité alimentaire, tout en évitant une duplication de l</w:t>
      </w:r>
      <w:r w:rsidR="00A05714" w:rsidRPr="00A05698">
        <w:t>’</w:t>
      </w:r>
      <w:r w:rsidRPr="00A05698">
        <w:t>aide fournie par d</w:t>
      </w:r>
      <w:r w:rsidR="00A05714" w:rsidRPr="00A05698">
        <w:t>’</w:t>
      </w:r>
      <w:r w:rsidRPr="00A05698">
        <w:t xml:space="preserve">autres agences et par le biais de financements gouvernementaux. </w:t>
      </w:r>
    </w:p>
    <w:p w:rsidR="00FF54C3" w:rsidRPr="00A05698" w:rsidRDefault="00276D21" w:rsidP="00B226BD">
      <w:pPr>
        <w:spacing w:before="120" w:after="120"/>
        <w:ind w:left="-284" w:right="-142"/>
        <w:jc w:val="both"/>
      </w:pPr>
      <w:r w:rsidRPr="00A05698">
        <w:t>Ce projet analys</w:t>
      </w:r>
      <w:r w:rsidR="00746847">
        <w:t>era</w:t>
      </w:r>
      <w:r w:rsidRPr="00A05698">
        <w:t xml:space="preserve"> dans une perspective de genre pour améliorer la sensibilité </w:t>
      </w:r>
      <w:r w:rsidR="00855F8A" w:rsidRPr="00A05698">
        <w:t>de cet aspect. L’</w:t>
      </w:r>
      <w:r w:rsidR="005E67DC" w:rsidRPr="00A05698">
        <w:t>analyse</w:t>
      </w:r>
      <w:r w:rsidR="00855F8A" w:rsidRPr="00A05698">
        <w:t xml:space="preserve"> permet</w:t>
      </w:r>
      <w:r w:rsidR="00746847">
        <w:t xml:space="preserve">tra </w:t>
      </w:r>
      <w:r w:rsidR="00855F8A" w:rsidRPr="00A05698">
        <w:t>également d’</w:t>
      </w:r>
      <w:r w:rsidRPr="00A05698">
        <w:t>assurer des garanties adéquates en vue de réduire les risques de</w:t>
      </w:r>
      <w:r w:rsidR="00DF0E98" w:rsidRPr="00A05698">
        <w:t xml:space="preserve"> violence </w:t>
      </w:r>
      <w:r w:rsidR="002E23AF">
        <w:t>basée</w:t>
      </w:r>
      <w:r w:rsidR="00DF0E98" w:rsidRPr="00A05698">
        <w:t xml:space="preserve"> sur le genre (</w:t>
      </w:r>
      <w:r w:rsidRPr="00A05698">
        <w:t>V</w:t>
      </w:r>
      <w:r w:rsidR="002E23AF">
        <w:t>B</w:t>
      </w:r>
      <w:r w:rsidRPr="00A05698">
        <w:t xml:space="preserve">G), </w:t>
      </w:r>
      <w:r w:rsidR="004B19E6">
        <w:t xml:space="preserve">y compris </w:t>
      </w:r>
      <w:r w:rsidRPr="00A05698">
        <w:t>d</w:t>
      </w:r>
      <w:r w:rsidR="00A05714" w:rsidRPr="00A05698">
        <w:t>’</w:t>
      </w:r>
      <w:r w:rsidRPr="00A05698">
        <w:t>exploitation et d</w:t>
      </w:r>
      <w:r w:rsidR="00A05714" w:rsidRPr="00A05698">
        <w:t>’</w:t>
      </w:r>
      <w:r w:rsidRPr="00A05698">
        <w:t xml:space="preserve">abus sexuels (EAS), ainsi que de harcèlement sexuel (HS). </w:t>
      </w:r>
    </w:p>
    <w:p w:rsidR="00634D7F" w:rsidRPr="00A05698" w:rsidRDefault="00276D21" w:rsidP="00B226BD">
      <w:pPr>
        <w:spacing w:before="120" w:after="120"/>
        <w:ind w:left="-284" w:right="-142"/>
        <w:jc w:val="both"/>
      </w:pPr>
      <w:r w:rsidRPr="00A05698">
        <w:t xml:space="preserve">Le projet garantira la participation active des femmes dans chaque processus de planification et de mise en œuvre. Le processus de consultation prendra en considération les impacts </w:t>
      </w:r>
      <w:r w:rsidR="004B19E6">
        <w:t xml:space="preserve">rapport </w:t>
      </w:r>
      <w:r w:rsidR="00496E0B">
        <w:t xml:space="preserve">aux risques </w:t>
      </w:r>
      <w:r w:rsidR="002712BB" w:rsidRPr="00A05698">
        <w:t>de</w:t>
      </w:r>
      <w:r w:rsidR="002712BB">
        <w:t xml:space="preserve"> </w:t>
      </w:r>
      <w:r w:rsidR="002712BB" w:rsidRPr="00A05698">
        <w:t>distanciation</w:t>
      </w:r>
      <w:r w:rsidRPr="00A05698">
        <w:t xml:space="preserve"> sociale sur les femmes</w:t>
      </w:r>
      <w:r w:rsidR="00DD3D8E">
        <w:t>. Mais aussi, c</w:t>
      </w:r>
      <w:r w:rsidR="00F12DF1" w:rsidRPr="00A05698">
        <w:t>es consultations seront menées dans des espaces où les femmes peuvent s’exprimer, par exemple des groupes de femmes, animés par des femmes travaillant sur le projet</w:t>
      </w:r>
      <w:r w:rsidRPr="00A05698">
        <w:t>. Cela inclut l</w:t>
      </w:r>
      <w:r w:rsidR="00A05714" w:rsidRPr="00A05698">
        <w:t>’</w:t>
      </w:r>
      <w:r w:rsidRPr="00A05698">
        <w:t>évaluation continue des risques de VBG/EAS/</w:t>
      </w:r>
      <w:r w:rsidR="002712BB" w:rsidRPr="00A05698">
        <w:t>HS.</w:t>
      </w:r>
    </w:p>
    <w:p w:rsidR="00344DAA" w:rsidRPr="00A05698" w:rsidRDefault="00DC40D7" w:rsidP="00083B97">
      <w:pPr>
        <w:pStyle w:val="PargrafodaLista"/>
        <w:spacing w:after="120" w:line="240" w:lineRule="auto"/>
        <w:ind w:left="1068"/>
        <w:outlineLvl w:val="1"/>
      </w:pPr>
      <w:bookmarkStart w:id="102" w:name="_Toc73459713"/>
      <w:r>
        <w:rPr>
          <w:rFonts w:ascii="Times New Roman" w:hAnsi="Times New Roman"/>
          <w:b/>
          <w:bCs/>
          <w:sz w:val="24"/>
          <w:szCs w:val="24"/>
        </w:rPr>
        <w:t>2</w:t>
      </w:r>
      <w:r w:rsidR="00344DAA" w:rsidRPr="00A05698">
        <w:rPr>
          <w:rFonts w:ascii="Times New Roman" w:hAnsi="Times New Roman"/>
          <w:b/>
          <w:bCs/>
          <w:sz w:val="24"/>
          <w:szCs w:val="24"/>
        </w:rPr>
        <w:t xml:space="preserve">.6 </w:t>
      </w:r>
      <w:r w:rsidR="00CD49EF" w:rsidRPr="00A05698">
        <w:rPr>
          <w:rFonts w:ascii="Times New Roman" w:hAnsi="Times New Roman"/>
          <w:b/>
          <w:bCs/>
          <w:sz w:val="24"/>
          <w:szCs w:val="24"/>
        </w:rPr>
        <w:t>SITUATION ALIMENTAIRE ET NUTRITIONNELL</w:t>
      </w:r>
      <w:r w:rsidR="00397855">
        <w:rPr>
          <w:rFonts w:ascii="Times New Roman" w:hAnsi="Times New Roman"/>
          <w:b/>
          <w:bCs/>
          <w:sz w:val="24"/>
          <w:szCs w:val="24"/>
        </w:rPr>
        <w:t>E</w:t>
      </w:r>
      <w:bookmarkEnd w:id="102"/>
    </w:p>
    <w:p w:rsidR="00CD49EF" w:rsidRPr="00A05698" w:rsidRDefault="00DC40D7" w:rsidP="00344DAA">
      <w:pPr>
        <w:pStyle w:val="PargrafodaLista"/>
        <w:spacing w:after="120" w:line="240" w:lineRule="auto"/>
        <w:ind w:left="1068" w:firstLine="348"/>
        <w:outlineLvl w:val="1"/>
        <w:rPr>
          <w:rFonts w:ascii="Times New Roman" w:hAnsi="Times New Roman"/>
          <w:b/>
          <w:bCs/>
          <w:sz w:val="24"/>
          <w:szCs w:val="24"/>
        </w:rPr>
      </w:pPr>
      <w:bookmarkStart w:id="103" w:name="_Toc73459714"/>
      <w:r>
        <w:rPr>
          <w:rFonts w:ascii="Times New Roman" w:hAnsi="Times New Roman"/>
          <w:b/>
          <w:bCs/>
          <w:sz w:val="24"/>
          <w:szCs w:val="24"/>
        </w:rPr>
        <w:t>2</w:t>
      </w:r>
      <w:r w:rsidR="006F155F" w:rsidRPr="00A05698">
        <w:rPr>
          <w:rFonts w:ascii="Times New Roman" w:hAnsi="Times New Roman"/>
          <w:b/>
          <w:bCs/>
          <w:sz w:val="24"/>
          <w:szCs w:val="24"/>
        </w:rPr>
        <w:t>.6</w:t>
      </w:r>
      <w:r w:rsidR="00CD49EF" w:rsidRPr="00A05698">
        <w:rPr>
          <w:rFonts w:ascii="Times New Roman" w:hAnsi="Times New Roman"/>
          <w:b/>
          <w:bCs/>
          <w:sz w:val="24"/>
          <w:szCs w:val="24"/>
        </w:rPr>
        <w:t>.1. Situation des marchés</w:t>
      </w:r>
      <w:bookmarkEnd w:id="103"/>
      <w:r w:rsidR="00CD49EF" w:rsidRPr="00A05698">
        <w:rPr>
          <w:rFonts w:ascii="Times New Roman" w:hAnsi="Times New Roman"/>
          <w:b/>
          <w:bCs/>
          <w:sz w:val="24"/>
          <w:szCs w:val="24"/>
        </w:rPr>
        <w:t xml:space="preserve"> </w:t>
      </w:r>
    </w:p>
    <w:p w:rsidR="00CD49EF" w:rsidRDefault="00CD49EF" w:rsidP="006F155F">
      <w:pPr>
        <w:spacing w:before="120" w:after="120"/>
        <w:ind w:left="-284" w:right="-142"/>
        <w:jc w:val="both"/>
      </w:pPr>
      <w:r w:rsidRPr="00A05698">
        <w:t xml:space="preserve">Les marchés sont globalement bien approvisionnés en ce que concernent les céréales (riz et céréales sèches) et les produits alimentaires en général, notamment le sucre, l’oignon, l’ail, la farine de blé, l’huile alimentaire, le vinaigre, </w:t>
      </w:r>
    </w:p>
    <w:p w:rsidR="0047764B" w:rsidRPr="00A05698" w:rsidRDefault="0047764B" w:rsidP="0047764B">
      <w:pPr>
        <w:pStyle w:val="Legenda"/>
        <w:jc w:val="center"/>
      </w:pPr>
      <w:bookmarkStart w:id="104" w:name="_Toc73522607"/>
      <w:r w:rsidRPr="00A05698">
        <w:t xml:space="preserve">Tableau </w:t>
      </w:r>
      <w:r w:rsidR="001C4071">
        <w:fldChar w:fldCharType="begin"/>
      </w:r>
      <w:r w:rsidR="001C4071">
        <w:instrText xml:space="preserve"> </w:instrText>
      </w:r>
      <w:r w:rsidR="006C5620">
        <w:instrText>SEQ</w:instrText>
      </w:r>
      <w:r w:rsidR="001C4071">
        <w:instrText xml:space="preserve"> Tableau \* ARABIC </w:instrText>
      </w:r>
      <w:r w:rsidR="001C4071">
        <w:fldChar w:fldCharType="separate"/>
      </w:r>
      <w:r w:rsidR="00BB7875">
        <w:rPr>
          <w:noProof/>
        </w:rPr>
        <w:t>1</w:t>
      </w:r>
      <w:r w:rsidR="001C4071">
        <w:rPr>
          <w:noProof/>
        </w:rPr>
        <w:fldChar w:fldCharType="end"/>
      </w:r>
      <w:r w:rsidRPr="00A05698">
        <w:t>: Prix des produits alimentaires de base (en XOF), mois d’octobre 2020</w:t>
      </w:r>
      <w:bookmarkEnd w:id="104"/>
    </w:p>
    <w:p w:rsidR="0047764B" w:rsidRPr="00A05698" w:rsidRDefault="0047764B" w:rsidP="0047764B">
      <w:pPr>
        <w:jc w:val="both"/>
        <w:rPr>
          <w:sz w:val="20"/>
          <w:szCs w:val="20"/>
        </w:rPr>
      </w:pP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6"/>
        <w:gridCol w:w="992"/>
        <w:gridCol w:w="1708"/>
        <w:gridCol w:w="850"/>
        <w:gridCol w:w="1134"/>
        <w:gridCol w:w="1701"/>
      </w:tblGrid>
      <w:tr w:rsidR="001E516B" w:rsidRPr="00A05698" w:rsidTr="00083B97">
        <w:trPr>
          <w:jc w:val="center"/>
        </w:trPr>
        <w:tc>
          <w:tcPr>
            <w:tcW w:w="1274"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Région</w:t>
            </w:r>
          </w:p>
        </w:tc>
        <w:tc>
          <w:tcPr>
            <w:tcW w:w="1276"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Riz Importe</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992"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Sucre</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708"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Huile Alimentaire</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(L)</w:t>
            </w:r>
          </w:p>
        </w:tc>
        <w:tc>
          <w:tcPr>
            <w:tcW w:w="850"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Blé</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134"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Oignon</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701"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Pomme de</w:t>
            </w:r>
            <w:r>
              <w:rPr>
                <w:rFonts w:ascii="Times New Roman" w:hAnsi="Times New Roman" w:cs="Times New Roman"/>
                <w:b/>
                <w:bCs/>
                <w:color w:val="auto"/>
                <w:sz w:val="20"/>
                <w:szCs w:val="20"/>
              </w:rPr>
              <w:t xml:space="preserve"> </w:t>
            </w:r>
            <w:r w:rsidRPr="00A05698">
              <w:rPr>
                <w:rFonts w:ascii="Times New Roman" w:hAnsi="Times New Roman" w:cs="Times New Roman"/>
                <w:b/>
                <w:bCs/>
                <w:color w:val="auto"/>
                <w:sz w:val="20"/>
                <w:szCs w:val="20"/>
              </w:rPr>
              <w:t>terre</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r>
      <w:tr w:rsidR="001E516B" w:rsidRPr="00A05698" w:rsidTr="00083B97">
        <w:trPr>
          <w:jc w:val="center"/>
        </w:trPr>
        <w:tc>
          <w:tcPr>
            <w:tcW w:w="1274" w:type="dxa"/>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Biombo</w:t>
            </w:r>
          </w:p>
        </w:tc>
        <w:tc>
          <w:tcPr>
            <w:tcW w:w="1276"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992"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8"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850"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1"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Cacheu</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350 </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400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700 </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750 </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Oio</w:t>
            </w:r>
          </w:p>
        </w:tc>
        <w:tc>
          <w:tcPr>
            <w:tcW w:w="1276"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992"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8"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850"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1"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Quinara</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350</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450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750 </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800</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Tombali</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350 </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450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600 </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750 </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Bafata</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350</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600</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750</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Gabú</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350 </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450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Bolama</w:t>
            </w:r>
          </w:p>
        </w:tc>
        <w:tc>
          <w:tcPr>
            <w:tcW w:w="1276"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992"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8"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850"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1"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r>
    </w:tbl>
    <w:p w:rsidR="0047764B" w:rsidRPr="00A05698" w:rsidRDefault="0047764B" w:rsidP="0047764B">
      <w:pPr>
        <w:pStyle w:val="Default"/>
        <w:rPr>
          <w:rFonts w:ascii="Times New Roman" w:hAnsi="Times New Roman" w:cs="Times New Roman"/>
          <w:i/>
          <w:color w:val="auto"/>
          <w:sz w:val="20"/>
          <w:szCs w:val="20"/>
        </w:rPr>
      </w:pPr>
      <w:r w:rsidRPr="00A05698">
        <w:rPr>
          <w:rFonts w:ascii="Times New Roman" w:hAnsi="Times New Roman" w:cs="Times New Roman"/>
          <w:i/>
          <w:color w:val="auto"/>
          <w:sz w:val="20"/>
          <w:szCs w:val="20"/>
        </w:rPr>
        <w:t>Source : SSA/MADR</w:t>
      </w:r>
    </w:p>
    <w:p w:rsidR="0047764B" w:rsidRPr="00A05698" w:rsidRDefault="0047764B" w:rsidP="0047764B">
      <w:pPr>
        <w:pStyle w:val="Legenda"/>
        <w:jc w:val="center"/>
      </w:pPr>
      <w:bookmarkStart w:id="105" w:name="_Toc73522608"/>
      <w:r w:rsidRPr="00A05698">
        <w:t xml:space="preserve">Tableau </w:t>
      </w:r>
      <w:r w:rsidR="001C4071">
        <w:fldChar w:fldCharType="begin"/>
      </w:r>
      <w:r w:rsidR="001C4071">
        <w:instrText xml:space="preserve"> </w:instrText>
      </w:r>
      <w:r w:rsidR="006C5620">
        <w:instrText>SEQ</w:instrText>
      </w:r>
      <w:r w:rsidR="001C4071">
        <w:instrText xml:space="preserve"> Tableau \* ARABIC </w:instrText>
      </w:r>
      <w:r w:rsidR="001C4071">
        <w:fldChar w:fldCharType="separate"/>
      </w:r>
      <w:r w:rsidR="00BB7875">
        <w:rPr>
          <w:noProof/>
        </w:rPr>
        <w:t>2</w:t>
      </w:r>
      <w:r w:rsidR="001C4071">
        <w:rPr>
          <w:noProof/>
        </w:rPr>
        <w:fldChar w:fldCharType="end"/>
      </w:r>
      <w:r w:rsidRPr="00A05698">
        <w:t>: Prix des produits alimentaires local de base (en XOF), mois d’octobre 2020</w:t>
      </w:r>
      <w:bookmarkEnd w:id="105"/>
    </w:p>
    <w:p w:rsidR="0047764B" w:rsidRPr="00A05698" w:rsidRDefault="0047764B" w:rsidP="0047764B">
      <w:pPr>
        <w:jc w:val="both"/>
        <w:rPr>
          <w:sz w:val="20"/>
          <w:szCs w:val="20"/>
        </w:rPr>
      </w:pP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417"/>
        <w:gridCol w:w="1418"/>
        <w:gridCol w:w="1134"/>
        <w:gridCol w:w="1276"/>
      </w:tblGrid>
      <w:tr w:rsidR="0047764B" w:rsidRPr="00A05698" w:rsidTr="00AF4F28">
        <w:trPr>
          <w:jc w:val="center"/>
        </w:trPr>
        <w:tc>
          <w:tcPr>
            <w:tcW w:w="1134"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Région</w:t>
            </w:r>
          </w:p>
        </w:tc>
        <w:tc>
          <w:tcPr>
            <w:tcW w:w="1418"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Riz local</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417"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Maïs</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418"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Mil</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(L)</w:t>
            </w:r>
          </w:p>
        </w:tc>
        <w:tc>
          <w:tcPr>
            <w:tcW w:w="1134"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Sorgho</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276"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Fonio</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(Barra)</w:t>
            </w:r>
          </w:p>
        </w:tc>
      </w:tr>
      <w:tr w:rsidR="0047764B" w:rsidRPr="00A05698" w:rsidTr="00AF4F28">
        <w:trPr>
          <w:jc w:val="center"/>
        </w:trPr>
        <w:tc>
          <w:tcPr>
            <w:tcW w:w="1134" w:type="dxa"/>
          </w:tcPr>
          <w:p w:rsidR="0047764B" w:rsidRPr="00A05698" w:rsidRDefault="0047764B" w:rsidP="00AF4F28">
            <w:pPr>
              <w:pStyle w:val="Default"/>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Biombo</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7"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Cacheu</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400 </w:t>
            </w:r>
          </w:p>
        </w:tc>
        <w:tc>
          <w:tcPr>
            <w:tcW w:w="1417"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400</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700 </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Oio</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7"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Quinara</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375</w:t>
            </w:r>
          </w:p>
        </w:tc>
        <w:tc>
          <w:tcPr>
            <w:tcW w:w="1417"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134"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Tombali</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400 </w:t>
            </w:r>
          </w:p>
        </w:tc>
        <w:tc>
          <w:tcPr>
            <w:tcW w:w="1417"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300</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Bafata</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450</w:t>
            </w:r>
          </w:p>
        </w:tc>
        <w:tc>
          <w:tcPr>
            <w:tcW w:w="1417"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134"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276"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Gabú</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417"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300</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300</w:t>
            </w:r>
          </w:p>
        </w:tc>
        <w:tc>
          <w:tcPr>
            <w:tcW w:w="1134"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300</w:t>
            </w:r>
          </w:p>
        </w:tc>
        <w:tc>
          <w:tcPr>
            <w:tcW w:w="1276"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750 </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Bolama</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7"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bl>
    <w:p w:rsidR="0047764B" w:rsidRPr="00CE7C67" w:rsidRDefault="0047764B" w:rsidP="00CE7C67">
      <w:pPr>
        <w:pStyle w:val="Default"/>
        <w:rPr>
          <w:rFonts w:ascii="Times New Roman" w:hAnsi="Times New Roman" w:cs="Times New Roman"/>
          <w:i/>
          <w:color w:val="auto"/>
          <w:sz w:val="20"/>
          <w:szCs w:val="20"/>
        </w:rPr>
      </w:pPr>
      <w:r w:rsidRPr="00A05698">
        <w:rPr>
          <w:rFonts w:ascii="Times New Roman" w:hAnsi="Times New Roman" w:cs="Times New Roman"/>
          <w:i/>
          <w:color w:val="auto"/>
          <w:sz w:val="20"/>
          <w:szCs w:val="20"/>
        </w:rPr>
        <w:t>Source : SSA/MADR</w:t>
      </w:r>
    </w:p>
    <w:p w:rsidR="000F400B" w:rsidRPr="00A05698" w:rsidRDefault="00CD49EF" w:rsidP="000F400B">
      <w:pPr>
        <w:spacing w:before="120" w:after="120"/>
        <w:ind w:left="-284" w:right="-142"/>
        <w:jc w:val="both"/>
      </w:pPr>
      <w:r w:rsidRPr="00A05698">
        <w:t xml:space="preserve">La commercialisation de la noix de cajou en 2020, a été mauvaise par rapport à celle de l’année 2019 malgré le niveau du prix au producteur que varie entre 250 –300 F/kg. Ceci est dû à la coïncidence du pic </w:t>
      </w:r>
      <w:r w:rsidR="00887628" w:rsidRPr="00A05698">
        <w:t>de la pandémie</w:t>
      </w:r>
      <w:r w:rsidRPr="00A05698">
        <w:t xml:space="preserve"> </w:t>
      </w:r>
      <w:r w:rsidR="00887628" w:rsidRPr="00A05698">
        <w:t>de la</w:t>
      </w:r>
      <w:r w:rsidRPr="00A05698">
        <w:t xml:space="preserve"> Covid 19 avec la période cruciale de commercialisation des noix de cajou en </w:t>
      </w:r>
      <w:r w:rsidR="006F155F" w:rsidRPr="00A05698">
        <w:t>Guinée-Bissau</w:t>
      </w:r>
      <w:r w:rsidRPr="00A05698">
        <w:t xml:space="preserve">. En </w:t>
      </w:r>
      <w:r w:rsidR="006F155F" w:rsidRPr="00A05698">
        <w:t>conséquence</w:t>
      </w:r>
      <w:r w:rsidR="00887628" w:rsidRPr="00A05698">
        <w:t>,</w:t>
      </w:r>
      <w:r w:rsidRPr="00A05698">
        <w:t xml:space="preserve"> la situation alimentaire rendre </w:t>
      </w:r>
      <w:r w:rsidR="006F155F" w:rsidRPr="00A05698">
        <w:t>difficile</w:t>
      </w:r>
      <w:r w:rsidRPr="00A05698">
        <w:t xml:space="preserve"> l’accès d’une bonne partie des ménages aux denrées alimentaires de base.</w:t>
      </w:r>
    </w:p>
    <w:p w:rsidR="000F400B" w:rsidRPr="00A05698" w:rsidRDefault="000F400B" w:rsidP="000F400B">
      <w:pPr>
        <w:spacing w:before="120" w:after="120"/>
        <w:ind w:left="-284" w:right="-142"/>
        <w:jc w:val="both"/>
      </w:pPr>
      <w:r w:rsidRPr="00A05698">
        <w:t>La noix de cajou brute de la Guinée-Bissau, très compétitive sur le marché international avec un KOR (Kernel Output Ratio - unité de mesure de la qualité de la noix brute) parmi les meilleurs du monde, demeure la principale culture de rente. La Guinée-Bissau, qui en est le cinquième producteur mondial, ne capte cependant que 1% de la valeur ajoutée de la filière alors que le potentiel lié à la capacité installée est de 10%. La noix de cajou compte pour plus des trois quarts des recettes d'exportations et environ un cinquième des recettes de l'État. La Guinée-Bissau exporte principalement ses noix de cajou vers l'Inde.</w:t>
      </w:r>
    </w:p>
    <w:p w:rsidR="002442FE" w:rsidRDefault="000F400B" w:rsidP="00755863">
      <w:pPr>
        <w:spacing w:before="120" w:after="120"/>
        <w:ind w:left="-284" w:right="-142"/>
        <w:jc w:val="both"/>
      </w:pPr>
      <w:r w:rsidRPr="00A05698">
        <w:t>Les exportations de noix de cajou ont significativement crû (tableau</w:t>
      </w:r>
      <w:r w:rsidR="000A0BCE" w:rsidRPr="00A05698">
        <w:t xml:space="preserve"> 6</w:t>
      </w:r>
      <w:r w:rsidRPr="00A05698">
        <w:t xml:space="preserve"> que suivi)</w:t>
      </w:r>
      <w:r w:rsidR="000A0BCE" w:rsidRPr="00A05698">
        <w:t>. I</w:t>
      </w:r>
      <w:r w:rsidRPr="00A05698">
        <w:t>l</w:t>
      </w:r>
      <w:r w:rsidR="000A0BCE" w:rsidRPr="00A05698">
        <w:t xml:space="preserve"> </w:t>
      </w:r>
      <w:r w:rsidRPr="00A05698">
        <w:t>en a été de même de la production dont le taux de croissance annuelle moyenne a été de 6% depuis 1995. Cette performance a été enregistrée sur la période en dépit de la chute des cours des noix de cajou de 1 350 dollars EU/tonne en 2011 à 800 dollars EU/tonne en 2013. En 2012, le gouvernement a adopté un décret établissant une réduction de 50% de certaines taxes, notamment des taxes d'exportation, afin de faciliter l´écoulement des stocks de cajou estimés à 50 000 tonnes et leur exportation.</w:t>
      </w:r>
      <w:r w:rsidR="000C5831" w:rsidRPr="00A05698">
        <w:t xml:space="preserve"> </w:t>
      </w:r>
    </w:p>
    <w:p w:rsidR="000F400B" w:rsidRPr="00A05698" w:rsidRDefault="00416FE4" w:rsidP="000C5831">
      <w:pPr>
        <w:spacing w:line="256" w:lineRule="auto"/>
        <w:jc w:val="center"/>
        <w:rPr>
          <w:b/>
          <w:bCs/>
          <w:sz w:val="20"/>
          <w:szCs w:val="20"/>
        </w:rPr>
      </w:pPr>
      <w:bookmarkStart w:id="106" w:name="_Toc73522609"/>
      <w:r w:rsidRPr="00A05698">
        <w:rPr>
          <w:b/>
          <w:bCs/>
          <w:sz w:val="20"/>
          <w:szCs w:val="20"/>
        </w:rPr>
        <w:t xml:space="preserve">Tableau </w:t>
      </w:r>
      <w:r w:rsidRPr="00A05698">
        <w:rPr>
          <w:b/>
          <w:bCs/>
          <w:sz w:val="20"/>
          <w:szCs w:val="20"/>
        </w:rPr>
        <w:fldChar w:fldCharType="begin"/>
      </w:r>
      <w:r w:rsidRPr="00A05698">
        <w:rPr>
          <w:b/>
          <w:bCs/>
          <w:sz w:val="20"/>
          <w:szCs w:val="20"/>
        </w:rPr>
        <w:instrText xml:space="preserve"> </w:instrText>
      </w:r>
      <w:r w:rsidR="006C5620">
        <w:rPr>
          <w:b/>
          <w:bCs/>
          <w:sz w:val="20"/>
          <w:szCs w:val="20"/>
        </w:rPr>
        <w:instrText>SEQ</w:instrText>
      </w:r>
      <w:r w:rsidRPr="00A05698">
        <w:rPr>
          <w:b/>
          <w:bCs/>
          <w:sz w:val="20"/>
          <w:szCs w:val="20"/>
        </w:rPr>
        <w:instrText xml:space="preserve"> Tableau \* ARABIC </w:instrText>
      </w:r>
      <w:r w:rsidRPr="00A05698">
        <w:rPr>
          <w:b/>
          <w:bCs/>
          <w:sz w:val="20"/>
          <w:szCs w:val="20"/>
        </w:rPr>
        <w:fldChar w:fldCharType="separate"/>
      </w:r>
      <w:r w:rsidR="00BB7875">
        <w:rPr>
          <w:b/>
          <w:bCs/>
          <w:noProof/>
          <w:sz w:val="20"/>
          <w:szCs w:val="20"/>
        </w:rPr>
        <w:t>3</w:t>
      </w:r>
      <w:r w:rsidRPr="00A05698">
        <w:rPr>
          <w:b/>
          <w:bCs/>
          <w:sz w:val="20"/>
          <w:szCs w:val="20"/>
        </w:rPr>
        <w:fldChar w:fldCharType="end"/>
      </w:r>
      <w:r w:rsidR="000F400B" w:rsidRPr="00A05698">
        <w:rPr>
          <w:b/>
          <w:bCs/>
          <w:sz w:val="20"/>
          <w:szCs w:val="20"/>
        </w:rPr>
        <w:t>: Commerce de noix de cajou en Guinée-Bissau, 2010-2015</w:t>
      </w:r>
      <w:bookmarkEnd w:id="106"/>
    </w:p>
    <w:p w:rsidR="000F400B" w:rsidRPr="00A05698" w:rsidRDefault="000F400B" w:rsidP="000F400B">
      <w:pPr>
        <w:spacing w:after="160" w:line="256" w:lineRule="auto"/>
        <w:jc w:val="center"/>
      </w:pPr>
      <w:r w:rsidRPr="00A05698">
        <w:rPr>
          <w:noProof/>
          <w:lang w:val="pt-PT" w:eastAsia="pt-PT"/>
        </w:rPr>
        <w:drawing>
          <wp:inline distT="0" distB="0" distL="0" distR="0" wp14:anchorId="3A4F5276" wp14:editId="101B44B3">
            <wp:extent cx="6189980" cy="1547495"/>
            <wp:effectExtent l="0" t="0" r="7620" b="190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9980" cy="1547495"/>
                    </a:xfrm>
                    <a:prstGeom prst="rect">
                      <a:avLst/>
                    </a:prstGeom>
                    <a:noFill/>
                    <a:ln>
                      <a:noFill/>
                    </a:ln>
                  </pic:spPr>
                </pic:pic>
              </a:graphicData>
            </a:graphic>
          </wp:inline>
        </w:drawing>
      </w:r>
    </w:p>
    <w:p w:rsidR="000F400B" w:rsidRPr="00A05698" w:rsidRDefault="000F400B" w:rsidP="000F400B">
      <w:pPr>
        <w:spacing w:after="160" w:line="256" w:lineRule="auto"/>
        <w:jc w:val="both"/>
        <w:rPr>
          <w:sz w:val="18"/>
          <w:szCs w:val="18"/>
          <w:lang w:eastAsia="zh-CN"/>
        </w:rPr>
      </w:pPr>
      <w:r w:rsidRPr="00A05698">
        <w:rPr>
          <w:b/>
          <w:bCs/>
          <w:sz w:val="18"/>
          <w:szCs w:val="18"/>
          <w:u w:val="single"/>
        </w:rPr>
        <w:t>Source</w:t>
      </w:r>
      <w:r w:rsidR="000C5831" w:rsidRPr="00A05698">
        <w:rPr>
          <w:b/>
          <w:bCs/>
          <w:sz w:val="18"/>
          <w:szCs w:val="18"/>
          <w:u w:val="single"/>
        </w:rPr>
        <w:t xml:space="preserve"> </w:t>
      </w:r>
      <w:r w:rsidRPr="00A05698">
        <w:rPr>
          <w:b/>
          <w:bCs/>
          <w:sz w:val="18"/>
          <w:szCs w:val="18"/>
          <w:u w:val="single"/>
        </w:rPr>
        <w:t>:</w:t>
      </w:r>
      <w:r w:rsidRPr="00A05698">
        <w:rPr>
          <w:b/>
          <w:bCs/>
          <w:sz w:val="18"/>
          <w:szCs w:val="18"/>
        </w:rPr>
        <w:t xml:space="preserve"> </w:t>
      </w:r>
      <w:r w:rsidRPr="00A05698">
        <w:rPr>
          <w:sz w:val="18"/>
          <w:szCs w:val="18"/>
        </w:rPr>
        <w:t>Base de données statistiques de la FAO (adresse consultée</w:t>
      </w:r>
      <w:r w:rsidR="000C5831" w:rsidRPr="00A05698">
        <w:rPr>
          <w:sz w:val="18"/>
          <w:szCs w:val="18"/>
        </w:rPr>
        <w:t xml:space="preserve"> </w:t>
      </w:r>
      <w:r w:rsidRPr="00A05698">
        <w:rPr>
          <w:sz w:val="18"/>
          <w:szCs w:val="18"/>
        </w:rPr>
        <w:t>: http://faostat3.fao.org/home/E), et autorités bissau-guinéennes.</w:t>
      </w:r>
    </w:p>
    <w:p w:rsidR="0000011D" w:rsidRDefault="00DC40D7" w:rsidP="00083B97">
      <w:pPr>
        <w:pStyle w:val="PargrafodaLista"/>
        <w:spacing w:after="120" w:line="240" w:lineRule="auto"/>
        <w:ind w:left="1068" w:firstLine="348"/>
        <w:outlineLvl w:val="1"/>
      </w:pPr>
      <w:bookmarkStart w:id="107" w:name="_Toc73459715"/>
      <w:r>
        <w:rPr>
          <w:rFonts w:ascii="Times New Roman" w:hAnsi="Times New Roman"/>
          <w:b/>
          <w:bCs/>
          <w:sz w:val="24"/>
          <w:szCs w:val="24"/>
        </w:rPr>
        <w:t>2</w:t>
      </w:r>
      <w:r w:rsidR="0000011D" w:rsidRPr="00A05698">
        <w:rPr>
          <w:rFonts w:ascii="Times New Roman" w:hAnsi="Times New Roman"/>
          <w:b/>
          <w:bCs/>
          <w:sz w:val="24"/>
          <w:szCs w:val="24"/>
        </w:rPr>
        <w:t>.6.2 Analyse de la Situation nutritionnelle</w:t>
      </w:r>
      <w:bookmarkEnd w:id="107"/>
    </w:p>
    <w:p w:rsidR="0000011D" w:rsidRDefault="0000011D" w:rsidP="00CE7C67">
      <w:pPr>
        <w:pBdr>
          <w:top w:val="single" w:sz="4" w:space="1" w:color="auto"/>
          <w:left w:val="single" w:sz="4" w:space="4" w:color="auto"/>
          <w:bottom w:val="single" w:sz="4" w:space="1" w:color="auto"/>
          <w:right w:val="single" w:sz="4" w:space="4" w:color="auto"/>
        </w:pBdr>
        <w:jc w:val="both"/>
        <w:outlineLvl w:val="1"/>
        <w:rPr>
          <w:b/>
          <w:bCs/>
        </w:rPr>
      </w:pPr>
      <w:bookmarkStart w:id="108" w:name="_Toc67507485"/>
      <w:bookmarkStart w:id="109" w:name="_Toc67508487"/>
      <w:bookmarkStart w:id="110" w:name="_Toc69918674"/>
      <w:bookmarkStart w:id="111" w:name="_Toc73452870"/>
      <w:bookmarkStart w:id="112" w:name="_Toc73459716"/>
      <w:r>
        <w:rPr>
          <w:rFonts w:eastAsia="Calibri"/>
          <w:b/>
          <w:bCs/>
        </w:rPr>
        <w:t xml:space="preserve">Ainsi, le </w:t>
      </w:r>
      <w:r w:rsidRPr="00EF3A36">
        <w:rPr>
          <w:b/>
          <w:bCs/>
        </w:rPr>
        <w:t>Cadre Harmonisé d’analyse et d’identification des zones</w:t>
      </w:r>
      <w:r>
        <w:rPr>
          <w:b/>
          <w:bCs/>
        </w:rPr>
        <w:t xml:space="preserve"> </w:t>
      </w:r>
      <w:r w:rsidRPr="00EF3A36">
        <w:rPr>
          <w:b/>
          <w:bCs/>
        </w:rPr>
        <w:t>à risque et des populations en insécurité alimentaire au Sahel et en Afrique de l’Ouest (CH)</w:t>
      </w:r>
      <w:r>
        <w:rPr>
          <w:b/>
          <w:bCs/>
        </w:rPr>
        <w:t xml:space="preserve"> a</w:t>
      </w:r>
      <w:r w:rsidR="0014103C">
        <w:rPr>
          <w:b/>
          <w:bCs/>
        </w:rPr>
        <w:t>vait</w:t>
      </w:r>
      <w:r>
        <w:rPr>
          <w:b/>
          <w:bCs/>
        </w:rPr>
        <w:t xml:space="preserve"> effectué des analyses de la situation de l’insécurité alimentaire aigue actuelle par rapport même à la pandémie de la Covid 19 en Guinée Bissau. (Octobre à Décembre 2020)</w:t>
      </w:r>
      <w:bookmarkEnd w:id="108"/>
      <w:bookmarkEnd w:id="109"/>
      <w:bookmarkEnd w:id="110"/>
      <w:bookmarkEnd w:id="111"/>
      <w:bookmarkEnd w:id="112"/>
    </w:p>
    <w:p w:rsidR="00B852A8" w:rsidRDefault="0000011D" w:rsidP="00CE7C67">
      <w:pPr>
        <w:pBdr>
          <w:top w:val="single" w:sz="4" w:space="1" w:color="auto"/>
          <w:left w:val="single" w:sz="4" w:space="4" w:color="auto"/>
          <w:bottom w:val="single" w:sz="4" w:space="1" w:color="auto"/>
          <w:right w:val="single" w:sz="4" w:space="4" w:color="auto"/>
        </w:pBdr>
        <w:jc w:val="both"/>
        <w:rPr>
          <w:b/>
          <w:bCs/>
          <w:i/>
        </w:rPr>
      </w:pPr>
      <w:r>
        <w:rPr>
          <w:b/>
          <w:bCs/>
        </w:rPr>
        <w:t>Les résultats de l’analyse de la situation de l’insécurité alimentaire en Guinée Bissau sont représentés ci-dessous. (</w:t>
      </w:r>
      <w:r w:rsidRPr="00A72AD4">
        <w:rPr>
          <w:bCs/>
          <w:i/>
        </w:rPr>
        <w:t>Source</w:t>
      </w:r>
      <w:r w:rsidRPr="00EF3A36">
        <w:rPr>
          <w:bCs/>
          <w:i/>
        </w:rPr>
        <w:t> : la direction de service des statistiques agricoles</w:t>
      </w:r>
      <w:r>
        <w:rPr>
          <w:b/>
          <w:bCs/>
          <w:i/>
        </w:rPr>
        <w:t>)</w:t>
      </w:r>
    </w:p>
    <w:p w:rsidR="00191447" w:rsidRPr="00A05698" w:rsidRDefault="00191447" w:rsidP="00CD49EF">
      <w:pPr>
        <w:jc w:val="both"/>
      </w:pPr>
    </w:p>
    <w:p w:rsidR="00CD49EF" w:rsidRPr="00A05698" w:rsidRDefault="00CD49EF" w:rsidP="000C5831">
      <w:pPr>
        <w:ind w:left="-284"/>
        <w:jc w:val="both"/>
      </w:pPr>
      <w:r w:rsidRPr="00A05698">
        <w:t xml:space="preserve">La situation des admissions au centre de récupération nutritionnel en internement (CRENI) pour la gestion des cas de malnutrition aigüe sévère de ces 3 derniers mois sont de 250 cas contre 185 cas notés à la même période de l’année passée.   </w:t>
      </w:r>
    </w:p>
    <w:p w:rsidR="00CD49EF" w:rsidRPr="00A05698" w:rsidRDefault="00CD49EF" w:rsidP="002442FE">
      <w:pPr>
        <w:spacing w:before="120" w:after="120"/>
        <w:ind w:left="-284"/>
        <w:jc w:val="both"/>
      </w:pPr>
      <w:r w:rsidRPr="00A05698">
        <w:t xml:space="preserve">Il en est de même pour la situation des admissions au centre de récupération nutritionnel ambulatoire (CRENAG) pour la gestion des cas de la malnutrition aigüe modérée de ces 3 derniers mois qui sont de 245 cas contre 148 cas à la même période de l’année passée. </w:t>
      </w:r>
    </w:p>
    <w:p w:rsidR="00B852A8" w:rsidRPr="00A05698" w:rsidRDefault="00CD49EF" w:rsidP="00CE7C67">
      <w:pPr>
        <w:spacing w:before="120" w:after="120"/>
        <w:ind w:left="-284" w:right="-142"/>
        <w:jc w:val="both"/>
      </w:pPr>
      <w:r w:rsidRPr="00A05698">
        <w:t>Donc</w:t>
      </w:r>
      <w:r w:rsidR="000A0BCE" w:rsidRPr="00A05698">
        <w:t>,</w:t>
      </w:r>
      <w:r w:rsidRPr="00A05698">
        <w:t xml:space="preserve"> on peut considérer que les augmentations des cas de malnutrition aigüe sévère et de la malnutrition aigüe modérée peuvent être dues aux effets de la pandémie de Covid-19.</w:t>
      </w:r>
    </w:p>
    <w:p w:rsidR="00CD49EF" w:rsidRPr="00A05698" w:rsidRDefault="00BB7875" w:rsidP="00083CDB">
      <w:pPr>
        <w:pStyle w:val="PargrafodaLista"/>
        <w:spacing w:after="120" w:line="240" w:lineRule="auto"/>
        <w:ind w:left="1068" w:firstLine="348"/>
        <w:outlineLvl w:val="1"/>
        <w:rPr>
          <w:rFonts w:ascii="Times New Roman" w:hAnsi="Times New Roman"/>
          <w:b/>
          <w:bCs/>
          <w:sz w:val="24"/>
          <w:szCs w:val="24"/>
        </w:rPr>
      </w:pPr>
      <w:bookmarkStart w:id="113" w:name="_Toc73459717"/>
      <w:r>
        <w:rPr>
          <w:rFonts w:ascii="Times New Roman" w:hAnsi="Times New Roman"/>
          <w:b/>
          <w:bCs/>
          <w:sz w:val="24"/>
          <w:szCs w:val="24"/>
        </w:rPr>
        <w:t>2</w:t>
      </w:r>
      <w:r w:rsidR="00083CDB" w:rsidRPr="00A05698">
        <w:rPr>
          <w:rFonts w:ascii="Times New Roman" w:hAnsi="Times New Roman"/>
          <w:b/>
          <w:bCs/>
          <w:sz w:val="24"/>
          <w:szCs w:val="24"/>
        </w:rPr>
        <w:t xml:space="preserve">.6.2.1 </w:t>
      </w:r>
      <w:r w:rsidR="00CD49EF" w:rsidRPr="00A05698">
        <w:rPr>
          <w:rFonts w:ascii="Times New Roman" w:hAnsi="Times New Roman"/>
          <w:b/>
          <w:bCs/>
          <w:sz w:val="24"/>
          <w:szCs w:val="24"/>
        </w:rPr>
        <w:t>Analyse des indicateurs de résultats de la sécurité alimentaire/résultats</w:t>
      </w:r>
      <w:bookmarkEnd w:id="113"/>
    </w:p>
    <w:p w:rsidR="00CD49EF" w:rsidRPr="00A05698" w:rsidRDefault="00CD49EF" w:rsidP="00157035">
      <w:pPr>
        <w:pStyle w:val="PargrafodaLista"/>
        <w:numPr>
          <w:ilvl w:val="0"/>
          <w:numId w:val="40"/>
        </w:numPr>
        <w:spacing w:after="0"/>
        <w:jc w:val="both"/>
        <w:rPr>
          <w:rFonts w:ascii="Times New Roman" w:hAnsi="Times New Roman"/>
          <w:b/>
          <w:bCs/>
          <w:i/>
          <w:sz w:val="24"/>
          <w:szCs w:val="24"/>
          <w:u w:val="single"/>
        </w:rPr>
      </w:pPr>
      <w:r w:rsidRPr="00A05698">
        <w:rPr>
          <w:rFonts w:ascii="Times New Roman" w:hAnsi="Times New Roman"/>
          <w:b/>
          <w:bCs/>
          <w:i/>
          <w:sz w:val="24"/>
          <w:szCs w:val="24"/>
          <w:u w:val="single"/>
        </w:rPr>
        <w:t xml:space="preserve">Consommation alimentaire </w:t>
      </w:r>
    </w:p>
    <w:p w:rsidR="00CD49EF" w:rsidRPr="00A05698" w:rsidRDefault="00CD49EF" w:rsidP="002442FE">
      <w:pPr>
        <w:spacing w:before="120" w:after="120"/>
        <w:ind w:left="-284"/>
        <w:jc w:val="both"/>
      </w:pPr>
      <w:r w:rsidRPr="00A05698">
        <w:t xml:space="preserve">La consommation alimentaire est dans l’ensemble en dégradation du fait qu’une grande partie des ménages ont développé des stratégies négatives liées aux moyens d’existence dans presque toutes </w:t>
      </w:r>
      <w:r w:rsidR="007F3466" w:rsidRPr="00A05698">
        <w:t xml:space="preserve">les </w:t>
      </w:r>
      <w:r w:rsidRPr="00A05698">
        <w:t>régions du pays</w:t>
      </w:r>
      <w:r w:rsidR="007F3466" w:rsidRPr="00A05698">
        <w:t>. Cette baisse est consécutive,</w:t>
      </w:r>
      <w:r w:rsidRPr="00A05698">
        <w:t xml:space="preserve"> </w:t>
      </w:r>
      <w:r w:rsidR="000C5831" w:rsidRPr="00A05698">
        <w:t>aux</w:t>
      </w:r>
      <w:r w:rsidRPr="00A05698">
        <w:t xml:space="preserve"> difficultés financières notamment engendrées par la mauvaise campagne de la noix de cajou et le conte</w:t>
      </w:r>
      <w:r w:rsidR="00AD7C00" w:rsidRPr="00A05698">
        <w:t>xte d</w:t>
      </w:r>
      <w:r w:rsidR="007F3466" w:rsidRPr="00A05698">
        <w:t xml:space="preserve">e </w:t>
      </w:r>
      <w:r w:rsidR="00681BD5" w:rsidRPr="00A05698">
        <w:t>la COVID</w:t>
      </w:r>
      <w:r w:rsidR="00AD7C00" w:rsidRPr="00A05698">
        <w:t>-19</w:t>
      </w:r>
      <w:r w:rsidRPr="00A05698">
        <w:t>.</w:t>
      </w:r>
    </w:p>
    <w:p w:rsidR="00CD49EF" w:rsidRPr="00A05698" w:rsidRDefault="00CD49EF" w:rsidP="00157035">
      <w:pPr>
        <w:pStyle w:val="PargrafodaLista"/>
        <w:numPr>
          <w:ilvl w:val="0"/>
          <w:numId w:val="40"/>
        </w:numPr>
        <w:spacing w:after="0"/>
        <w:jc w:val="both"/>
        <w:rPr>
          <w:rFonts w:ascii="Times New Roman" w:hAnsi="Times New Roman"/>
          <w:b/>
          <w:bCs/>
          <w:i/>
          <w:sz w:val="24"/>
          <w:szCs w:val="24"/>
          <w:u w:val="single"/>
        </w:rPr>
      </w:pPr>
      <w:r w:rsidRPr="00A05698">
        <w:rPr>
          <w:rFonts w:ascii="Times New Roman" w:hAnsi="Times New Roman"/>
          <w:b/>
          <w:bCs/>
          <w:i/>
          <w:sz w:val="24"/>
          <w:szCs w:val="24"/>
          <w:u w:val="single"/>
        </w:rPr>
        <w:t>Évolution des moyens d’existence</w:t>
      </w:r>
    </w:p>
    <w:p w:rsidR="00CD49EF" w:rsidRPr="00A05698" w:rsidRDefault="00CD49EF" w:rsidP="00F867D4">
      <w:pPr>
        <w:spacing w:before="120" w:after="120"/>
        <w:ind w:left="-284" w:right="-142"/>
        <w:jc w:val="both"/>
      </w:pPr>
      <w:r w:rsidRPr="00A05698">
        <w:t xml:space="preserve">On note une nette détérioration des moyens d’existence dans le pays avec une dégradation des conditions de vie des ménages les plus pauvres. </w:t>
      </w:r>
    </w:p>
    <w:p w:rsidR="0000011D" w:rsidRPr="000F5902" w:rsidRDefault="00BB7875" w:rsidP="000F5902">
      <w:pPr>
        <w:pStyle w:val="PargrafodaLista"/>
        <w:spacing w:after="360" w:line="240" w:lineRule="auto"/>
        <w:ind w:left="1068" w:firstLine="348"/>
        <w:outlineLvl w:val="1"/>
        <w:rPr>
          <w:rFonts w:ascii="Times New Roman" w:hAnsi="Times New Roman"/>
          <w:b/>
          <w:bCs/>
          <w:sz w:val="24"/>
          <w:szCs w:val="24"/>
        </w:rPr>
      </w:pPr>
      <w:bookmarkStart w:id="114" w:name="_Toc73459718"/>
      <w:r>
        <w:rPr>
          <w:rFonts w:ascii="Times New Roman" w:hAnsi="Times New Roman"/>
          <w:b/>
          <w:bCs/>
          <w:sz w:val="24"/>
          <w:szCs w:val="24"/>
        </w:rPr>
        <w:t>2</w:t>
      </w:r>
      <w:r w:rsidR="007E3046" w:rsidRPr="00A05698">
        <w:rPr>
          <w:rFonts w:ascii="Times New Roman" w:hAnsi="Times New Roman"/>
          <w:b/>
          <w:bCs/>
          <w:sz w:val="24"/>
          <w:szCs w:val="24"/>
        </w:rPr>
        <w:t>.6.3</w:t>
      </w:r>
      <w:r w:rsidR="00F867D4" w:rsidRPr="00A05698">
        <w:rPr>
          <w:rFonts w:ascii="Times New Roman" w:hAnsi="Times New Roman"/>
          <w:b/>
          <w:bCs/>
          <w:sz w:val="24"/>
          <w:szCs w:val="24"/>
        </w:rPr>
        <w:t xml:space="preserve"> </w:t>
      </w:r>
      <w:r w:rsidR="007E3046" w:rsidRPr="00A05698">
        <w:rPr>
          <w:rFonts w:ascii="Times New Roman" w:hAnsi="Times New Roman"/>
          <w:b/>
          <w:bCs/>
          <w:sz w:val="24"/>
          <w:szCs w:val="24"/>
        </w:rPr>
        <w:t>E</w:t>
      </w:r>
      <w:r w:rsidR="00F867D4" w:rsidRPr="00A05698">
        <w:rPr>
          <w:rFonts w:ascii="Times New Roman" w:hAnsi="Times New Roman"/>
          <w:b/>
          <w:bCs/>
          <w:sz w:val="24"/>
          <w:szCs w:val="24"/>
        </w:rPr>
        <w:t>valuation de l’insécurité alimentaire (cadre harmonisé)</w:t>
      </w:r>
      <w:bookmarkEnd w:id="114"/>
    </w:p>
    <w:p w:rsidR="00CD49EF" w:rsidRPr="00A05698" w:rsidRDefault="007E3046" w:rsidP="00F01E9D">
      <w:pPr>
        <w:pStyle w:val="PargrafodaLista"/>
        <w:spacing w:after="120" w:line="240" w:lineRule="auto"/>
        <w:ind w:left="1068" w:firstLine="348"/>
        <w:outlineLvl w:val="1"/>
        <w:rPr>
          <w:rFonts w:ascii="Times New Roman" w:hAnsi="Times New Roman"/>
          <w:b/>
          <w:bCs/>
          <w:sz w:val="22"/>
          <w:szCs w:val="22"/>
        </w:rPr>
      </w:pPr>
      <w:r w:rsidRPr="00A05698">
        <w:rPr>
          <w:rFonts w:ascii="Times New Roman" w:hAnsi="Times New Roman"/>
          <w:b/>
          <w:bCs/>
          <w:sz w:val="22"/>
          <w:szCs w:val="22"/>
        </w:rPr>
        <w:t xml:space="preserve">            </w:t>
      </w:r>
      <w:bookmarkStart w:id="115" w:name="_Toc73459719"/>
      <w:r w:rsidR="00BB7875">
        <w:rPr>
          <w:rFonts w:ascii="Times New Roman" w:hAnsi="Times New Roman"/>
          <w:b/>
          <w:bCs/>
          <w:sz w:val="22"/>
          <w:szCs w:val="22"/>
        </w:rPr>
        <w:t>2</w:t>
      </w:r>
      <w:r w:rsidR="005033A6" w:rsidRPr="00A05698">
        <w:rPr>
          <w:rFonts w:ascii="Times New Roman" w:hAnsi="Times New Roman"/>
          <w:b/>
          <w:bCs/>
          <w:sz w:val="22"/>
          <w:szCs w:val="22"/>
        </w:rPr>
        <w:t xml:space="preserve">.6.3.1 </w:t>
      </w:r>
      <w:r w:rsidR="00CD49EF" w:rsidRPr="00A05698">
        <w:rPr>
          <w:rFonts w:ascii="Times New Roman" w:hAnsi="Times New Roman"/>
          <w:b/>
          <w:bCs/>
          <w:sz w:val="22"/>
          <w:szCs w:val="22"/>
        </w:rPr>
        <w:t>Rappel de la méthodologie utilisée</w:t>
      </w:r>
      <w:bookmarkEnd w:id="115"/>
      <w:r w:rsidR="00CD49EF" w:rsidRPr="00A05698">
        <w:rPr>
          <w:rFonts w:ascii="Times New Roman" w:hAnsi="Times New Roman"/>
          <w:b/>
          <w:bCs/>
          <w:sz w:val="22"/>
          <w:szCs w:val="22"/>
        </w:rPr>
        <w:t xml:space="preserve"> </w:t>
      </w:r>
    </w:p>
    <w:p w:rsidR="00CD49EF" w:rsidRPr="00A05698" w:rsidRDefault="00CD49EF" w:rsidP="005033A6">
      <w:pPr>
        <w:spacing w:before="120" w:after="120"/>
        <w:ind w:left="-284" w:right="-142"/>
        <w:jc w:val="both"/>
      </w:pPr>
      <w:r w:rsidRPr="00A05698">
        <w:t>Sous la coordination de la Direction des Statistiques Agricoles et du CONACILSS, tous les acteurs nationaux et internationaux de la place ont été conviés à prendre part à ce cycle d’analyse du CH en Guinée-Bissau. Tous les acteurs ont été invités également à fournir les données (preuves) de leurs secteurs respectifs.</w:t>
      </w:r>
    </w:p>
    <w:p w:rsidR="00CD49EF" w:rsidRPr="00A05698" w:rsidRDefault="00CD49EF" w:rsidP="0069038B">
      <w:pPr>
        <w:spacing w:before="120" w:after="120"/>
        <w:ind w:left="-284" w:right="-142"/>
        <w:jc w:val="both"/>
      </w:pPr>
      <w:r w:rsidRPr="00A05698">
        <w:t xml:space="preserve">L’exercice a débuté par une formation sur les procédures de collecte des données et de remplissage de la nouvelle matrice intermédiaire et du nouveau tableur du Cadre harmonisé. </w:t>
      </w:r>
      <w:r w:rsidRPr="004D1BD0">
        <w:t>Ensuite, les participants ont été</w:t>
      </w:r>
      <w:r w:rsidRPr="00A05698">
        <w:t xml:space="preserve"> regroupés dans les mêmes groupes définis lors de l’exercice passé du mois de novembre 2020. Il n’a pas été possible de recueillir des données au niveau secteur, ce qui a amené les équipes à travailler au niveau région (N1). </w:t>
      </w:r>
    </w:p>
    <w:p w:rsidR="000C5831" w:rsidRPr="00A05698" w:rsidRDefault="00353598" w:rsidP="00083B97">
      <w:pPr>
        <w:spacing w:before="120" w:after="120"/>
        <w:ind w:left="-284" w:right="-142"/>
        <w:jc w:val="both"/>
      </w:pPr>
      <w:r w:rsidRPr="00A05698">
        <w:t xml:space="preserve"> </w:t>
      </w:r>
      <w:r w:rsidR="00CD49EF" w:rsidRPr="00A05698">
        <w:t>Pour l’analyse, les données des indicateurs des résultats utilisés sont issues des enquêtes S</w:t>
      </w:r>
      <w:r w:rsidR="00460312">
        <w:t>I</w:t>
      </w:r>
      <w:r w:rsidR="00CD49EF" w:rsidRPr="00A05698">
        <w:t>SSAN. Les données des facteurs contributifs proviennent des rapports du GTP, de la Mission conjointe d’évaluation des récoltes, de suivi des marchés par le PAM, du suivi des admissions dans les centres de récupération nutritionnelle, de la protection civile pour les inondations, etc.</w:t>
      </w:r>
    </w:p>
    <w:p w:rsidR="00CD49EF" w:rsidRPr="00A05698" w:rsidRDefault="00BB7875" w:rsidP="002F649C">
      <w:pPr>
        <w:pStyle w:val="PargrafodaLista"/>
        <w:spacing w:after="120" w:line="240" w:lineRule="auto"/>
        <w:ind w:left="1701" w:firstLine="348"/>
        <w:outlineLvl w:val="1"/>
        <w:rPr>
          <w:rFonts w:ascii="Times New Roman" w:hAnsi="Times New Roman"/>
          <w:b/>
          <w:bCs/>
          <w:sz w:val="22"/>
          <w:szCs w:val="22"/>
        </w:rPr>
      </w:pPr>
      <w:bookmarkStart w:id="116" w:name="_Toc73459720"/>
      <w:r>
        <w:rPr>
          <w:rFonts w:ascii="Times New Roman" w:hAnsi="Times New Roman"/>
          <w:b/>
          <w:bCs/>
          <w:sz w:val="22"/>
          <w:szCs w:val="22"/>
        </w:rPr>
        <w:t>2</w:t>
      </w:r>
      <w:r w:rsidR="009775D5" w:rsidRPr="00A05698">
        <w:rPr>
          <w:rFonts w:ascii="Times New Roman" w:hAnsi="Times New Roman"/>
          <w:b/>
          <w:bCs/>
          <w:sz w:val="22"/>
          <w:szCs w:val="22"/>
        </w:rPr>
        <w:t>.</w:t>
      </w:r>
      <w:r w:rsidR="00CD49EF" w:rsidRPr="00A05698">
        <w:rPr>
          <w:rFonts w:ascii="Times New Roman" w:hAnsi="Times New Roman"/>
          <w:b/>
          <w:bCs/>
          <w:sz w:val="22"/>
          <w:szCs w:val="22"/>
        </w:rPr>
        <w:t>6.</w:t>
      </w:r>
      <w:r>
        <w:rPr>
          <w:rFonts w:ascii="Times New Roman" w:hAnsi="Times New Roman"/>
          <w:b/>
          <w:bCs/>
          <w:sz w:val="22"/>
          <w:szCs w:val="22"/>
        </w:rPr>
        <w:t>2</w:t>
      </w:r>
      <w:r w:rsidR="00905D9C">
        <w:rPr>
          <w:rFonts w:ascii="Times New Roman" w:hAnsi="Times New Roman"/>
          <w:b/>
          <w:bCs/>
          <w:sz w:val="22"/>
          <w:szCs w:val="22"/>
        </w:rPr>
        <w:t>.</w:t>
      </w:r>
      <w:r w:rsidR="00CD49EF" w:rsidRPr="00A05698">
        <w:rPr>
          <w:rFonts w:ascii="Times New Roman" w:hAnsi="Times New Roman"/>
          <w:b/>
          <w:bCs/>
          <w:sz w:val="22"/>
          <w:szCs w:val="22"/>
        </w:rPr>
        <w:t xml:space="preserve">2. </w:t>
      </w:r>
      <w:r w:rsidR="00BF3603" w:rsidRPr="00A05698">
        <w:rPr>
          <w:rFonts w:ascii="Times New Roman" w:hAnsi="Times New Roman"/>
          <w:b/>
          <w:bCs/>
          <w:sz w:val="22"/>
          <w:szCs w:val="22"/>
        </w:rPr>
        <w:t>Situation courante</w:t>
      </w:r>
      <w:r w:rsidR="00CD49EF" w:rsidRPr="00A05698">
        <w:rPr>
          <w:rFonts w:ascii="Times New Roman" w:hAnsi="Times New Roman"/>
          <w:b/>
          <w:bCs/>
          <w:sz w:val="22"/>
          <w:szCs w:val="22"/>
        </w:rPr>
        <w:t xml:space="preserve"> et projetée</w:t>
      </w:r>
      <w:bookmarkEnd w:id="116"/>
    </w:p>
    <w:p w:rsidR="00CD49EF" w:rsidRPr="00A05698" w:rsidRDefault="00CD49EF" w:rsidP="00BF3603">
      <w:pPr>
        <w:spacing w:before="120" w:after="120"/>
        <w:ind w:left="-284" w:right="-142"/>
        <w:jc w:val="both"/>
      </w:pPr>
      <w:r w:rsidRPr="00A05698">
        <w:t xml:space="preserve">L’analyse </w:t>
      </w:r>
      <w:r w:rsidR="00076101" w:rsidRPr="00A05698">
        <w:t xml:space="preserve">du </w:t>
      </w:r>
      <w:r w:rsidRPr="00A05698">
        <w:t>Cadre Harmonisé en Guinée-Bissau fait ressortir les résultats suivants :</w:t>
      </w:r>
    </w:p>
    <w:p w:rsidR="00CD49EF" w:rsidRPr="00A05698" w:rsidRDefault="00CD49EF" w:rsidP="001F6724">
      <w:pPr>
        <w:spacing w:before="120" w:after="120"/>
        <w:ind w:left="-284" w:right="-142"/>
        <w:jc w:val="both"/>
      </w:pPr>
      <w:r w:rsidRPr="00A05698">
        <w:t>En phase courante (octobre à décembre 2020), 2 régions (Bafata et Bolama)) sur 8 analysées a été classées en phase 3 (IA crise) et 5 régions en phase 2 (IA sous pression) et une région (Quinara) en minimale (</w:t>
      </w:r>
      <w:r w:rsidRPr="004D1BD0">
        <w:rPr>
          <w:i/>
          <w:iCs/>
        </w:rPr>
        <w:t>cf. carte 1</w:t>
      </w:r>
      <w:r w:rsidRPr="00A05698">
        <w:t xml:space="preserve">) ; tandis qu’en situation projetée (Juin à Août 2021), 1 région (Bolama) sur 8 </w:t>
      </w:r>
      <w:r w:rsidR="00076101" w:rsidRPr="00A05698">
        <w:t>analysées</w:t>
      </w:r>
      <w:r w:rsidRPr="00A05698">
        <w:t xml:space="preserve"> serait en phase 3 (IA crise), 6 régions en phase 2 (IA sous pression) et 1 région (Cacheu) en p</w:t>
      </w:r>
      <w:r w:rsidR="008B3A25" w:rsidRPr="00A05698">
        <w:t>hase 1 (IA minimale) cf. carte ci-dessous</w:t>
      </w:r>
      <w:r w:rsidRPr="00A05698">
        <w:t>.</w:t>
      </w:r>
    </w:p>
    <w:p w:rsidR="00CD49EF" w:rsidRDefault="00CD49EF" w:rsidP="001F6724">
      <w:pPr>
        <w:spacing w:before="120" w:after="120"/>
        <w:ind w:left="-284" w:right="-142"/>
        <w:jc w:val="both"/>
      </w:pPr>
      <w:r w:rsidRPr="00A05698">
        <w:t>En situation courante (octobre à décembre 2020), environ 153.132</w:t>
      </w:r>
      <w:r w:rsidRPr="00A05698" w:rsidDel="00480232">
        <w:t xml:space="preserve"> </w:t>
      </w:r>
      <w:r w:rsidRPr="00A05698">
        <w:t>personnes (soit 12% des personnes analysées) sont estimées en phase crise et plus. Ces personnes auront besoin d’assistance alimentaire immédiate. 465.200</w:t>
      </w:r>
      <w:r w:rsidRPr="00A05698" w:rsidDel="00480232">
        <w:t xml:space="preserve"> </w:t>
      </w:r>
      <w:r w:rsidRPr="00A05698">
        <w:t>personnes (soit 36,4%) sont en insécurité alimentaire sous pression, elles ont besoin de programmes de renforcement de leur résilience pour éviter qu’elles ne basculent en crise.</w:t>
      </w:r>
    </w:p>
    <w:p w:rsidR="00211435" w:rsidRPr="00A05698" w:rsidRDefault="00211435" w:rsidP="00211435">
      <w:pPr>
        <w:pStyle w:val="PargrafodaLista"/>
        <w:ind w:left="142" w:hanging="142"/>
        <w:jc w:val="center"/>
        <w:rPr>
          <w:rFonts w:ascii="Times New Roman" w:hAnsi="Times New Roman"/>
          <w:sz w:val="24"/>
          <w:szCs w:val="24"/>
        </w:rPr>
      </w:pPr>
      <w:r w:rsidRPr="00083B97">
        <w:rPr>
          <w:rFonts w:ascii="Times New Roman" w:hAnsi="Times New Roman"/>
          <w:noProof/>
          <w:lang w:val="pt-PT" w:eastAsia="pt-PT"/>
        </w:rPr>
        <w:drawing>
          <wp:inline distT="0" distB="0" distL="0" distR="0" wp14:anchorId="0127339D" wp14:editId="57F3C46F">
            <wp:extent cx="6514532" cy="3184833"/>
            <wp:effectExtent l="0" t="0" r="0" b="0"/>
            <wp:docPr id="10" name="Image 10" descr="Guinee Bissau_Courante_Octobre_Décembre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nee Bissau_Courante_Octobre_Décembre_20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5149" cy="3219356"/>
                    </a:xfrm>
                    <a:prstGeom prst="rect">
                      <a:avLst/>
                    </a:prstGeom>
                    <a:noFill/>
                    <a:ln>
                      <a:noFill/>
                    </a:ln>
                  </pic:spPr>
                </pic:pic>
              </a:graphicData>
            </a:graphic>
          </wp:inline>
        </w:drawing>
      </w:r>
    </w:p>
    <w:p w:rsidR="00211435" w:rsidRPr="009247AD" w:rsidRDefault="00211435" w:rsidP="00211435">
      <w:pPr>
        <w:pStyle w:val="PargrafodaLista"/>
        <w:ind w:left="142" w:hanging="142"/>
        <w:jc w:val="center"/>
        <w:rPr>
          <w:rFonts w:ascii="Times New Roman" w:hAnsi="Times New Roman"/>
          <w:b/>
        </w:rPr>
      </w:pPr>
      <w:bookmarkStart w:id="117" w:name="_Toc73522783"/>
      <w:r w:rsidRPr="009247AD">
        <w:rPr>
          <w:rFonts w:ascii="Times New Roman" w:hAnsi="Times New Roman"/>
          <w:b/>
        </w:rPr>
        <w:t xml:space="preserve">Figure </w:t>
      </w:r>
      <w:r w:rsidRPr="009247AD">
        <w:rPr>
          <w:rFonts w:ascii="Times New Roman" w:hAnsi="Times New Roman"/>
          <w:b/>
        </w:rPr>
        <w:fldChar w:fldCharType="begin"/>
      </w:r>
      <w:r w:rsidRPr="009247AD">
        <w:rPr>
          <w:rFonts w:ascii="Times New Roman" w:hAnsi="Times New Roman"/>
          <w:b/>
        </w:rPr>
        <w:instrText xml:space="preserve"> </w:instrText>
      </w:r>
      <w:r w:rsidR="006C5620">
        <w:rPr>
          <w:rFonts w:ascii="Times New Roman" w:hAnsi="Times New Roman"/>
          <w:b/>
        </w:rPr>
        <w:instrText>SEQ</w:instrText>
      </w:r>
      <w:r w:rsidRPr="009247AD">
        <w:rPr>
          <w:rFonts w:ascii="Times New Roman" w:hAnsi="Times New Roman"/>
          <w:b/>
        </w:rPr>
        <w:instrText xml:space="preserve"> Figure \* ARABIC </w:instrText>
      </w:r>
      <w:r w:rsidRPr="009247AD">
        <w:rPr>
          <w:rFonts w:ascii="Times New Roman" w:hAnsi="Times New Roman"/>
          <w:b/>
        </w:rPr>
        <w:fldChar w:fldCharType="separate"/>
      </w:r>
      <w:r w:rsidR="00BB7875">
        <w:rPr>
          <w:rFonts w:ascii="Times New Roman" w:hAnsi="Times New Roman"/>
          <w:b/>
          <w:noProof/>
        </w:rPr>
        <w:t>1</w:t>
      </w:r>
      <w:r w:rsidRPr="009247AD">
        <w:rPr>
          <w:rFonts w:ascii="Times New Roman" w:hAnsi="Times New Roman"/>
          <w:b/>
          <w:noProof/>
        </w:rPr>
        <w:fldChar w:fldCharType="end"/>
      </w:r>
      <w:r w:rsidRPr="009247AD">
        <w:rPr>
          <w:rFonts w:ascii="Times New Roman" w:hAnsi="Times New Roman"/>
          <w:b/>
          <w:noProof/>
        </w:rPr>
        <w:t> : S</w:t>
      </w:r>
      <w:r w:rsidRPr="009247AD">
        <w:rPr>
          <w:rFonts w:ascii="Times New Roman" w:hAnsi="Times New Roman"/>
          <w:b/>
        </w:rPr>
        <w:t>ituation alimentaire et nutritionnelle courante en Guinée Bissau</w:t>
      </w:r>
      <w:bookmarkEnd w:id="117"/>
    </w:p>
    <w:p w:rsidR="00735B1C" w:rsidRPr="00A05698" w:rsidRDefault="007C37B9" w:rsidP="006423E2">
      <w:pPr>
        <w:pStyle w:val="PargrafodaLista"/>
        <w:spacing w:after="120" w:line="240" w:lineRule="auto"/>
        <w:ind w:left="1701" w:firstLine="348"/>
        <w:outlineLvl w:val="1"/>
        <w:rPr>
          <w:rFonts w:ascii="Times New Roman" w:hAnsi="Times New Roman"/>
          <w:b/>
          <w:bCs/>
          <w:sz w:val="22"/>
          <w:szCs w:val="22"/>
        </w:rPr>
      </w:pPr>
      <w:bookmarkStart w:id="118" w:name="_Toc73459721"/>
      <w:r w:rsidRPr="006423E2">
        <w:rPr>
          <w:rFonts w:ascii="Times New Roman" w:hAnsi="Times New Roman"/>
          <w:b/>
          <w:bCs/>
          <w:noProof/>
          <w:sz w:val="22"/>
          <w:szCs w:val="22"/>
          <w:lang w:val="pt-PT" w:eastAsia="pt-PT"/>
        </w:rPr>
        <w:drawing>
          <wp:anchor distT="0" distB="0" distL="114300" distR="114300" simplePos="0" relativeHeight="251658320" behindDoc="0" locked="0" layoutInCell="1" allowOverlap="1" wp14:anchorId="3DC3AB38" wp14:editId="168C60EF">
            <wp:simplePos x="0" y="0"/>
            <wp:positionH relativeFrom="column">
              <wp:posOffset>-432435</wp:posOffset>
            </wp:positionH>
            <wp:positionV relativeFrom="paragraph">
              <wp:posOffset>227330</wp:posOffset>
            </wp:positionV>
            <wp:extent cx="6936740" cy="4342765"/>
            <wp:effectExtent l="0" t="0" r="0" b="635"/>
            <wp:wrapTight wrapText="bothSides">
              <wp:wrapPolygon edited="0">
                <wp:start x="0" y="0"/>
                <wp:lineTo x="0" y="21477"/>
                <wp:lineTo x="21513" y="21477"/>
                <wp:lineTo x="21513"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3">
                      <a:extLst>
                        <a:ext uri="{28A0092B-C50C-407E-A947-70E740481C1C}">
                          <a14:useLocalDpi xmlns:a14="http://schemas.microsoft.com/office/drawing/2010/main" val="0"/>
                        </a:ext>
                      </a:extLst>
                    </a:blip>
                    <a:srcRect r="40176"/>
                    <a:stretch/>
                  </pic:blipFill>
                  <pic:spPr bwMode="auto">
                    <a:xfrm>
                      <a:off x="0" y="0"/>
                      <a:ext cx="6936740" cy="43427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B7875">
        <w:rPr>
          <w:rFonts w:ascii="Times New Roman" w:hAnsi="Times New Roman"/>
          <w:b/>
          <w:bCs/>
          <w:sz w:val="22"/>
          <w:szCs w:val="22"/>
        </w:rPr>
        <w:t>2.6.2</w:t>
      </w:r>
      <w:r w:rsidR="006423E2">
        <w:rPr>
          <w:rFonts w:ascii="Times New Roman" w:hAnsi="Times New Roman"/>
          <w:b/>
          <w:bCs/>
          <w:sz w:val="22"/>
          <w:szCs w:val="22"/>
        </w:rPr>
        <w:t>.3</w:t>
      </w:r>
      <w:r w:rsidR="00735B1C" w:rsidRPr="00A05698">
        <w:rPr>
          <w:rFonts w:ascii="Times New Roman" w:hAnsi="Times New Roman"/>
          <w:b/>
          <w:bCs/>
          <w:sz w:val="22"/>
          <w:szCs w:val="22"/>
        </w:rPr>
        <w:t>. Estimation des populations</w:t>
      </w:r>
      <w:r w:rsidR="00456D8C">
        <w:rPr>
          <w:rFonts w:ascii="Times New Roman" w:hAnsi="Times New Roman"/>
          <w:b/>
          <w:bCs/>
          <w:sz w:val="22"/>
          <w:szCs w:val="22"/>
        </w:rPr>
        <w:t xml:space="preserve"> en situation courante</w:t>
      </w:r>
      <w:bookmarkEnd w:id="118"/>
    </w:p>
    <w:p w:rsidR="00211435" w:rsidRPr="00083B97" w:rsidRDefault="00BB7875" w:rsidP="00083B97">
      <w:pPr>
        <w:pStyle w:val="PargrafodaLista"/>
        <w:spacing w:after="120" w:line="240" w:lineRule="auto"/>
        <w:ind w:left="1068" w:firstLine="348"/>
        <w:outlineLvl w:val="1"/>
        <w:rPr>
          <w:b/>
          <w:bCs/>
          <w:sz w:val="22"/>
          <w:szCs w:val="22"/>
        </w:rPr>
      </w:pPr>
      <w:bookmarkStart w:id="119" w:name="_Toc73459722"/>
      <w:r>
        <w:rPr>
          <w:rFonts w:ascii="Times New Roman" w:hAnsi="Times New Roman"/>
          <w:b/>
          <w:bCs/>
          <w:sz w:val="22"/>
          <w:szCs w:val="22"/>
        </w:rPr>
        <w:t>2</w:t>
      </w:r>
      <w:r w:rsidR="00735B1C" w:rsidRPr="00A05698">
        <w:rPr>
          <w:rFonts w:ascii="Times New Roman" w:hAnsi="Times New Roman"/>
          <w:b/>
          <w:bCs/>
          <w:sz w:val="22"/>
          <w:szCs w:val="22"/>
        </w:rPr>
        <w:t>.</w:t>
      </w:r>
      <w:r>
        <w:rPr>
          <w:rFonts w:ascii="Times New Roman" w:hAnsi="Times New Roman"/>
          <w:b/>
          <w:bCs/>
          <w:sz w:val="22"/>
          <w:szCs w:val="22"/>
        </w:rPr>
        <w:t>6.2</w:t>
      </w:r>
      <w:r w:rsidR="006423E2">
        <w:rPr>
          <w:rFonts w:ascii="Times New Roman" w:hAnsi="Times New Roman"/>
          <w:b/>
          <w:bCs/>
          <w:sz w:val="22"/>
          <w:szCs w:val="22"/>
        </w:rPr>
        <w:t>.4</w:t>
      </w:r>
      <w:r w:rsidR="00735B1C" w:rsidRPr="00A05698">
        <w:rPr>
          <w:rFonts w:ascii="Times New Roman" w:hAnsi="Times New Roman"/>
          <w:b/>
          <w:bCs/>
          <w:sz w:val="22"/>
          <w:szCs w:val="22"/>
        </w:rPr>
        <w:t>. Situation projetée</w:t>
      </w:r>
      <w:bookmarkEnd w:id="119"/>
    </w:p>
    <w:p w:rsidR="00CD49EF" w:rsidRPr="00A05698" w:rsidRDefault="00CD49EF" w:rsidP="001F6724">
      <w:pPr>
        <w:spacing w:before="120" w:after="120"/>
        <w:ind w:left="-284" w:right="-142"/>
        <w:jc w:val="both"/>
      </w:pPr>
      <w:r w:rsidRPr="00A05698">
        <w:t>En situation projetée (juin à août 2021), le nombre de populations en Insécurité Alimentaire Crise et plus est de 95.899 personnes (soit 7,5% de la population totale analysée). Tandis que celles en Insécurité Alimentaire Sous pression est de 372.894 personnes (29,2% de la population totale analysée), elles auront besoin des programmes de renforcement de leur résilience pour éviter qu’elles ne basculent en crise.</w:t>
      </w:r>
    </w:p>
    <w:p w:rsidR="000C5831" w:rsidRPr="00A05698" w:rsidRDefault="00AA43DD" w:rsidP="000C5831">
      <w:pPr>
        <w:spacing w:before="120" w:after="120"/>
        <w:ind w:left="-284" w:right="-142"/>
        <w:jc w:val="both"/>
      </w:pPr>
      <w:r w:rsidRPr="00A05698">
        <w:rPr>
          <w:noProof/>
          <w:sz w:val="20"/>
          <w:szCs w:val="20"/>
          <w:lang w:val="pt-PT" w:eastAsia="pt-PT"/>
        </w:rPr>
        <w:drawing>
          <wp:inline distT="0" distB="0" distL="0" distR="0" wp14:anchorId="226F5F48" wp14:editId="25A71850">
            <wp:extent cx="6603796" cy="3070533"/>
            <wp:effectExtent l="0" t="0" r="635" b="3175"/>
            <wp:docPr id="452" name="Image 452" descr="Guinee Bissau_projetee_Juin-Aout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nee Bissau_projetee_Juin-Aout_20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8625" cy="3096027"/>
                    </a:xfrm>
                    <a:prstGeom prst="rect">
                      <a:avLst/>
                    </a:prstGeom>
                    <a:noFill/>
                    <a:ln>
                      <a:noFill/>
                    </a:ln>
                  </pic:spPr>
                </pic:pic>
              </a:graphicData>
            </a:graphic>
          </wp:inline>
        </w:drawing>
      </w:r>
    </w:p>
    <w:p w:rsidR="004A218C" w:rsidRPr="00681BD5" w:rsidRDefault="006B07CE" w:rsidP="006B07CE">
      <w:pPr>
        <w:spacing w:before="120" w:after="120"/>
        <w:ind w:left="-284" w:right="-142"/>
        <w:jc w:val="center"/>
        <w:rPr>
          <w:sz w:val="20"/>
          <w:szCs w:val="20"/>
        </w:rPr>
      </w:pPr>
      <w:bookmarkStart w:id="120" w:name="_Toc73522784"/>
      <w:r w:rsidRPr="00681BD5">
        <w:rPr>
          <w:b/>
          <w:sz w:val="20"/>
          <w:szCs w:val="20"/>
        </w:rPr>
        <w:t xml:space="preserve">Figure </w:t>
      </w:r>
      <w:r w:rsidRPr="00681BD5">
        <w:rPr>
          <w:b/>
          <w:sz w:val="20"/>
          <w:szCs w:val="20"/>
        </w:rPr>
        <w:fldChar w:fldCharType="begin"/>
      </w:r>
      <w:r w:rsidRPr="00681BD5">
        <w:rPr>
          <w:b/>
          <w:sz w:val="20"/>
          <w:szCs w:val="20"/>
        </w:rPr>
        <w:instrText xml:space="preserve"> </w:instrText>
      </w:r>
      <w:r w:rsidR="006C5620">
        <w:rPr>
          <w:b/>
          <w:sz w:val="20"/>
          <w:szCs w:val="20"/>
        </w:rPr>
        <w:instrText>SEQ</w:instrText>
      </w:r>
      <w:r w:rsidRPr="00681BD5">
        <w:rPr>
          <w:b/>
          <w:sz w:val="20"/>
          <w:szCs w:val="20"/>
        </w:rPr>
        <w:instrText xml:space="preserve"> Figure \* ARABIC </w:instrText>
      </w:r>
      <w:r w:rsidRPr="00681BD5">
        <w:rPr>
          <w:b/>
          <w:sz w:val="20"/>
          <w:szCs w:val="20"/>
        </w:rPr>
        <w:fldChar w:fldCharType="separate"/>
      </w:r>
      <w:r w:rsidR="00BB7875">
        <w:rPr>
          <w:b/>
          <w:noProof/>
          <w:sz w:val="20"/>
          <w:szCs w:val="20"/>
        </w:rPr>
        <w:t>2</w:t>
      </w:r>
      <w:r w:rsidRPr="00681BD5">
        <w:rPr>
          <w:b/>
          <w:noProof/>
          <w:sz w:val="20"/>
          <w:szCs w:val="20"/>
        </w:rPr>
        <w:fldChar w:fldCharType="end"/>
      </w:r>
      <w:r w:rsidRPr="00681BD5">
        <w:rPr>
          <w:b/>
          <w:noProof/>
          <w:sz w:val="20"/>
          <w:szCs w:val="20"/>
        </w:rPr>
        <w:t xml:space="preserve"> : </w:t>
      </w:r>
      <w:r w:rsidR="004A218C" w:rsidRPr="00681BD5">
        <w:rPr>
          <w:b/>
          <w:sz w:val="20"/>
          <w:szCs w:val="20"/>
        </w:rPr>
        <w:t>situation alimentaire et nutritionnelle projetée en Guinée Bissau</w:t>
      </w:r>
      <w:bookmarkEnd w:id="120"/>
    </w:p>
    <w:bookmarkStart w:id="121" w:name="_Toc73459723"/>
    <w:p w:rsidR="00CD49EF" w:rsidRPr="00A05698" w:rsidRDefault="00E31F0B" w:rsidP="00EA0EFE">
      <w:pPr>
        <w:pStyle w:val="PargrafodaLista"/>
        <w:spacing w:after="120" w:line="240" w:lineRule="auto"/>
        <w:ind w:left="1068" w:firstLine="348"/>
        <w:outlineLvl w:val="1"/>
        <w:rPr>
          <w:rFonts w:ascii="Times New Roman" w:hAnsi="Times New Roman"/>
          <w:b/>
          <w:bCs/>
          <w:sz w:val="22"/>
          <w:szCs w:val="22"/>
        </w:rPr>
      </w:pPr>
      <w:r>
        <w:rPr>
          <w:rFonts w:ascii="Times New Roman" w:hAnsi="Times New Roman"/>
          <w:noProof/>
          <w:sz w:val="24"/>
          <w:szCs w:val="24"/>
          <w:lang w:val="pt-PT" w:eastAsia="pt-PT"/>
        </w:rPr>
        <mc:AlternateContent>
          <mc:Choice Requires="wpg">
            <w:drawing>
              <wp:anchor distT="0" distB="0" distL="114300" distR="114300" simplePos="0" relativeHeight="251658321" behindDoc="0" locked="0" layoutInCell="1" allowOverlap="1" wp14:anchorId="165C6FA9" wp14:editId="73345B84">
                <wp:simplePos x="0" y="0"/>
                <wp:positionH relativeFrom="column">
                  <wp:posOffset>-581025</wp:posOffset>
                </wp:positionH>
                <wp:positionV relativeFrom="paragraph">
                  <wp:posOffset>217170</wp:posOffset>
                </wp:positionV>
                <wp:extent cx="7085330" cy="3428365"/>
                <wp:effectExtent l="0" t="0" r="1270" b="635"/>
                <wp:wrapThrough wrapText="bothSides">
                  <wp:wrapPolygon edited="0">
                    <wp:start x="0" y="0"/>
                    <wp:lineTo x="0" y="21444"/>
                    <wp:lineTo x="21526" y="21444"/>
                    <wp:lineTo x="21526" y="8322"/>
                    <wp:lineTo x="21372" y="7681"/>
                    <wp:lineTo x="21526" y="7681"/>
                    <wp:lineTo x="21526" y="0"/>
                    <wp:lineTo x="0" y="0"/>
                  </wp:wrapPolygon>
                </wp:wrapThrough>
                <wp:docPr id="22" name="Grouper 22"/>
                <wp:cNvGraphicFramePr/>
                <a:graphic xmlns:a="http://schemas.openxmlformats.org/drawingml/2006/main">
                  <a:graphicData uri="http://schemas.microsoft.com/office/word/2010/wordprocessingGroup">
                    <wpg:wgp>
                      <wpg:cNvGrpSpPr/>
                      <wpg:grpSpPr>
                        <a:xfrm>
                          <a:off x="0" y="0"/>
                          <a:ext cx="7085330" cy="3428365"/>
                          <a:chOff x="0" y="0"/>
                          <a:chExt cx="3747400" cy="2654300"/>
                        </a:xfrm>
                      </wpg:grpSpPr>
                      <pic:pic xmlns:pic="http://schemas.openxmlformats.org/drawingml/2006/picture">
                        <pic:nvPicPr>
                          <pic:cNvPr id="61" name="Image 61"/>
                          <pic:cNvPicPr>
                            <a:picLocks noChangeAspect="1"/>
                          </pic:cNvPicPr>
                        </pic:nvPicPr>
                        <pic:blipFill rotWithShape="1">
                          <a:blip r:embed="rId23">
                            <a:extLst>
                              <a:ext uri="{28A0092B-C50C-407E-A947-70E740481C1C}">
                                <a14:useLocalDpi xmlns:a14="http://schemas.microsoft.com/office/drawing/2010/main" val="0"/>
                              </a:ext>
                            </a:extLst>
                          </a:blip>
                          <a:srcRect l="59503"/>
                          <a:stretch/>
                        </pic:blipFill>
                        <pic:spPr bwMode="auto">
                          <a:xfrm>
                            <a:off x="1063255" y="0"/>
                            <a:ext cx="2684145" cy="26543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0" name="Image 20"/>
                          <pic:cNvPicPr>
                            <a:picLocks noChangeAspect="1"/>
                          </pic:cNvPicPr>
                        </pic:nvPicPr>
                        <pic:blipFill rotWithShape="1">
                          <a:blip r:embed="rId23">
                            <a:extLst>
                              <a:ext uri="{28A0092B-C50C-407E-A947-70E740481C1C}">
                                <a14:useLocalDpi xmlns:a14="http://schemas.microsoft.com/office/drawing/2010/main" val="0"/>
                              </a:ext>
                            </a:extLst>
                          </a:blip>
                          <a:srcRect r="83160"/>
                          <a:stretch/>
                        </pic:blipFill>
                        <pic:spPr bwMode="auto">
                          <a:xfrm>
                            <a:off x="0" y="0"/>
                            <a:ext cx="1116330" cy="26543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group w14:anchorId="234035E5" id="Grouper 22" o:spid="_x0000_s1026" style="position:absolute;margin-left:-45.75pt;margin-top:17.1pt;width:557.9pt;height:269.95pt;z-index:251658321;mso-width-relative:margin;mso-height-relative:margin" coordsize="37474,265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">
                <v:shape id="Image 61" o:spid="_x0000_s1027" type="#_x0000_t75" style="position:absolute;left:10632;width:26842;height:2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">
                  <v:imagedata r:id="rId28" o:title="" cropleft="38996f"/>
                  <v:path arrowok="t"/>
                </v:shape>
                <v:shape id="Image 20" o:spid="_x0000_s1028" type="#_x0000_t75" style="position:absolute;width:11163;height:2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">
                  <v:imagedata r:id="rId28" o:title="" cropright="54500f"/>
                  <v:path arrowok="t"/>
                </v:shape>
                <w10:wrap type="through"/>
              </v:group>
            </w:pict>
          </mc:Fallback>
        </mc:AlternateContent>
      </w:r>
      <w:r w:rsidR="00BB7875">
        <w:rPr>
          <w:rFonts w:ascii="Times New Roman" w:hAnsi="Times New Roman"/>
          <w:b/>
          <w:bCs/>
          <w:sz w:val="22"/>
          <w:szCs w:val="22"/>
        </w:rPr>
        <w:t>2</w:t>
      </w:r>
      <w:r w:rsidR="004A218C" w:rsidRPr="00A05698">
        <w:rPr>
          <w:rFonts w:ascii="Times New Roman" w:hAnsi="Times New Roman"/>
          <w:b/>
          <w:bCs/>
          <w:sz w:val="22"/>
          <w:szCs w:val="22"/>
        </w:rPr>
        <w:t>.</w:t>
      </w:r>
      <w:r w:rsidR="00BB7875">
        <w:rPr>
          <w:rFonts w:ascii="Times New Roman" w:hAnsi="Times New Roman"/>
          <w:b/>
          <w:bCs/>
          <w:sz w:val="22"/>
          <w:szCs w:val="22"/>
        </w:rPr>
        <w:t>6.2</w:t>
      </w:r>
      <w:r w:rsidR="00EB27BB">
        <w:rPr>
          <w:rFonts w:ascii="Times New Roman" w:hAnsi="Times New Roman"/>
          <w:b/>
          <w:bCs/>
          <w:sz w:val="22"/>
          <w:szCs w:val="22"/>
        </w:rPr>
        <w:t>.5</w:t>
      </w:r>
      <w:r w:rsidR="00CD49EF" w:rsidRPr="00A05698">
        <w:rPr>
          <w:rFonts w:ascii="Times New Roman" w:hAnsi="Times New Roman"/>
          <w:b/>
          <w:bCs/>
          <w:sz w:val="22"/>
          <w:szCs w:val="22"/>
        </w:rPr>
        <w:t>. Estimation des populations</w:t>
      </w:r>
      <w:r w:rsidR="0089262E">
        <w:rPr>
          <w:rFonts w:ascii="Times New Roman" w:hAnsi="Times New Roman"/>
          <w:b/>
          <w:bCs/>
          <w:sz w:val="22"/>
          <w:szCs w:val="22"/>
        </w:rPr>
        <w:t xml:space="preserve"> en situation projetée </w:t>
      </w:r>
      <w:r w:rsidR="00D660CB" w:rsidRPr="00A05698">
        <w:t>(</w:t>
      </w:r>
      <w:r w:rsidR="00D660CB" w:rsidRPr="00083B97">
        <w:rPr>
          <w:b/>
        </w:rPr>
        <w:t>juin à août 2021)</w:t>
      </w:r>
      <w:bookmarkEnd w:id="121"/>
    </w:p>
    <w:p w:rsidR="00EB27BB" w:rsidRDefault="00EB27BB" w:rsidP="00CE7C67">
      <w:pPr>
        <w:pStyle w:val="PargrafodaLista"/>
        <w:spacing w:after="120" w:line="240" w:lineRule="auto"/>
        <w:ind w:left="1068" w:firstLine="348"/>
        <w:outlineLvl w:val="1"/>
        <w:rPr>
          <w:rFonts w:ascii="Times New Roman" w:hAnsi="Times New Roman"/>
          <w:b/>
          <w:bCs/>
          <w:sz w:val="24"/>
          <w:szCs w:val="24"/>
        </w:rPr>
      </w:pPr>
    </w:p>
    <w:p w:rsidR="00CD49EF" w:rsidRPr="00A05698" w:rsidRDefault="00BB7875" w:rsidP="00CE7C67">
      <w:pPr>
        <w:pStyle w:val="PargrafodaLista"/>
        <w:spacing w:after="120" w:line="240" w:lineRule="auto"/>
        <w:ind w:left="1068" w:firstLine="348"/>
        <w:outlineLvl w:val="1"/>
        <w:rPr>
          <w:rFonts w:ascii="Times New Roman" w:hAnsi="Times New Roman"/>
          <w:b/>
          <w:bCs/>
          <w:sz w:val="24"/>
          <w:szCs w:val="24"/>
        </w:rPr>
      </w:pPr>
      <w:bookmarkStart w:id="122" w:name="_Toc73459724"/>
      <w:r>
        <w:rPr>
          <w:rFonts w:ascii="Times New Roman" w:hAnsi="Times New Roman"/>
          <w:b/>
          <w:bCs/>
          <w:sz w:val="24"/>
          <w:szCs w:val="24"/>
        </w:rPr>
        <w:t>2</w:t>
      </w:r>
      <w:r w:rsidR="00EE5F92">
        <w:rPr>
          <w:rFonts w:ascii="Times New Roman" w:hAnsi="Times New Roman"/>
          <w:b/>
          <w:bCs/>
          <w:sz w:val="24"/>
          <w:szCs w:val="24"/>
        </w:rPr>
        <w:t>.6.3</w:t>
      </w:r>
      <w:r w:rsidR="00CD49EF" w:rsidRPr="00A05698">
        <w:rPr>
          <w:rFonts w:ascii="Times New Roman" w:hAnsi="Times New Roman"/>
          <w:b/>
          <w:bCs/>
          <w:sz w:val="24"/>
          <w:szCs w:val="24"/>
        </w:rPr>
        <w:t xml:space="preserve"> </w:t>
      </w:r>
      <w:r w:rsidR="00EB27BB">
        <w:rPr>
          <w:rFonts w:ascii="Times New Roman" w:hAnsi="Times New Roman"/>
          <w:b/>
          <w:bCs/>
          <w:sz w:val="24"/>
          <w:szCs w:val="24"/>
        </w:rPr>
        <w:t>D</w:t>
      </w:r>
      <w:r w:rsidR="00EB27BB" w:rsidRPr="00A05698">
        <w:rPr>
          <w:rFonts w:ascii="Times New Roman" w:hAnsi="Times New Roman"/>
          <w:b/>
          <w:bCs/>
          <w:sz w:val="24"/>
          <w:szCs w:val="24"/>
        </w:rPr>
        <w:t>étermination des zones à risque</w:t>
      </w:r>
      <w:bookmarkEnd w:id="122"/>
      <w:r w:rsidR="00EB27BB" w:rsidRPr="00A05698">
        <w:rPr>
          <w:rFonts w:ascii="Times New Roman" w:hAnsi="Times New Roman"/>
          <w:b/>
          <w:bCs/>
          <w:sz w:val="24"/>
          <w:szCs w:val="24"/>
        </w:rPr>
        <w:t xml:space="preserve"> </w:t>
      </w:r>
    </w:p>
    <w:p w:rsidR="00CD49EF" w:rsidRPr="00A05698" w:rsidRDefault="00CD49EF" w:rsidP="008E6ECB">
      <w:pPr>
        <w:spacing w:before="120" w:after="120"/>
        <w:ind w:left="-284" w:right="-142"/>
        <w:jc w:val="both"/>
      </w:pPr>
      <w:r w:rsidRPr="00A05698">
        <w:t xml:space="preserve">Les cas d’inondations ont été observées dans les régions de Cacheu, Oio, Bafata, Tombali et Quinara dues au débordement des fleuves en conséquence des fortes pluies enregistrées au cours des mois de juillet, août et septembre 2020. </w:t>
      </w:r>
    </w:p>
    <w:p w:rsidR="00CD49EF" w:rsidRDefault="00CD49EF" w:rsidP="008E6ECB">
      <w:pPr>
        <w:spacing w:before="120" w:after="120"/>
        <w:ind w:left="-284" w:right="-142"/>
        <w:jc w:val="both"/>
      </w:pPr>
      <w:r w:rsidRPr="00A05698">
        <w:t xml:space="preserve">Pour le moment, les zones </w:t>
      </w:r>
      <w:r w:rsidR="00076101" w:rsidRPr="00A05698">
        <w:t>inondées</w:t>
      </w:r>
      <w:r w:rsidRPr="00A05698">
        <w:t xml:space="preserve"> ont été identifiées comme zones à risque. Néanmoins, il faut suivre ces zones inondées dans les régions de Cacheu, Oio, Bafata, Tombali et Quinara face à une éventuelle chute des productions agricoles et dégradation des conditions de vies des populations.</w:t>
      </w:r>
    </w:p>
    <w:p w:rsidR="00B805ED" w:rsidRDefault="00B805ED"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345951" w:rsidRDefault="00345951" w:rsidP="008E6ECB">
      <w:pPr>
        <w:spacing w:before="120" w:after="120"/>
        <w:ind w:left="-284" w:right="-142"/>
        <w:jc w:val="both"/>
      </w:pPr>
    </w:p>
    <w:p w:rsidR="00B805ED" w:rsidRPr="00A05698" w:rsidRDefault="00B805ED" w:rsidP="00B805ED">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right="-142"/>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3" w:name="_Toc73459725"/>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CADRE POLITIQUE, JURIDIQUE ET INSTITUTIONNEL</w:t>
      </w:r>
      <w:bookmarkEnd w:id="123"/>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B805ED" w:rsidRPr="00A05698" w:rsidRDefault="00B805ED" w:rsidP="00B805ED">
      <w:pPr>
        <w:ind w:right="-283"/>
        <w:jc w:val="both"/>
        <w:rPr>
          <w:color w:val="000000"/>
        </w:rPr>
      </w:pPr>
    </w:p>
    <w:p w:rsidR="00B805ED" w:rsidRPr="00A05698" w:rsidRDefault="00B805ED" w:rsidP="00B805ED">
      <w:pPr>
        <w:spacing w:before="120" w:after="120"/>
        <w:ind w:left="-284" w:right="-142"/>
        <w:jc w:val="both"/>
        <w:rPr>
          <w:spacing w:val="-2"/>
        </w:rPr>
      </w:pPr>
      <w:r w:rsidRPr="00A05698">
        <w:rPr>
          <w:spacing w:val="-2"/>
        </w:rPr>
        <w:t>Sur le plan national, il existe des documents sur la déclaration de politique sectorielle dans le</w:t>
      </w:r>
      <w:r w:rsidRPr="00A05698">
        <w:rPr>
          <w:spacing w:val="-2"/>
        </w:rPr>
        <w:br/>
        <w:t xml:space="preserve">domaine de l’agriculture, sur le plan environnemental et social. Le cadre institutionnel et les normes de la Banque Mondiale et de la FAO en lien avec les composantes du projet PUSA seront les aspects abordés dans ce chapitre. </w:t>
      </w:r>
    </w:p>
    <w:p w:rsidR="00B805ED" w:rsidRPr="00A05698" w:rsidRDefault="00B805ED" w:rsidP="00B805ED">
      <w:pPr>
        <w:pStyle w:val="PargrafodaLista"/>
        <w:numPr>
          <w:ilvl w:val="1"/>
          <w:numId w:val="99"/>
        </w:numPr>
        <w:spacing w:after="120" w:line="240" w:lineRule="auto"/>
        <w:outlineLvl w:val="1"/>
        <w:rPr>
          <w:rFonts w:ascii="Times New Roman" w:hAnsi="Times New Roman"/>
          <w:b/>
          <w:bCs/>
          <w:sz w:val="24"/>
          <w:szCs w:val="24"/>
        </w:rPr>
      </w:pPr>
      <w:bookmarkStart w:id="124" w:name="_Toc73459726"/>
      <w:r w:rsidRPr="00A05698">
        <w:rPr>
          <w:rFonts w:ascii="Times New Roman" w:hAnsi="Times New Roman"/>
          <w:b/>
          <w:bCs/>
          <w:sz w:val="24"/>
          <w:szCs w:val="24"/>
        </w:rPr>
        <w:t>CADRE POLITIQUE</w:t>
      </w:r>
      <w:bookmarkEnd w:id="124"/>
      <w:r w:rsidRPr="00A05698">
        <w:rPr>
          <w:rFonts w:ascii="Times New Roman" w:hAnsi="Times New Roman"/>
          <w:b/>
          <w:bCs/>
          <w:sz w:val="24"/>
          <w:szCs w:val="24"/>
        </w:rPr>
        <w:t xml:space="preserve"> </w:t>
      </w:r>
    </w:p>
    <w:p w:rsidR="00B805ED" w:rsidRPr="00A05698" w:rsidRDefault="00B805ED" w:rsidP="00B805ED">
      <w:pPr>
        <w:spacing w:before="120" w:after="120"/>
        <w:ind w:left="-284" w:right="-142"/>
        <w:jc w:val="both"/>
        <w:rPr>
          <w:spacing w:val="-2"/>
        </w:rPr>
      </w:pPr>
      <w:r w:rsidRPr="00A05698">
        <w:rPr>
          <w:spacing w:val="-2"/>
        </w:rPr>
        <w:t>Sur le plan national, nous avons exploité le document de déclaration de politique sectorielle dans le domaine de l’agriculture.</w:t>
      </w:r>
    </w:p>
    <w:p w:rsidR="00B805ED" w:rsidRPr="00A05698" w:rsidRDefault="00B805ED" w:rsidP="00B805ED">
      <w:pPr>
        <w:pStyle w:val="PargrafodaLista"/>
        <w:numPr>
          <w:ilvl w:val="2"/>
          <w:numId w:val="99"/>
        </w:numPr>
        <w:spacing w:after="120" w:line="240" w:lineRule="auto"/>
        <w:outlineLvl w:val="1"/>
        <w:rPr>
          <w:rFonts w:ascii="Times New Roman" w:hAnsi="Times New Roman"/>
          <w:b/>
          <w:bCs/>
          <w:sz w:val="24"/>
          <w:szCs w:val="24"/>
        </w:rPr>
      </w:pPr>
      <w:bookmarkStart w:id="125" w:name="_Toc73459727"/>
      <w:r w:rsidRPr="00A05698">
        <w:rPr>
          <w:rFonts w:ascii="Times New Roman" w:hAnsi="Times New Roman"/>
          <w:b/>
          <w:bCs/>
          <w:sz w:val="24"/>
          <w:szCs w:val="24"/>
        </w:rPr>
        <w:t>Documents de Politique dans le secteur de l’agriculture</w:t>
      </w:r>
      <w:bookmarkEnd w:id="125"/>
    </w:p>
    <w:p w:rsidR="00B805ED" w:rsidRPr="00083B97" w:rsidRDefault="00B805ED" w:rsidP="00B805ED">
      <w:pPr>
        <w:pStyle w:val="Textodecomentrio"/>
      </w:pPr>
      <w:r w:rsidRPr="00A05698">
        <w:rPr>
          <w:b/>
          <w:lang w:eastAsia="en-US"/>
        </w:rPr>
        <w:t xml:space="preserve">La Lettre de Politique de Développement Agricole (LPDA) </w:t>
      </w:r>
      <w:r>
        <w:rPr>
          <w:b/>
          <w:lang w:eastAsia="en-US"/>
        </w:rPr>
        <w:t>(</w:t>
      </w:r>
      <w:r w:rsidRPr="001F2701">
        <w:rPr>
          <w:b/>
          <w:sz w:val="24"/>
          <w:szCs w:val="24"/>
          <w:lang w:eastAsia="en-US"/>
        </w:rPr>
        <w:t>Carta de política de desenvolvimento agrícola</w:t>
      </w:r>
      <w:r w:rsidRPr="001F2701">
        <w:rPr>
          <w:b/>
          <w:lang w:eastAsia="en-US"/>
        </w:rPr>
        <w:t xml:space="preserve">, </w:t>
      </w:r>
      <w:r w:rsidRPr="00083B97">
        <w:rPr>
          <w:b/>
        </w:rPr>
        <w:t>élaborée en avril 2002)</w:t>
      </w:r>
      <w:r>
        <w:rPr>
          <w:b/>
        </w:rPr>
        <w:t> </w:t>
      </w:r>
    </w:p>
    <w:p w:rsidR="00B805ED" w:rsidRPr="00A05698" w:rsidRDefault="00B805ED" w:rsidP="00B805ED">
      <w:pPr>
        <w:spacing w:before="120" w:after="120"/>
        <w:ind w:left="-284" w:right="-142"/>
        <w:jc w:val="both"/>
        <w:rPr>
          <w:spacing w:val="-2"/>
        </w:rPr>
      </w:pPr>
      <w:r w:rsidRPr="00A05698">
        <w:rPr>
          <w:spacing w:val="-2"/>
        </w:rPr>
        <w:t xml:space="preserve">Le Gouvernement Bissau-guinéen a élaboré la LPDA dont la mise en œuvre a démarré en 1989 et de son Plan d ́Action adopté depuis 1997. Sur cette base, le gouvernement a entrepris un certain nombre d’actions notamment dans le cadre du Programme Spécial pour la Sécurité Alimentaire (PSSA) et le Programme Régional pour la Sécurité Alimentaire (PRSA). </w:t>
      </w:r>
    </w:p>
    <w:p w:rsidR="00B805ED" w:rsidRPr="00A05698" w:rsidRDefault="00B805ED" w:rsidP="00B805ED">
      <w:pPr>
        <w:spacing w:before="120" w:after="120"/>
        <w:ind w:left="-284" w:right="-142"/>
        <w:jc w:val="both"/>
        <w:rPr>
          <w:spacing w:val="-2"/>
        </w:rPr>
      </w:pPr>
      <w:r w:rsidRPr="00A05698">
        <w:rPr>
          <w:spacing w:val="-2"/>
        </w:rPr>
        <w:t xml:space="preserve">Les objectifs généraux du Gouvernement en matière de politique agricole sont les suivants : (i) garantir la sécurité alimentaire ; (ii) augmenter et diversifier les exportations agricoles ; (iii) assurer la gestion rationnelle et la préservation des ressources agro-sylvo-pastorales et ; (iv) améliorer le cadre de vie des populations rurales. Ces quatre objectifs impliquent : (i) la croissance de la production alimentaire per capita, (ii) le renforcement de la disponibilité des produits alimentaires (marchés, stockage...) ; (iii) l’amélioration des revenus des populations et de l’accès financier aux produits alimentaires ; (iv) la préservation du capital national de ressources naturelles (forêts, sols, eau, pêche) par un niveau approprié d’exploitation. </w:t>
      </w:r>
    </w:p>
    <w:p w:rsidR="00B805ED" w:rsidRPr="00A05698" w:rsidRDefault="00B805ED" w:rsidP="00B805ED">
      <w:pPr>
        <w:pStyle w:val="Listadecont"/>
        <w:numPr>
          <w:ilvl w:val="0"/>
          <w:numId w:val="102"/>
        </w:numPr>
        <w:rPr>
          <w:b/>
          <w:lang w:eastAsia="en-US"/>
        </w:rPr>
      </w:pPr>
      <w:r w:rsidRPr="00A05698">
        <w:rPr>
          <w:b/>
          <w:lang w:eastAsia="en-US"/>
        </w:rPr>
        <w:t xml:space="preserve">La Stratégie agricole </w:t>
      </w:r>
    </w:p>
    <w:p w:rsidR="00B805ED" w:rsidRDefault="00B805ED" w:rsidP="00B805ED">
      <w:pPr>
        <w:spacing w:before="120" w:after="120"/>
        <w:ind w:left="-284" w:right="-142"/>
        <w:jc w:val="both"/>
        <w:rPr>
          <w:spacing w:val="-2"/>
        </w:rPr>
      </w:pPr>
      <w:r w:rsidRPr="00A05698">
        <w:rPr>
          <w:spacing w:val="-2"/>
        </w:rPr>
        <w:t xml:space="preserve">La stratégie agricole a été élaborée dans un contexte marqué par une dynamique d’intégration avec l’adhésion des pays de l’UEMOA. Elaborée en 2009 pour une période d’exécution jusqu’en 2015, elle constitue le cadre de référence de la politique suivie dans le domaine de l’élevage. En adéquation avec le document de DSRP, la stratégie repose sur quatre axes : (i) renforcement de la gouvernance, modernisation de l’administration publique et assurance de la stabilité macroéconomique ; (ii) promotion de la croissance économique et création d’emplois ; (iii) augmentation de l’accès aux services sociaux et aux infrastructures de base ; et (iv) amélioration des conditions de vie des groupes vulnérables. </w:t>
      </w:r>
    </w:p>
    <w:p w:rsidR="00B805ED" w:rsidRPr="00083B97" w:rsidRDefault="00B805ED" w:rsidP="00B805ED">
      <w:pPr>
        <w:spacing w:before="120" w:after="120"/>
        <w:ind w:left="-284" w:right="-142"/>
        <w:jc w:val="both"/>
        <w:rPr>
          <w:i/>
          <w:spacing w:val="-2"/>
          <w:sz w:val="21"/>
          <w:szCs w:val="21"/>
        </w:rPr>
      </w:pPr>
      <w:r w:rsidRPr="00083B97">
        <w:rPr>
          <w:i/>
          <w:spacing w:val="-2"/>
          <w:sz w:val="21"/>
          <w:szCs w:val="21"/>
        </w:rPr>
        <w:t>Source : MARD</w:t>
      </w:r>
    </w:p>
    <w:p w:rsidR="00B805ED" w:rsidRPr="00A05698" w:rsidRDefault="00B805ED" w:rsidP="00B805ED">
      <w:pPr>
        <w:pStyle w:val="PargrafodaLista"/>
        <w:numPr>
          <w:ilvl w:val="2"/>
          <w:numId w:val="99"/>
        </w:numPr>
        <w:spacing w:after="120" w:line="240" w:lineRule="auto"/>
        <w:outlineLvl w:val="1"/>
        <w:rPr>
          <w:rFonts w:ascii="Times New Roman" w:hAnsi="Times New Roman"/>
          <w:b/>
          <w:bCs/>
          <w:sz w:val="24"/>
          <w:szCs w:val="24"/>
        </w:rPr>
      </w:pPr>
      <w:bookmarkStart w:id="126" w:name="_Toc73459728"/>
      <w:r w:rsidRPr="00A05698">
        <w:rPr>
          <w:rFonts w:ascii="Times New Roman" w:hAnsi="Times New Roman"/>
          <w:b/>
          <w:bCs/>
          <w:sz w:val="24"/>
          <w:szCs w:val="24"/>
        </w:rPr>
        <w:t>Documents de Politiques et de Stratégies Environnementales et Sociales</w:t>
      </w:r>
      <w:bookmarkEnd w:id="126"/>
    </w:p>
    <w:p w:rsidR="00B805ED" w:rsidRPr="00A05698" w:rsidRDefault="00B805ED" w:rsidP="00B805ED">
      <w:pPr>
        <w:spacing w:before="120" w:after="120"/>
        <w:ind w:left="-284" w:right="-142"/>
        <w:jc w:val="both"/>
      </w:pPr>
      <w:r w:rsidRPr="00A05698">
        <w:rPr>
          <w:spacing w:val="-2"/>
        </w:rPr>
        <w:t xml:space="preserve">Le Gouvernement Bissau-guinéen dispose de plusieurs documents de stratégie environnementale et sociale dont les plus essentiels </w:t>
      </w:r>
      <w:r>
        <w:rPr>
          <w:spacing w:val="-2"/>
        </w:rPr>
        <w:t xml:space="preserve">pour cette </w:t>
      </w:r>
      <w:r w:rsidRPr="00A05698">
        <w:rPr>
          <w:spacing w:val="-2"/>
        </w:rPr>
        <w:t>présent</w:t>
      </w:r>
      <w:r>
        <w:rPr>
          <w:spacing w:val="-2"/>
        </w:rPr>
        <w:t>e étude</w:t>
      </w:r>
      <w:r w:rsidRPr="00A05698">
        <w:rPr>
          <w:spacing w:val="-2"/>
        </w:rPr>
        <w:t xml:space="preserve"> du projet de PUSA sont : </w:t>
      </w:r>
    </w:p>
    <w:p w:rsidR="00B805ED" w:rsidRPr="00083B97" w:rsidRDefault="00B805ED" w:rsidP="00B805ED">
      <w:pPr>
        <w:numPr>
          <w:ilvl w:val="0"/>
          <w:numId w:val="41"/>
        </w:numPr>
        <w:spacing w:after="200"/>
        <w:ind w:left="1985" w:right="-283" w:hanging="425"/>
        <w:contextualSpacing/>
        <w:rPr>
          <w:b/>
          <w:lang w:bidi="fr-FR"/>
        </w:rPr>
      </w:pPr>
      <w:r w:rsidRPr="00A05698">
        <w:rPr>
          <w:b/>
          <w:lang w:bidi="fr-FR"/>
        </w:rPr>
        <w:t>Le plan national de gestion environnementale (PNGE)</w:t>
      </w:r>
      <w:r>
        <w:rPr>
          <w:b/>
          <w:lang w:bidi="fr-FR"/>
        </w:rPr>
        <w:t xml:space="preserve"> (</w:t>
      </w:r>
      <w:r w:rsidRPr="008712A1">
        <w:rPr>
          <w:b/>
          <w:lang w:val="pt-PT" w:bidi="fr-FR"/>
        </w:rPr>
        <w:t>O plano nacional de gestão ambiental (PNGE)</w:t>
      </w:r>
    </w:p>
    <w:p w:rsidR="00B805ED" w:rsidRPr="00A05698" w:rsidRDefault="00B805ED" w:rsidP="00B805ED">
      <w:pPr>
        <w:spacing w:before="120" w:after="120"/>
        <w:ind w:left="-284"/>
        <w:jc w:val="both"/>
        <w:rPr>
          <w:spacing w:val="-2"/>
        </w:rPr>
      </w:pPr>
      <w:r w:rsidRPr="00A05698">
        <w:rPr>
          <w:spacing w:val="-2"/>
        </w:rPr>
        <w:t>Cet instrument stratégique d´orientation pour la mise en œuvre de la politique Environnementale, propose dans ses objectifs généraux, que la politique nationale de gestion environnementale puisse contribuer au développement socio-économique durable et soutenable du pays.  En effet, le plan se base sur la recherche des solutions afin de garantir la sécurité alimentaire, l´éradication de la pauvreté, le contrôle des pollutions et l’assainissement.</w:t>
      </w:r>
    </w:p>
    <w:p w:rsidR="00B805ED" w:rsidRPr="00A05698" w:rsidRDefault="00B805ED" w:rsidP="00B805ED">
      <w:pPr>
        <w:spacing w:before="120" w:after="120"/>
        <w:ind w:left="-284"/>
        <w:jc w:val="both"/>
        <w:rPr>
          <w:spacing w:val="-2"/>
        </w:rPr>
      </w:pPr>
      <w:r w:rsidRPr="00A05698">
        <w:rPr>
          <w:spacing w:val="-2"/>
        </w:rPr>
        <w:t xml:space="preserve">Dans ses objectifs spécifiques, les aspects suivants sont visés : </w:t>
      </w:r>
    </w:p>
    <w:p w:rsidR="00B805ED" w:rsidRPr="00A05698" w:rsidRDefault="00B805ED" w:rsidP="00B805ED">
      <w:pPr>
        <w:pStyle w:val="PargrafodaLista"/>
        <w:numPr>
          <w:ilvl w:val="0"/>
          <w:numId w:val="46"/>
        </w:numPr>
        <w:autoSpaceDE w:val="0"/>
        <w:autoSpaceDN w:val="0"/>
        <w:adjustRightInd w:val="0"/>
        <w:spacing w:line="240" w:lineRule="auto"/>
        <w:ind w:left="851"/>
        <w:jc w:val="both"/>
        <w:rPr>
          <w:rFonts w:ascii="Times New Roman" w:hAnsi="Times New Roman"/>
          <w:sz w:val="24"/>
          <w:szCs w:val="24"/>
        </w:rPr>
      </w:pPr>
      <w:r w:rsidRPr="00A05698">
        <w:rPr>
          <w:rFonts w:ascii="Times New Roman" w:hAnsi="Times New Roman"/>
          <w:sz w:val="24"/>
          <w:szCs w:val="24"/>
        </w:rPr>
        <w:t>dans le cadre de la gestion participative, développer et appuyer la mise en place d´une gestion décentralisée et participative des ressources naturelles ;</w:t>
      </w:r>
    </w:p>
    <w:p w:rsidR="00B805ED" w:rsidRPr="00A05698" w:rsidRDefault="00B805ED" w:rsidP="00B805ED">
      <w:pPr>
        <w:pStyle w:val="PargrafodaLista"/>
        <w:numPr>
          <w:ilvl w:val="0"/>
          <w:numId w:val="46"/>
        </w:numPr>
        <w:autoSpaceDE w:val="0"/>
        <w:autoSpaceDN w:val="0"/>
        <w:adjustRightInd w:val="0"/>
        <w:spacing w:line="240" w:lineRule="auto"/>
        <w:ind w:left="851"/>
        <w:jc w:val="both"/>
        <w:rPr>
          <w:rFonts w:ascii="Times New Roman" w:hAnsi="Times New Roman"/>
          <w:sz w:val="24"/>
          <w:szCs w:val="24"/>
        </w:rPr>
      </w:pPr>
      <w:r w:rsidRPr="00A05698">
        <w:rPr>
          <w:rFonts w:ascii="Times New Roman" w:hAnsi="Times New Roman"/>
          <w:sz w:val="24"/>
          <w:szCs w:val="24"/>
        </w:rPr>
        <w:t>appuyer les différentes associations de base, ainsi que d´autres partenaires, pour pouvoir jouer un rôle prépondérant dans la gestion des ressources naturelles.</w:t>
      </w:r>
    </w:p>
    <w:p w:rsidR="00B805ED" w:rsidRPr="00A05698" w:rsidRDefault="00B805ED" w:rsidP="00B805ED">
      <w:pPr>
        <w:spacing w:before="120" w:after="120"/>
        <w:ind w:left="-284"/>
        <w:jc w:val="both"/>
        <w:rPr>
          <w:spacing w:val="-2"/>
        </w:rPr>
      </w:pPr>
      <w:r w:rsidRPr="00A05698">
        <w:rPr>
          <w:spacing w:val="-2"/>
        </w:rPr>
        <w:t xml:space="preserve">Un autre rôle, non moins important, concerne l´obligation à la réalisation d´étude d´impact environnemental au niveau de tous les projets susceptibles d´avoir une répercussion sur </w:t>
      </w:r>
      <w:r w:rsidRPr="004F369B">
        <w:rPr>
          <w:spacing w:val="-2"/>
        </w:rPr>
        <w:t>l’environnement</w:t>
      </w:r>
      <w:r w:rsidRPr="00291DC0">
        <w:rPr>
          <w:spacing w:val="-2"/>
        </w:rPr>
        <w:t xml:space="preserve"> et </w:t>
      </w:r>
      <w:r w:rsidRPr="00083B97">
        <w:t>la nécessite d’obtenir des pe</w:t>
      </w:r>
      <w:r w:rsidRPr="00291DC0">
        <w:t>rmis s’il y a des constructions</w:t>
      </w:r>
      <w:r>
        <w:t>.</w:t>
      </w:r>
    </w:p>
    <w:p w:rsidR="00B805ED" w:rsidRPr="00A05698" w:rsidRDefault="00B805ED" w:rsidP="00B805ED">
      <w:pPr>
        <w:pStyle w:val="PargrafodaLista"/>
        <w:numPr>
          <w:ilvl w:val="0"/>
          <w:numId w:val="41"/>
        </w:numPr>
        <w:spacing w:line="240" w:lineRule="auto"/>
        <w:ind w:left="1985" w:right="-283" w:hanging="425"/>
        <w:rPr>
          <w:rFonts w:ascii="Times New Roman" w:hAnsi="Times New Roman"/>
          <w:b/>
          <w:sz w:val="24"/>
          <w:szCs w:val="24"/>
          <w:lang w:bidi="fr-FR"/>
        </w:rPr>
      </w:pPr>
      <w:r w:rsidRPr="00A05698">
        <w:rPr>
          <w:rFonts w:ascii="Times New Roman" w:hAnsi="Times New Roman"/>
          <w:b/>
          <w:sz w:val="24"/>
          <w:szCs w:val="24"/>
          <w:lang w:bidi="fr-FR"/>
        </w:rPr>
        <w:t>La Stratégie nationale et le plan d’action pour la conservation de la diversité biologie</w:t>
      </w:r>
      <w:r>
        <w:rPr>
          <w:rFonts w:ascii="Times New Roman" w:hAnsi="Times New Roman"/>
          <w:b/>
          <w:sz w:val="24"/>
          <w:szCs w:val="24"/>
          <w:lang w:bidi="fr-FR"/>
        </w:rPr>
        <w:t xml:space="preserve"> (</w:t>
      </w:r>
      <w:r w:rsidRPr="001F2701">
        <w:rPr>
          <w:rFonts w:ascii="Times New Roman" w:hAnsi="Times New Roman"/>
          <w:b/>
          <w:sz w:val="24"/>
          <w:szCs w:val="24"/>
          <w:lang w:bidi="fr-FR"/>
        </w:rPr>
        <w:t>A Estratégia Nacional e o Plano de Ação para a Conservação da Diversidade Biológica)</w:t>
      </w:r>
    </w:p>
    <w:p w:rsidR="00B805ED" w:rsidRPr="00A05698" w:rsidRDefault="00B805ED" w:rsidP="00B805ED">
      <w:pPr>
        <w:pStyle w:val="Cabealho7"/>
        <w:rPr>
          <w:sz w:val="24"/>
        </w:rPr>
      </w:pPr>
      <w:r w:rsidRPr="00A05698">
        <w:rPr>
          <w:sz w:val="24"/>
        </w:rPr>
        <w:t>La stratégie nationale</w:t>
      </w:r>
    </w:p>
    <w:p w:rsidR="00B805ED" w:rsidRPr="00A05698" w:rsidRDefault="00B805ED" w:rsidP="00B805ED">
      <w:pPr>
        <w:spacing w:before="120" w:after="120"/>
        <w:ind w:left="-284"/>
        <w:jc w:val="both"/>
        <w:rPr>
          <w:spacing w:val="-2"/>
        </w:rPr>
      </w:pPr>
      <w:r w:rsidRPr="00A05698">
        <w:rPr>
          <w:spacing w:val="-2"/>
        </w:rPr>
        <w:t>La Guinée-Bissau est un pays dans lequel les ressources biologiques constituent le support principal de l’économie nationale et où les tendances pour leur dégradation deviennent alarmantes. Cela étant, il impo</w:t>
      </w:r>
      <w:r>
        <w:rPr>
          <w:spacing w:val="-2"/>
        </w:rPr>
        <w:t>rte</w:t>
      </w:r>
      <w:r w:rsidRPr="00A05698">
        <w:rPr>
          <w:spacing w:val="-2"/>
        </w:rPr>
        <w:t xml:space="preserve"> de connaître les raisons, les solutions à préconiser et le type de recommandations à faire pour la conservation de la biodiversité. Ce</w:t>
      </w:r>
      <w:r>
        <w:rPr>
          <w:spacing w:val="-2"/>
        </w:rPr>
        <w:t xml:space="preserve">tte connaissance </w:t>
      </w:r>
      <w:r w:rsidRPr="00A05698">
        <w:rPr>
          <w:spacing w:val="-2"/>
        </w:rPr>
        <w:t>permettra de rendre l’intervention humaine plus rationnelle, en évitant ainsi l’érosion accélérée du patrimoine biologique et la consécutive diminution des coûts économiques et sociaux.</w:t>
      </w:r>
    </w:p>
    <w:p w:rsidR="00B805ED" w:rsidRPr="00A05698" w:rsidRDefault="00B805ED" w:rsidP="00B805ED">
      <w:pPr>
        <w:spacing w:before="120" w:after="120"/>
        <w:ind w:left="-284"/>
        <w:jc w:val="both"/>
        <w:rPr>
          <w:spacing w:val="-2"/>
        </w:rPr>
      </w:pPr>
      <w:r w:rsidRPr="00A05698">
        <w:rPr>
          <w:spacing w:val="-2"/>
        </w:rPr>
        <w:t xml:space="preserve">La stratégie d’implémentation des actions de conservation et d’utilisation de la biodiversité s’adosse sur les trois principes majeurs de la Convention : </w:t>
      </w:r>
    </w:p>
    <w:p w:rsidR="00B805ED" w:rsidRPr="00A05698" w:rsidRDefault="00B805ED" w:rsidP="00B805ED">
      <w:pPr>
        <w:pStyle w:val="PargrafodaLista"/>
        <w:numPr>
          <w:ilvl w:val="0"/>
          <w:numId w:val="42"/>
        </w:numPr>
        <w:autoSpaceDE w:val="0"/>
        <w:autoSpaceDN w:val="0"/>
        <w:adjustRightInd w:val="0"/>
        <w:spacing w:after="0" w:line="240" w:lineRule="auto"/>
        <w:ind w:right="-283"/>
        <w:jc w:val="both"/>
        <w:rPr>
          <w:rFonts w:ascii="Times New Roman" w:hAnsi="Times New Roman"/>
          <w:b/>
          <w:color w:val="000000"/>
          <w:sz w:val="24"/>
          <w:szCs w:val="24"/>
        </w:rPr>
      </w:pPr>
      <w:r w:rsidRPr="00A05698">
        <w:rPr>
          <w:rFonts w:ascii="Times New Roman" w:hAnsi="Times New Roman"/>
          <w:b/>
          <w:color w:val="000000"/>
          <w:sz w:val="24"/>
          <w:szCs w:val="24"/>
        </w:rPr>
        <w:t xml:space="preserve">Participation des populations, </w:t>
      </w:r>
    </w:p>
    <w:p w:rsidR="00B805ED" w:rsidRPr="00A05698" w:rsidRDefault="00B805ED" w:rsidP="00B805ED">
      <w:pPr>
        <w:pStyle w:val="PargrafodaLista"/>
        <w:numPr>
          <w:ilvl w:val="0"/>
          <w:numId w:val="42"/>
        </w:numPr>
        <w:autoSpaceDE w:val="0"/>
        <w:autoSpaceDN w:val="0"/>
        <w:adjustRightInd w:val="0"/>
        <w:spacing w:after="0" w:line="240" w:lineRule="auto"/>
        <w:ind w:right="-283"/>
        <w:jc w:val="both"/>
        <w:rPr>
          <w:rFonts w:ascii="Times New Roman" w:hAnsi="Times New Roman"/>
          <w:b/>
          <w:color w:val="000000"/>
          <w:sz w:val="24"/>
          <w:szCs w:val="24"/>
        </w:rPr>
      </w:pPr>
      <w:r w:rsidRPr="00A05698">
        <w:rPr>
          <w:rFonts w:ascii="Times New Roman" w:hAnsi="Times New Roman"/>
          <w:b/>
          <w:color w:val="000000"/>
          <w:sz w:val="24"/>
          <w:szCs w:val="24"/>
        </w:rPr>
        <w:t xml:space="preserve">Approche intégrée, </w:t>
      </w:r>
    </w:p>
    <w:p w:rsidR="00B805ED" w:rsidRPr="00A05698" w:rsidRDefault="00B805ED" w:rsidP="00B805ED">
      <w:pPr>
        <w:pStyle w:val="PargrafodaLista"/>
        <w:numPr>
          <w:ilvl w:val="0"/>
          <w:numId w:val="42"/>
        </w:numPr>
        <w:autoSpaceDE w:val="0"/>
        <w:autoSpaceDN w:val="0"/>
        <w:adjustRightInd w:val="0"/>
        <w:spacing w:after="0" w:line="240" w:lineRule="auto"/>
        <w:ind w:right="-283"/>
        <w:jc w:val="both"/>
        <w:rPr>
          <w:rFonts w:ascii="Times New Roman" w:hAnsi="Times New Roman"/>
          <w:color w:val="000000"/>
          <w:sz w:val="24"/>
          <w:szCs w:val="24"/>
        </w:rPr>
      </w:pPr>
      <w:r w:rsidRPr="00A05698">
        <w:rPr>
          <w:rFonts w:ascii="Times New Roman" w:hAnsi="Times New Roman"/>
          <w:b/>
          <w:color w:val="000000"/>
          <w:sz w:val="24"/>
          <w:szCs w:val="24"/>
        </w:rPr>
        <w:t>Partenariat.</w:t>
      </w:r>
    </w:p>
    <w:p w:rsidR="00B805ED" w:rsidRDefault="00B805ED" w:rsidP="00B805ED">
      <w:pPr>
        <w:spacing w:before="120" w:after="120"/>
        <w:ind w:left="-284"/>
        <w:jc w:val="both"/>
        <w:rPr>
          <w:spacing w:val="-2"/>
        </w:rPr>
      </w:pPr>
      <w:r w:rsidRPr="00A05698">
        <w:rPr>
          <w:spacing w:val="-2"/>
        </w:rPr>
        <w:t>Le développement économique ne peut se concevoir sans tenir compte des aspects sociaux, la lutte contre les inégalités et le respect de l’environnement.</w:t>
      </w:r>
      <w:r>
        <w:rPr>
          <w:spacing w:val="-2"/>
        </w:rPr>
        <w:t xml:space="preserve"> </w:t>
      </w:r>
      <w:r w:rsidRPr="00A05698">
        <w:rPr>
          <w:spacing w:val="-2"/>
        </w:rPr>
        <w:t xml:space="preserve">Ayant en vue que le développement ne peut être durable que s’il est simultanément économique, social et environnemental. </w:t>
      </w:r>
    </w:p>
    <w:p w:rsidR="00B805ED" w:rsidRPr="00083B97" w:rsidRDefault="00B805ED" w:rsidP="00B805ED">
      <w:pPr>
        <w:spacing w:before="120" w:after="120"/>
        <w:ind w:left="-284"/>
        <w:jc w:val="both"/>
        <w:rPr>
          <w:i/>
          <w:spacing w:val="-2"/>
          <w:sz w:val="20"/>
          <w:szCs w:val="20"/>
        </w:rPr>
      </w:pPr>
      <w:r w:rsidRPr="00083B97">
        <w:rPr>
          <w:i/>
          <w:spacing w:val="-2"/>
          <w:sz w:val="20"/>
          <w:szCs w:val="20"/>
        </w:rPr>
        <w:t>Source :IBAP</w:t>
      </w:r>
    </w:p>
    <w:p w:rsidR="00B805ED" w:rsidRPr="00A05698" w:rsidRDefault="00B805ED" w:rsidP="00B805ED">
      <w:pPr>
        <w:pStyle w:val="Cabealho7"/>
        <w:rPr>
          <w:sz w:val="24"/>
          <w:lang w:val="fr-FR"/>
        </w:rPr>
      </w:pPr>
      <w:r w:rsidRPr="00A05698">
        <w:rPr>
          <w:sz w:val="24"/>
          <w:lang w:val="fr-FR"/>
        </w:rPr>
        <w:t>Le plan d’action pour la conservation de la diversité biologique</w:t>
      </w:r>
    </w:p>
    <w:p w:rsidR="00B805ED" w:rsidRPr="00A05698" w:rsidRDefault="00B805ED" w:rsidP="00B805ED">
      <w:pPr>
        <w:spacing w:before="120" w:after="120"/>
        <w:ind w:left="-284"/>
        <w:jc w:val="both"/>
        <w:rPr>
          <w:spacing w:val="-2"/>
        </w:rPr>
      </w:pPr>
      <w:r w:rsidRPr="00A05698">
        <w:rPr>
          <w:spacing w:val="-2"/>
        </w:rPr>
        <w:t>L’élaboration de la stratégie et du plan d’action représentent le fruit de l’engagement du Gouvernement de la Guinée-Bissau, à travers la signature et la ratification de la Convention sur la Diversité Biologique, le 27 octobre 1995.</w:t>
      </w:r>
    </w:p>
    <w:p w:rsidR="00B805ED" w:rsidRPr="00A05698" w:rsidRDefault="00B805ED" w:rsidP="00B805ED">
      <w:pPr>
        <w:pStyle w:val="Cabealho7"/>
        <w:rPr>
          <w:sz w:val="24"/>
          <w:lang w:val="fr-FR"/>
        </w:rPr>
      </w:pPr>
      <w:r w:rsidRPr="00A05698">
        <w:rPr>
          <w:sz w:val="24"/>
          <w:lang w:val="fr-FR"/>
        </w:rPr>
        <w:t>Le développement socio-économique de la Guinée-Bissau repose sur l’utilisation de ses ressources naturelles</w:t>
      </w:r>
    </w:p>
    <w:p w:rsidR="00B805ED" w:rsidRPr="00A05698" w:rsidRDefault="00B805ED" w:rsidP="00B805ED">
      <w:pPr>
        <w:spacing w:before="120" w:after="120"/>
        <w:ind w:left="-284"/>
        <w:jc w:val="both"/>
        <w:rPr>
          <w:spacing w:val="-2"/>
        </w:rPr>
      </w:pPr>
      <w:r w:rsidRPr="001F78A4">
        <w:rPr>
          <w:spacing w:val="-2"/>
        </w:rPr>
        <w:t xml:space="preserve">Le développement socio-économique de la Guinée-Bissau </w:t>
      </w:r>
      <w:r w:rsidRPr="00A05698">
        <w:rPr>
          <w:spacing w:val="-2"/>
        </w:rPr>
        <w:t>contient une analyse actuelle de la situation de la biodiversité en Guinée-Bissau. Il propose une série d’actions qui doit être réalisée dans le sens de permettre la mise en œuvre des orientations stratégiques en vue de la conservation et l’utilisation durable de la biodiversité. La participation directe de la société civile et des communautés de base est primordiale, sans oublier la participation des femmes et de la jeunesse qui aussi, jouent un rôle important dans ce processus.</w:t>
      </w:r>
    </w:p>
    <w:p w:rsidR="00B805ED" w:rsidRPr="00A05698" w:rsidRDefault="00B805ED" w:rsidP="00B805ED">
      <w:pPr>
        <w:spacing w:before="120" w:after="120"/>
        <w:ind w:left="-284"/>
        <w:jc w:val="both"/>
        <w:rPr>
          <w:spacing w:val="-2"/>
        </w:rPr>
      </w:pPr>
      <w:r w:rsidRPr="00A05698">
        <w:rPr>
          <w:spacing w:val="-2"/>
        </w:rPr>
        <w:t xml:space="preserve">Ce plan </w:t>
      </w:r>
      <w:r>
        <w:rPr>
          <w:spacing w:val="-2"/>
        </w:rPr>
        <w:t xml:space="preserve">action </w:t>
      </w:r>
      <w:r w:rsidRPr="00A05698">
        <w:rPr>
          <w:spacing w:val="-2"/>
        </w:rPr>
        <w:t>constituera à partir des résultats espérés de la stratégie nationale, un ensemble d’actions cohérentes destinées à corriger les déséquilibres actuels et ainsi répondre de façon positive et efficace aux problèmes identifiés pendant les séminaires régionaux et nationaux.</w:t>
      </w:r>
    </w:p>
    <w:p w:rsidR="00B805ED" w:rsidRPr="00A05698" w:rsidRDefault="00B805ED" w:rsidP="00B805ED">
      <w:pPr>
        <w:pStyle w:val="PargrafodaLista"/>
        <w:autoSpaceDE w:val="0"/>
        <w:autoSpaceDN w:val="0"/>
        <w:adjustRightInd w:val="0"/>
        <w:spacing w:after="0" w:line="240" w:lineRule="auto"/>
        <w:ind w:right="-283"/>
        <w:jc w:val="both"/>
        <w:rPr>
          <w:rFonts w:ascii="Times New Roman" w:hAnsi="Times New Roman"/>
          <w:b/>
          <w:i/>
          <w:color w:val="000000"/>
        </w:rPr>
      </w:pPr>
    </w:p>
    <w:p w:rsidR="00B805ED" w:rsidRPr="007000D2" w:rsidRDefault="00B805ED" w:rsidP="00B805ED">
      <w:pPr>
        <w:numPr>
          <w:ilvl w:val="0"/>
          <w:numId w:val="41"/>
        </w:numPr>
        <w:spacing w:after="200"/>
        <w:ind w:left="1701" w:right="-283" w:hanging="425"/>
        <w:contextualSpacing/>
        <w:rPr>
          <w:b/>
          <w:lang w:bidi="fr-FR"/>
        </w:rPr>
      </w:pPr>
      <w:r w:rsidRPr="00A05698">
        <w:rPr>
          <w:b/>
          <w:lang w:bidi="fr-FR"/>
        </w:rPr>
        <w:t>Le Plan National d’Adaptation aux Changements Climatiques (</w:t>
      </w:r>
      <w:r>
        <w:rPr>
          <w:b/>
          <w:lang w:bidi="fr-FR"/>
        </w:rPr>
        <w:t>PANA</w:t>
      </w:r>
      <w:r w:rsidRPr="00A05698">
        <w:rPr>
          <w:b/>
          <w:lang w:bidi="fr-FR"/>
        </w:rPr>
        <w:t>)</w:t>
      </w:r>
      <w:r>
        <w:rPr>
          <w:b/>
          <w:lang w:bidi="fr-FR"/>
        </w:rPr>
        <w:t xml:space="preserve"> (</w:t>
      </w:r>
      <w:r w:rsidRPr="008F1B04">
        <w:rPr>
          <w:b/>
          <w:lang w:val="pt-PT" w:bidi="fr-FR"/>
        </w:rPr>
        <w:t>O Plano Nacional de Adaptação às Mudanças Climáticas (PANA</w:t>
      </w:r>
      <w:r>
        <w:rPr>
          <w:b/>
          <w:lang w:val="pt-PT" w:bidi="fr-FR"/>
        </w:rPr>
        <w:t>), 2006</w:t>
      </w:r>
      <w:r w:rsidRPr="008F1B04">
        <w:rPr>
          <w:b/>
          <w:lang w:val="pt-PT" w:bidi="fr-FR"/>
        </w:rPr>
        <w:t>)</w:t>
      </w:r>
    </w:p>
    <w:p w:rsidR="00B805ED" w:rsidRPr="00A05698" w:rsidRDefault="00B805ED" w:rsidP="00B805ED">
      <w:pPr>
        <w:spacing w:before="120" w:after="120"/>
        <w:ind w:left="-284"/>
        <w:jc w:val="both"/>
        <w:rPr>
          <w:spacing w:val="-2"/>
        </w:rPr>
      </w:pPr>
      <w:r w:rsidRPr="00A05698">
        <w:rPr>
          <w:spacing w:val="-2"/>
        </w:rPr>
        <w:t>Les Pays Moins Avancés (PMA) dont la Guinée-Bissau, sont les plus affectés à cause de leurs conditions géo-climatiques, leur dépendance élevée aux ressources naturelles et leur capacité limitée pour s’adapter aux impacts négatifs de ces changements.</w:t>
      </w:r>
    </w:p>
    <w:p w:rsidR="00B805ED" w:rsidRPr="00A05698" w:rsidRDefault="00B805ED" w:rsidP="00B805ED">
      <w:pPr>
        <w:spacing w:before="120" w:after="120"/>
        <w:ind w:left="-284"/>
        <w:jc w:val="both"/>
        <w:rPr>
          <w:spacing w:val="-2"/>
        </w:rPr>
      </w:pPr>
      <w:r w:rsidRPr="00A05698">
        <w:rPr>
          <w:spacing w:val="-2"/>
        </w:rPr>
        <w:t>Dans ce scénario et contexte, la préparation et la conclusion du Programme d’Action National d’Adaptation aux effets des Changements Climatiques (PANA) financé par le Fonds Mondial pour l’Environnement (FME/GEF) marquant ainsi l’adhésion du pays à la Convention Cadre des Nations Unies sur les Changements Climatiques et le Protocole de Kyoto, ont visé à évaluer la vulnérabilité du pays devant les phénomènes référencés auparavant. Elles proposent des mesures et actions prioritaires qui permettent ou conduisent à la réduction et/ou l’atténuation des effets négatifs et à l’application de mesure de prévision et d’alerte précoce aux catastrophes futures.</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Document de Stratégie Nationale pour la Réduction de la pauvreté (DENARP II)</w:t>
      </w:r>
      <w:r w:rsidRPr="000A432C">
        <w:rPr>
          <w:rFonts w:ascii="Times New Roman" w:hAnsi="Times New Roman"/>
          <w:b/>
          <w:sz w:val="24"/>
          <w:szCs w:val="24"/>
          <w:lang w:bidi="fr-FR"/>
        </w:rPr>
        <w:t xml:space="preserve"> </w:t>
      </w:r>
      <w:r>
        <w:rPr>
          <w:rFonts w:ascii="Times New Roman" w:hAnsi="Times New Roman"/>
          <w:b/>
          <w:sz w:val="24"/>
          <w:szCs w:val="24"/>
          <w:lang w:bidi="fr-FR"/>
        </w:rPr>
        <w:t>(</w:t>
      </w:r>
      <w:r w:rsidRPr="001F2701">
        <w:rPr>
          <w:rFonts w:ascii="Times New Roman" w:hAnsi="Times New Roman"/>
          <w:b/>
          <w:sz w:val="24"/>
          <w:szCs w:val="24"/>
          <w:lang w:bidi="fr-FR"/>
        </w:rPr>
        <w:t>Documento de Estratégia Nacional para a Redução da Pobreza (DENARP II), 2015)</w:t>
      </w:r>
    </w:p>
    <w:p w:rsidR="00B805ED" w:rsidRPr="00A05698" w:rsidRDefault="00B805ED" w:rsidP="00B805ED">
      <w:pPr>
        <w:spacing w:before="120" w:after="120"/>
        <w:ind w:left="-284"/>
        <w:jc w:val="both"/>
        <w:rPr>
          <w:spacing w:val="-2"/>
        </w:rPr>
      </w:pPr>
      <w:r w:rsidRPr="00A05698">
        <w:rPr>
          <w:spacing w:val="-2"/>
        </w:rPr>
        <w:t>L’objectif principal du DENARP II est de réduire de façon significative la pauvreté dans ses multiples dimensions. Il s’appuie sur la création   d’opportunités de revenus, d’emplois et d’amélioration de l’accès aux services publics de base de qualité dans un Etat de droit renforcé.</w:t>
      </w:r>
    </w:p>
    <w:p w:rsidR="00B805ED" w:rsidRPr="00A05698" w:rsidRDefault="00B805ED" w:rsidP="00B805ED">
      <w:pPr>
        <w:spacing w:before="120" w:after="120"/>
        <w:ind w:left="-284"/>
        <w:jc w:val="both"/>
        <w:rPr>
          <w:spacing w:val="-2"/>
        </w:rPr>
      </w:pPr>
      <w:r w:rsidRPr="00A05698">
        <w:rPr>
          <w:spacing w:val="-2"/>
        </w:rPr>
        <w:t>Ses objectifs spécifiques sont :</w:t>
      </w:r>
    </w:p>
    <w:p w:rsidR="00B805ED" w:rsidRPr="00A05698" w:rsidRDefault="00B805ED" w:rsidP="00B805ED">
      <w:pPr>
        <w:pStyle w:val="PargrafodaLista"/>
        <w:numPr>
          <w:ilvl w:val="0"/>
          <w:numId w:val="47"/>
        </w:numPr>
        <w:autoSpaceDE w:val="0"/>
        <w:autoSpaceDN w:val="0"/>
        <w:adjustRightInd w:val="0"/>
        <w:spacing w:line="240" w:lineRule="auto"/>
        <w:ind w:left="993"/>
        <w:jc w:val="both"/>
        <w:rPr>
          <w:rFonts w:ascii="Times New Roman" w:hAnsi="Times New Roman"/>
          <w:sz w:val="24"/>
          <w:szCs w:val="24"/>
        </w:rPr>
      </w:pPr>
      <w:r w:rsidRPr="00A05698">
        <w:rPr>
          <w:rFonts w:ascii="Times New Roman" w:hAnsi="Times New Roman"/>
          <w:sz w:val="24"/>
          <w:szCs w:val="24"/>
        </w:rPr>
        <w:t xml:space="preserve">la réduction de l’incidence de la pauvreté au niveau national de 69,3 % en 2010 à 59 % en 2015 et celle de l’extrême pauvreté de 33 % à 20 % au cours de la même période, en tenant compte des disparités entre hommes et femmes; </w:t>
      </w:r>
    </w:p>
    <w:p w:rsidR="00B805ED" w:rsidRPr="00A05698" w:rsidRDefault="00B805ED" w:rsidP="00B805ED">
      <w:pPr>
        <w:pStyle w:val="PargrafodaLista"/>
        <w:numPr>
          <w:ilvl w:val="0"/>
          <w:numId w:val="47"/>
        </w:numPr>
        <w:autoSpaceDE w:val="0"/>
        <w:autoSpaceDN w:val="0"/>
        <w:adjustRightInd w:val="0"/>
        <w:spacing w:line="240" w:lineRule="auto"/>
        <w:ind w:left="993" w:right="-283"/>
        <w:jc w:val="both"/>
        <w:rPr>
          <w:rFonts w:ascii="Times New Roman" w:hAnsi="Times New Roman"/>
          <w:sz w:val="24"/>
          <w:szCs w:val="24"/>
        </w:rPr>
      </w:pPr>
      <w:r w:rsidRPr="00A05698">
        <w:rPr>
          <w:rFonts w:ascii="Times New Roman" w:hAnsi="Times New Roman"/>
          <w:sz w:val="24"/>
          <w:szCs w:val="24"/>
        </w:rPr>
        <w:t xml:space="preserve">la réduction du taux de l’insécurité alimentaire de 32% à 16% en 2015 ; </w:t>
      </w:r>
    </w:p>
    <w:p w:rsidR="00B805ED" w:rsidRPr="00A05698" w:rsidRDefault="00B805ED" w:rsidP="00B805ED">
      <w:pPr>
        <w:pStyle w:val="PargrafodaLista"/>
        <w:numPr>
          <w:ilvl w:val="0"/>
          <w:numId w:val="47"/>
        </w:numPr>
        <w:autoSpaceDE w:val="0"/>
        <w:autoSpaceDN w:val="0"/>
        <w:adjustRightInd w:val="0"/>
        <w:spacing w:line="240" w:lineRule="auto"/>
        <w:ind w:left="993"/>
        <w:jc w:val="both"/>
        <w:rPr>
          <w:rFonts w:ascii="Times New Roman" w:hAnsi="Times New Roman"/>
          <w:sz w:val="24"/>
          <w:szCs w:val="24"/>
        </w:rPr>
      </w:pPr>
      <w:r w:rsidRPr="00A05698">
        <w:rPr>
          <w:rFonts w:ascii="Times New Roman" w:hAnsi="Times New Roman"/>
          <w:sz w:val="24"/>
          <w:szCs w:val="24"/>
        </w:rPr>
        <w:t xml:space="preserve">l’atteinte d’un taux de croissance économique annuel moyen de 5 % par an sur la période 2011-2015 ; </w:t>
      </w:r>
    </w:p>
    <w:p w:rsidR="00B805ED" w:rsidRPr="00A05698" w:rsidRDefault="00B805ED" w:rsidP="00B805ED">
      <w:pPr>
        <w:pStyle w:val="PargrafodaLista"/>
        <w:numPr>
          <w:ilvl w:val="0"/>
          <w:numId w:val="47"/>
        </w:numPr>
        <w:autoSpaceDE w:val="0"/>
        <w:autoSpaceDN w:val="0"/>
        <w:adjustRightInd w:val="0"/>
        <w:spacing w:line="240" w:lineRule="auto"/>
        <w:ind w:left="993"/>
        <w:jc w:val="both"/>
        <w:rPr>
          <w:rFonts w:ascii="Times New Roman" w:hAnsi="Times New Roman"/>
          <w:sz w:val="24"/>
          <w:szCs w:val="24"/>
        </w:rPr>
      </w:pPr>
      <w:r w:rsidRPr="00A05698">
        <w:rPr>
          <w:rFonts w:ascii="Times New Roman" w:hAnsi="Times New Roman"/>
          <w:sz w:val="24"/>
          <w:szCs w:val="24"/>
        </w:rPr>
        <w:t xml:space="preserve">la stabilisation du contexte sécuritaire du pays par une réforme harmonisée des forces de sécurité et de défense ; </w:t>
      </w:r>
    </w:p>
    <w:p w:rsidR="00B805ED" w:rsidRPr="00A05698" w:rsidRDefault="00B805ED" w:rsidP="00B805ED">
      <w:pPr>
        <w:pStyle w:val="PargrafodaLista"/>
        <w:numPr>
          <w:ilvl w:val="0"/>
          <w:numId w:val="47"/>
        </w:numPr>
        <w:autoSpaceDE w:val="0"/>
        <w:autoSpaceDN w:val="0"/>
        <w:adjustRightInd w:val="0"/>
        <w:spacing w:line="240" w:lineRule="auto"/>
        <w:ind w:left="993" w:right="-283"/>
        <w:jc w:val="both"/>
        <w:rPr>
          <w:rFonts w:ascii="Times New Roman" w:hAnsi="Times New Roman"/>
          <w:sz w:val="24"/>
          <w:szCs w:val="24"/>
        </w:rPr>
      </w:pPr>
      <w:r w:rsidRPr="00A05698">
        <w:rPr>
          <w:rFonts w:ascii="Times New Roman" w:hAnsi="Times New Roman"/>
          <w:sz w:val="24"/>
          <w:szCs w:val="24"/>
        </w:rPr>
        <w:t>l’élimination des inégalités structurelles entre l’homme et la femme.</w:t>
      </w:r>
    </w:p>
    <w:p w:rsidR="00B805ED" w:rsidRPr="00083B97" w:rsidRDefault="00B805ED" w:rsidP="00B805ED">
      <w:pPr>
        <w:numPr>
          <w:ilvl w:val="0"/>
          <w:numId w:val="41"/>
        </w:numPr>
        <w:spacing w:after="200"/>
        <w:ind w:left="709" w:right="-283" w:hanging="425"/>
        <w:contextualSpacing/>
        <w:rPr>
          <w:b/>
          <w:lang w:bidi="fr-FR"/>
        </w:rPr>
      </w:pPr>
      <w:r w:rsidRPr="00A05698">
        <w:rPr>
          <w:b/>
          <w:lang w:bidi="fr-FR"/>
        </w:rPr>
        <w:t>Le Plan National de Développement Sanitaire (PNDS II)</w:t>
      </w:r>
      <w:r>
        <w:rPr>
          <w:b/>
          <w:lang w:bidi="fr-FR"/>
        </w:rPr>
        <w:t xml:space="preserve"> (</w:t>
      </w:r>
      <w:r w:rsidRPr="005B4FE5">
        <w:rPr>
          <w:b/>
          <w:lang w:val="pt-PT" w:bidi="fr-FR"/>
        </w:rPr>
        <w:t>O Plano Nacional de Desenvolvimento Sanitário (PNDS II)</w:t>
      </w:r>
      <w:r>
        <w:rPr>
          <w:b/>
          <w:lang w:val="pt-PT" w:bidi="fr-FR"/>
        </w:rPr>
        <w:t>, 2017)</w:t>
      </w:r>
    </w:p>
    <w:p w:rsidR="00B805ED" w:rsidRPr="00A05698" w:rsidRDefault="00B805ED" w:rsidP="00B805ED">
      <w:pPr>
        <w:spacing w:before="120" w:after="120"/>
        <w:ind w:left="-284"/>
        <w:jc w:val="both"/>
        <w:rPr>
          <w:spacing w:val="-2"/>
        </w:rPr>
      </w:pPr>
      <w:r w:rsidRPr="00A05698">
        <w:rPr>
          <w:spacing w:val="-2"/>
        </w:rPr>
        <w:t>Le PNDS II constitue un cadre de référence pour les activités et actions de développement dans le domaine sanitaire durant la période 2008-2017 en Guinée Bissau. Ce document stratégique joue un rôle crucial dans l’orientation des mesures nécessaires pour la promotion de la santé de tous les guinéens. Il met l’accent sur la synergie d’action de tous les acteurs œuvrant pour la santé. Il oriente les activités des institutions ministérielles au niveau national et dans les régions, des partenaires de développement, de la société civile. Ceci contribue à la réduction de la pauvreté dans le secteur socioéconomique par l’amélioration de la santé de la population dans laquelle l’accès à l’eau potable reste un facteur déterminant.</w:t>
      </w:r>
    </w:p>
    <w:p w:rsidR="00B805ED" w:rsidRDefault="00B805ED" w:rsidP="00B805ED">
      <w:pPr>
        <w:pStyle w:val="PargrafodaLista"/>
        <w:numPr>
          <w:ilvl w:val="0"/>
          <w:numId w:val="41"/>
        </w:numPr>
        <w:ind w:left="709" w:right="-283" w:hanging="425"/>
        <w:rPr>
          <w:rFonts w:ascii="Times New Roman" w:hAnsi="Times New Roman"/>
          <w:b/>
          <w:sz w:val="24"/>
          <w:szCs w:val="24"/>
          <w:lang w:bidi="fr-FR"/>
        </w:rPr>
      </w:pPr>
      <w:r w:rsidRPr="00610FFB">
        <w:rPr>
          <w:rFonts w:ascii="Times New Roman" w:hAnsi="Times New Roman"/>
          <w:b/>
          <w:sz w:val="24"/>
          <w:szCs w:val="24"/>
          <w:lang w:bidi="fr-FR"/>
        </w:rPr>
        <w:t xml:space="preserve">La politique nationale de nutrition </w:t>
      </w:r>
      <w:r>
        <w:rPr>
          <w:rFonts w:ascii="Times New Roman" w:hAnsi="Times New Roman"/>
          <w:b/>
          <w:sz w:val="24"/>
          <w:szCs w:val="24"/>
          <w:lang w:bidi="fr-FR"/>
        </w:rPr>
        <w:t>(2015-2025)</w:t>
      </w:r>
    </w:p>
    <w:p w:rsidR="00B805ED" w:rsidRPr="003710E9" w:rsidRDefault="00B805ED" w:rsidP="00B805ED">
      <w:pPr>
        <w:spacing w:before="120" w:after="120"/>
        <w:ind w:left="-284"/>
        <w:jc w:val="both"/>
        <w:rPr>
          <w:spacing w:val="-2"/>
        </w:rPr>
      </w:pPr>
      <w:r w:rsidRPr="003710E9">
        <w:rPr>
          <w:spacing w:val="-2"/>
        </w:rPr>
        <w:t xml:space="preserve">le Gouvernement de la Guinée-Bissau a adopté́ une politique multisectorielle de nutrition, visant à assurer un bon état nutritionnel à tous les habitants de la Guinée-Bissau, et en particulier aux personnes vulnérables, pour tirer le meilleur parti de leurs capacités physiques, intellectuelles et psychoaffectives afin de mener une vie saine, active et productive. Son but de garantir un capital humain productif, par une bonne nutrition de la population, pour contribuer plus efficacement au développement du pays. </w:t>
      </w:r>
    </w:p>
    <w:p w:rsidR="00B805ED" w:rsidRPr="00EA0577" w:rsidRDefault="00B805ED" w:rsidP="00B805ED">
      <w:pPr>
        <w:spacing w:before="120" w:after="120"/>
        <w:ind w:left="-284"/>
        <w:jc w:val="both"/>
        <w:rPr>
          <w:spacing w:val="-2"/>
        </w:rPr>
      </w:pPr>
      <w:r w:rsidRPr="00610FFB">
        <w:rPr>
          <w:spacing w:val="-2"/>
        </w:rPr>
        <w:t>L’objectif général de la politique nationale de nutrition est d’améliorer l’état nutritionnel de la population en Guinée-Bissau, en particulier des personnes vulnérables, en créant des synergies entre des interventions dire</w:t>
      </w:r>
      <w:r w:rsidRPr="00EC38EC">
        <w:rPr>
          <w:spacing w:val="-2"/>
        </w:rPr>
        <w:t xml:space="preserve">ctes de nutrition et celles d’autres secteurs sensibles à la nutrition. </w:t>
      </w:r>
    </w:p>
    <w:p w:rsidR="00B805ED" w:rsidRPr="00077086" w:rsidRDefault="00B805ED" w:rsidP="00B805ED">
      <w:pPr>
        <w:spacing w:before="120" w:after="120"/>
        <w:ind w:left="-284"/>
        <w:jc w:val="both"/>
        <w:rPr>
          <w:spacing w:val="-2"/>
        </w:rPr>
      </w:pPr>
      <w:r w:rsidRPr="00077086">
        <w:rPr>
          <w:spacing w:val="-2"/>
        </w:rPr>
        <w:t xml:space="preserve">Ses objectifs spécifiques à atteindre pour l’horizon 2025 visent notamment de réduire de 40 % le taux de retard de croissance et à moins de 5% le taux de malnutrition aiguë chez les enfants de moins de 5 ans, de réduire d'un tiers la prévalence de l'anémie chez les enfants de 0 à 23 mois, de réduire d’un tiers la prévalence du surpoids et de 50% la prévalence de l’anémie chez les femmes en âge de procréer, d’éliminer les troubles dus aux carences en vitamine A et en iode. </w:t>
      </w:r>
    </w:p>
    <w:p w:rsidR="00B805ED" w:rsidRPr="007000D2" w:rsidRDefault="00B805ED" w:rsidP="00B805ED">
      <w:pPr>
        <w:numPr>
          <w:ilvl w:val="0"/>
          <w:numId w:val="41"/>
        </w:numPr>
        <w:spacing w:after="200"/>
        <w:ind w:left="709" w:right="-283" w:hanging="425"/>
        <w:contextualSpacing/>
        <w:rPr>
          <w:b/>
          <w:lang w:bidi="fr-FR"/>
        </w:rPr>
      </w:pPr>
      <w:r w:rsidRPr="00A05698">
        <w:rPr>
          <w:b/>
          <w:lang w:bidi="fr-FR"/>
        </w:rPr>
        <w:t>L</w:t>
      </w:r>
      <w:r>
        <w:rPr>
          <w:b/>
          <w:lang w:bidi="fr-FR"/>
        </w:rPr>
        <w:t>e S</w:t>
      </w:r>
      <w:r w:rsidRPr="007000D2">
        <w:rPr>
          <w:b/>
          <w:lang w:bidi="fr-FR"/>
        </w:rPr>
        <w:t>ystème National des Aires Protégés (SNAP)</w:t>
      </w:r>
      <w:r>
        <w:rPr>
          <w:b/>
          <w:lang w:bidi="fr-FR"/>
        </w:rPr>
        <w:t xml:space="preserve"> (</w:t>
      </w:r>
      <w:r w:rsidRPr="00553612">
        <w:rPr>
          <w:b/>
          <w:lang w:val="pt-PT" w:bidi="fr-FR"/>
        </w:rPr>
        <w:t>Sistema Nacional de Áreas Protegidas (SNAP)</w:t>
      </w:r>
      <w:r>
        <w:rPr>
          <w:b/>
          <w:lang w:val="pt-PT" w:bidi="fr-FR"/>
        </w:rPr>
        <w:t>, 2017,)</w:t>
      </w:r>
    </w:p>
    <w:p w:rsidR="00B805ED" w:rsidRDefault="00B805ED" w:rsidP="00B805ED">
      <w:pPr>
        <w:spacing w:before="120" w:after="120"/>
        <w:ind w:left="-284"/>
        <w:jc w:val="both"/>
        <w:rPr>
          <w:spacing w:val="-2"/>
        </w:rPr>
      </w:pPr>
      <w:r w:rsidRPr="00A05698">
        <w:rPr>
          <w:spacing w:val="-2"/>
        </w:rPr>
        <w:t xml:space="preserve">En Guinée-Bissau, </w:t>
      </w:r>
      <w:r>
        <w:rPr>
          <w:spacing w:val="-2"/>
        </w:rPr>
        <w:t>l</w:t>
      </w:r>
      <w:r w:rsidRPr="003867AF">
        <w:rPr>
          <w:spacing w:val="-2"/>
        </w:rPr>
        <w:t>e Système national d'aires protégées (SNAP) est géré par l'Institut pour la protection de l'</w:t>
      </w:r>
      <w:r>
        <w:rPr>
          <w:spacing w:val="-2"/>
        </w:rPr>
        <w:t>environnement</w:t>
      </w:r>
      <w:r w:rsidRPr="003867AF">
        <w:rPr>
          <w:spacing w:val="-2"/>
        </w:rPr>
        <w:t xml:space="preserve"> Biodiversité et Aires Protégées (IBAP), est composé de huit (8) parcs nationaux</w:t>
      </w:r>
      <w:r>
        <w:rPr>
          <w:spacing w:val="-2"/>
        </w:rPr>
        <w:t xml:space="preserve"> </w:t>
      </w:r>
      <w:r w:rsidRPr="003867AF">
        <w:rPr>
          <w:spacing w:val="-2"/>
        </w:rPr>
        <w:t>et parcs naturels (catégorie II2 de l'UICN), trois (3) corridors écologiques</w:t>
      </w:r>
      <w:r>
        <w:rPr>
          <w:spacing w:val="-2"/>
        </w:rPr>
        <w:t xml:space="preserve">, </w:t>
      </w:r>
      <w:r w:rsidRPr="003867AF">
        <w:rPr>
          <w:spacing w:val="-2"/>
        </w:rPr>
        <w:t>une (1) réserve de biosphère, quatre (4) sites Ramsar (dans le cadre de la Convention de</w:t>
      </w:r>
      <w:r>
        <w:rPr>
          <w:spacing w:val="-2"/>
        </w:rPr>
        <w:t xml:space="preserve"> </w:t>
      </w:r>
      <w:r w:rsidRPr="003867AF">
        <w:rPr>
          <w:spacing w:val="-2"/>
        </w:rPr>
        <w:t>Convention de Ramsar) et 104 forêts communautaires</w:t>
      </w:r>
      <w:r>
        <w:rPr>
          <w:spacing w:val="-2"/>
        </w:rPr>
        <w:t>.</w:t>
      </w:r>
    </w:p>
    <w:p w:rsidR="00B805ED" w:rsidRPr="00A05698" w:rsidRDefault="00B805ED" w:rsidP="00B805ED">
      <w:pPr>
        <w:spacing w:before="120" w:after="120"/>
        <w:ind w:left="-284"/>
        <w:jc w:val="both"/>
        <w:rPr>
          <w:spacing w:val="-2"/>
        </w:rPr>
      </w:pPr>
      <w:r>
        <w:rPr>
          <w:spacing w:val="-2"/>
        </w:rPr>
        <w:t xml:space="preserve"> Parmi ces parcs et corridors on peut citer quelques uns comme :</w:t>
      </w:r>
    </w:p>
    <w:p w:rsidR="00B805ED" w:rsidRPr="004D1BD0" w:rsidRDefault="00B805ED" w:rsidP="00B805ED">
      <w:pPr>
        <w:pStyle w:val="Listacommarcas2"/>
        <w:numPr>
          <w:ilvl w:val="0"/>
          <w:numId w:val="49"/>
        </w:numPr>
        <w:spacing w:line="240" w:lineRule="auto"/>
        <w:rPr>
          <w:rFonts w:ascii="Times New Roman" w:hAnsi="Times New Roman"/>
          <w:bCs/>
          <w:sz w:val="24"/>
          <w:lang w:val="fr-FR"/>
        </w:rPr>
      </w:pPr>
      <w:r w:rsidRPr="004D1BD0">
        <w:rPr>
          <w:rFonts w:ascii="Times New Roman" w:hAnsi="Times New Roman"/>
          <w:bCs/>
          <w:sz w:val="24"/>
          <w:lang w:val="fr-FR"/>
        </w:rPr>
        <w:t xml:space="preserve">le parc National d’Orango, situé au Sud de l´Archipel des Bijagos, </w:t>
      </w:r>
    </w:p>
    <w:p w:rsidR="00B805ED" w:rsidRPr="004D1BD0" w:rsidRDefault="00B805ED" w:rsidP="00B805ED">
      <w:pPr>
        <w:pStyle w:val="Listacommarcas2"/>
        <w:numPr>
          <w:ilvl w:val="0"/>
          <w:numId w:val="49"/>
        </w:numPr>
        <w:spacing w:line="240" w:lineRule="auto"/>
        <w:rPr>
          <w:rFonts w:ascii="Times New Roman" w:hAnsi="Times New Roman"/>
          <w:bCs/>
          <w:sz w:val="24"/>
          <w:lang w:val="fr-FR"/>
        </w:rPr>
      </w:pPr>
      <w:r w:rsidRPr="004D1BD0">
        <w:rPr>
          <w:rFonts w:ascii="Times New Roman" w:hAnsi="Times New Roman"/>
          <w:bCs/>
          <w:sz w:val="24"/>
          <w:lang w:val="fr-FR"/>
        </w:rPr>
        <w:t xml:space="preserve">le parc Naturel des « Tarrafes » do Rio Cacheu, situé au Nord–ouest du pays, </w:t>
      </w:r>
    </w:p>
    <w:p w:rsidR="00B805ED" w:rsidRPr="004D1BD0" w:rsidRDefault="00B805ED" w:rsidP="00B805ED">
      <w:pPr>
        <w:pStyle w:val="Listacommarcas2"/>
        <w:numPr>
          <w:ilvl w:val="0"/>
          <w:numId w:val="49"/>
        </w:numPr>
        <w:spacing w:line="240" w:lineRule="auto"/>
        <w:rPr>
          <w:rFonts w:ascii="Times New Roman" w:hAnsi="Times New Roman"/>
          <w:bCs/>
          <w:sz w:val="24"/>
          <w:lang w:val="fr-FR"/>
        </w:rPr>
      </w:pPr>
      <w:r w:rsidRPr="004D1BD0">
        <w:rPr>
          <w:rFonts w:ascii="Times New Roman" w:hAnsi="Times New Roman"/>
          <w:bCs/>
          <w:sz w:val="24"/>
          <w:lang w:val="fr-FR"/>
        </w:rPr>
        <w:t xml:space="preserve">le Parc Naturel des Lacs de Cufada, situé dans la partie sud du pays, </w:t>
      </w:r>
    </w:p>
    <w:p w:rsidR="00B805ED" w:rsidRPr="004D1BD0" w:rsidRDefault="00B805ED" w:rsidP="00B805ED">
      <w:pPr>
        <w:pStyle w:val="Listacommarcas2"/>
        <w:numPr>
          <w:ilvl w:val="0"/>
          <w:numId w:val="49"/>
        </w:numPr>
        <w:spacing w:line="240" w:lineRule="auto"/>
        <w:rPr>
          <w:rFonts w:ascii="Times New Roman" w:hAnsi="Times New Roman"/>
          <w:bCs/>
          <w:sz w:val="24"/>
          <w:lang w:val="fr-FR"/>
        </w:rPr>
      </w:pPr>
      <w:r w:rsidRPr="004D1BD0">
        <w:rPr>
          <w:rFonts w:ascii="Times New Roman" w:hAnsi="Times New Roman"/>
          <w:bCs/>
          <w:sz w:val="24"/>
          <w:lang w:val="fr-FR"/>
        </w:rPr>
        <w:t>le parc National João-Vieira Poilão situé au Sud-est de l’Archipel des Bijagos,</w:t>
      </w:r>
    </w:p>
    <w:p w:rsidR="00B805ED" w:rsidRPr="004D1BD0" w:rsidRDefault="00B805ED" w:rsidP="00B805ED">
      <w:pPr>
        <w:pStyle w:val="Listacommarcas2"/>
        <w:numPr>
          <w:ilvl w:val="0"/>
          <w:numId w:val="49"/>
        </w:numPr>
        <w:spacing w:line="240" w:lineRule="auto"/>
        <w:rPr>
          <w:rFonts w:ascii="Times New Roman" w:hAnsi="Times New Roman"/>
          <w:sz w:val="24"/>
          <w:lang w:val="fr-FR"/>
        </w:rPr>
      </w:pPr>
      <w:r w:rsidRPr="004D1BD0">
        <w:rPr>
          <w:rFonts w:ascii="Times New Roman" w:hAnsi="Times New Roman"/>
          <w:bCs/>
          <w:sz w:val="24"/>
          <w:lang w:val="fr-FR"/>
        </w:rPr>
        <w:t>l’aire Marine Protégée Communautaire</w:t>
      </w:r>
      <w:r w:rsidRPr="004D1BD0">
        <w:rPr>
          <w:rFonts w:ascii="Times New Roman" w:hAnsi="Times New Roman"/>
          <w:sz w:val="24"/>
          <w:lang w:val="fr-FR"/>
        </w:rPr>
        <w:t xml:space="preserve"> des Îles Formosa située au Nord de l´Archipel des Bijagós  </w:t>
      </w:r>
    </w:p>
    <w:p w:rsidR="00B805ED" w:rsidRDefault="00B805ED" w:rsidP="00B805ED">
      <w:pPr>
        <w:pStyle w:val="Listacommarcas2"/>
        <w:numPr>
          <w:ilvl w:val="0"/>
          <w:numId w:val="49"/>
        </w:numPr>
        <w:spacing w:line="240" w:lineRule="auto"/>
        <w:rPr>
          <w:rFonts w:ascii="Times New Roman" w:hAnsi="Times New Roman"/>
          <w:sz w:val="24"/>
          <w:lang w:val="fr-FR"/>
        </w:rPr>
      </w:pPr>
      <w:r w:rsidRPr="004D1BD0">
        <w:rPr>
          <w:rFonts w:ascii="Times New Roman" w:hAnsi="Times New Roman"/>
          <w:sz w:val="24"/>
          <w:lang w:val="fr-FR"/>
        </w:rPr>
        <w:t>le Parc National des Matas de Cantanhez situé au Sud-ouest du pays.</w:t>
      </w:r>
    </w:p>
    <w:p w:rsidR="00B805ED" w:rsidRPr="00BE5D14" w:rsidRDefault="00B805ED" w:rsidP="00B805ED">
      <w:pPr>
        <w:pStyle w:val="Listacommarcas2"/>
        <w:numPr>
          <w:ilvl w:val="0"/>
          <w:numId w:val="49"/>
        </w:numPr>
        <w:spacing w:line="240" w:lineRule="auto"/>
        <w:rPr>
          <w:rFonts w:ascii="Times New Roman" w:hAnsi="Times New Roman"/>
          <w:sz w:val="24"/>
          <w:lang w:val="fr-FR"/>
        </w:rPr>
      </w:pPr>
      <w:r w:rsidRPr="00BE5D14">
        <w:rPr>
          <w:rFonts w:ascii="Times New Roman" w:hAnsi="Times New Roman"/>
          <w:sz w:val="24"/>
          <w:lang w:val="fr-FR"/>
        </w:rPr>
        <w:t xml:space="preserve">Corredors écologiques </w:t>
      </w:r>
      <w:r w:rsidRPr="00100803">
        <w:rPr>
          <w:rFonts w:ascii="Times New Roman" w:hAnsi="Times New Roman"/>
          <w:sz w:val="24"/>
          <w:lang w:val="fr-FR"/>
        </w:rPr>
        <w:t>de Tchetche, Salifo-Xitole et Cuntabane-Quebo</w:t>
      </w:r>
      <w:r w:rsidRPr="00BE5D14">
        <w:rPr>
          <w:rFonts w:cs="Arial"/>
          <w:color w:val="000000"/>
          <w:sz w:val="22"/>
          <w:szCs w:val="22"/>
          <w:lang w:val="fr-FR" w:eastAsia="en-US" w:bidi="ar-SA"/>
        </w:rPr>
        <w:t xml:space="preserve"> </w:t>
      </w:r>
      <w:r w:rsidRPr="00BE5D14">
        <w:rPr>
          <w:rFonts w:ascii="Times New Roman" w:hAnsi="Times New Roman"/>
          <w:sz w:val="24"/>
          <w:lang w:val="fr-FR"/>
        </w:rPr>
        <w:t>(loi nº11/2017 – aires protégées_Complexe Dulombi-Boé-Tchetche).</w:t>
      </w:r>
    </w:p>
    <w:p w:rsidR="00B805ED" w:rsidRPr="00083B97" w:rsidRDefault="00B805ED" w:rsidP="00B805ED">
      <w:pPr>
        <w:spacing w:before="120" w:after="120"/>
        <w:jc w:val="both"/>
        <w:rPr>
          <w:i/>
          <w:spacing w:val="-2"/>
        </w:rPr>
      </w:pPr>
      <w:r w:rsidRPr="00083B97">
        <w:rPr>
          <w:i/>
          <w:spacing w:val="-2"/>
          <w:sz w:val="20"/>
          <w:szCs w:val="20"/>
        </w:rPr>
        <w:t>Source :IBAP</w:t>
      </w:r>
    </w:p>
    <w:p w:rsidR="00B805ED" w:rsidRPr="00A05698" w:rsidRDefault="00B805ED" w:rsidP="00B805ED">
      <w:pPr>
        <w:autoSpaceDE w:val="0"/>
        <w:autoSpaceDN w:val="0"/>
        <w:adjustRightInd w:val="0"/>
        <w:ind w:right="-283"/>
        <w:jc w:val="both"/>
      </w:pPr>
    </w:p>
    <w:p w:rsidR="00B805ED" w:rsidRPr="00A05698" w:rsidRDefault="00B805ED" w:rsidP="00B805ED">
      <w:pPr>
        <w:pStyle w:val="PargrafodaLista"/>
        <w:numPr>
          <w:ilvl w:val="1"/>
          <w:numId w:val="99"/>
        </w:numPr>
        <w:spacing w:after="120" w:line="240" w:lineRule="auto"/>
        <w:outlineLvl w:val="1"/>
        <w:rPr>
          <w:rFonts w:ascii="Times New Roman" w:hAnsi="Times New Roman"/>
          <w:b/>
          <w:bCs/>
          <w:sz w:val="24"/>
          <w:szCs w:val="24"/>
        </w:rPr>
      </w:pPr>
      <w:bookmarkStart w:id="127" w:name="_Toc73459729"/>
      <w:r w:rsidRPr="00A05698">
        <w:rPr>
          <w:rFonts w:ascii="Times New Roman" w:hAnsi="Times New Roman"/>
          <w:b/>
          <w:bCs/>
          <w:sz w:val="24"/>
          <w:szCs w:val="24"/>
        </w:rPr>
        <w:t>CADRE JURIDIQUE</w:t>
      </w:r>
      <w:bookmarkEnd w:id="127"/>
    </w:p>
    <w:p w:rsidR="00B805ED" w:rsidRPr="00A05698" w:rsidRDefault="00B805ED" w:rsidP="00B805ED">
      <w:pPr>
        <w:spacing w:before="120" w:after="120"/>
        <w:ind w:left="-284"/>
        <w:jc w:val="both"/>
        <w:rPr>
          <w:spacing w:val="-2"/>
        </w:rPr>
      </w:pPr>
      <w:r w:rsidRPr="00A05698">
        <w:rPr>
          <w:spacing w:val="-2"/>
        </w:rPr>
        <w:t>Il est constitué d’un ensemble de textes nationaux et internationaux.</w:t>
      </w:r>
    </w:p>
    <w:p w:rsidR="00B805ED" w:rsidRPr="00A05698" w:rsidRDefault="00B805ED" w:rsidP="00B805ED">
      <w:pPr>
        <w:pStyle w:val="PargrafodaLista"/>
        <w:keepNext/>
        <w:spacing w:before="240" w:after="240" w:line="240" w:lineRule="auto"/>
        <w:ind w:left="450" w:right="-283" w:hanging="450"/>
        <w:rPr>
          <w:rFonts w:ascii="Times New Roman" w:hAnsi="Times New Roman"/>
          <w:b/>
          <w:bCs/>
          <w:color w:val="000000"/>
          <w:u w:val="single"/>
        </w:rPr>
      </w:pPr>
      <w:r w:rsidRPr="00A05698">
        <w:rPr>
          <w:rFonts w:ascii="Times New Roman" w:hAnsi="Times New Roman"/>
          <w:b/>
          <w:bCs/>
          <w:color w:val="000000"/>
          <w:u w:val="single"/>
        </w:rPr>
        <w:t>AU NIVEAU NATIONAL</w:t>
      </w:r>
    </w:p>
    <w:p w:rsidR="00B805ED" w:rsidRPr="00A05698" w:rsidRDefault="00BB7875" w:rsidP="00B805ED">
      <w:pPr>
        <w:pStyle w:val="Cabealho3"/>
        <w:numPr>
          <w:ilvl w:val="0"/>
          <w:numId w:val="0"/>
        </w:numPr>
        <w:spacing w:after="240"/>
        <w:ind w:left="708" w:right="-283"/>
        <w:rPr>
          <w:rFonts w:ascii="Times New Roman" w:hAnsi="Times New Roman"/>
          <w:b w:val="0"/>
          <w:bCs w:val="0"/>
          <w:sz w:val="24"/>
          <w:szCs w:val="24"/>
        </w:rPr>
      </w:pPr>
      <w:r>
        <w:rPr>
          <w:rFonts w:ascii="Times New Roman" w:hAnsi="Times New Roman"/>
          <w:sz w:val="24"/>
          <w:szCs w:val="24"/>
        </w:rPr>
        <w:t>3</w:t>
      </w:r>
      <w:r w:rsidR="00B805ED" w:rsidRPr="00A05698">
        <w:rPr>
          <w:rFonts w:ascii="Times New Roman" w:hAnsi="Times New Roman"/>
          <w:sz w:val="24"/>
          <w:szCs w:val="24"/>
        </w:rPr>
        <w:t xml:space="preserve">.2.1. Loi de base sur l’environnement </w:t>
      </w:r>
    </w:p>
    <w:p w:rsidR="00B805ED" w:rsidRPr="00A05698" w:rsidRDefault="00B805ED" w:rsidP="00B805ED">
      <w:pPr>
        <w:pStyle w:val="Listacommarcas3"/>
      </w:pPr>
      <w:r w:rsidRPr="00A05698">
        <w:t>Loi de base nº 1/2011 du 2 mars 2011 sur l’environnement</w:t>
      </w:r>
    </w:p>
    <w:p w:rsidR="00B805ED" w:rsidRPr="00A05698" w:rsidRDefault="00B805ED" w:rsidP="00B805ED">
      <w:pPr>
        <w:spacing w:before="120"/>
        <w:ind w:left="-284"/>
        <w:jc w:val="both"/>
        <w:rPr>
          <w:spacing w:val="-2"/>
        </w:rPr>
      </w:pPr>
      <w:r w:rsidRPr="00A05698">
        <w:rPr>
          <w:spacing w:val="-2"/>
        </w:rPr>
        <w:t>La Loi organique sur l’environnement est un instrument législatif qui dispose comme principe général en son article 2 que : « </w:t>
      </w:r>
      <w:r w:rsidRPr="004D1BD0">
        <w:rPr>
          <w:i/>
          <w:spacing w:val="-2"/>
        </w:rPr>
        <w:t>Toute personne a droit à un environnement humain écologiquement équilibré et a le devoir de le défendre, et il est de la responsabilité de l’Etat, par le biais d’organismes qualifiés et en faisant appel à l’initiative populaire et communautaire, d’œuvrer pour l’amélioration de la qualité de la vie, soit au niveau individuel, soit au niveau collectif </w:t>
      </w:r>
      <w:r w:rsidRPr="00A05698">
        <w:rPr>
          <w:spacing w:val="-2"/>
        </w:rPr>
        <w:t>».</w:t>
      </w:r>
    </w:p>
    <w:p w:rsidR="00B805ED" w:rsidRPr="00A05698" w:rsidRDefault="00B805ED" w:rsidP="00B805ED">
      <w:pPr>
        <w:ind w:left="-284"/>
        <w:jc w:val="both"/>
        <w:rPr>
          <w:spacing w:val="-2"/>
        </w:rPr>
      </w:pPr>
      <w:r w:rsidRPr="00A05698">
        <w:rPr>
          <w:spacing w:val="-2"/>
        </w:rPr>
        <w:br/>
      </w:r>
      <w:r w:rsidRPr="00A05698">
        <w:t>La politique de l’environnement cherche à optimiser et à garantir la continuité dans l’utilisation des ressources naturelles, qualitativement et quantitativement, comme principe fondamental pour un développement durable.</w:t>
      </w:r>
    </w:p>
    <w:p w:rsidR="00B805ED" w:rsidRPr="00A05698" w:rsidRDefault="00B805ED" w:rsidP="00B805ED">
      <w:pPr>
        <w:autoSpaceDE w:val="0"/>
        <w:autoSpaceDN w:val="0"/>
        <w:adjustRightInd w:val="0"/>
        <w:ind w:left="-284" w:right="-283"/>
        <w:jc w:val="both"/>
      </w:pPr>
    </w:p>
    <w:p w:rsidR="00B805ED" w:rsidRPr="00A05698" w:rsidRDefault="00B805ED" w:rsidP="00B805ED">
      <w:pPr>
        <w:pStyle w:val="Listacommarcas3"/>
      </w:pPr>
      <w:r w:rsidRPr="00A05698">
        <w:t>La Loi n°10/2010 du 24 septembre 2010 sur l’évaluation environnementale</w:t>
      </w:r>
    </w:p>
    <w:p w:rsidR="00B805ED" w:rsidRDefault="00B805ED" w:rsidP="00B805ED">
      <w:pPr>
        <w:spacing w:before="120"/>
        <w:ind w:left="-284"/>
        <w:jc w:val="both"/>
        <w:rPr>
          <w:spacing w:val="-2"/>
        </w:rPr>
      </w:pPr>
      <w:r w:rsidRPr="00A05698">
        <w:rPr>
          <w:spacing w:val="-2"/>
        </w:rPr>
        <w:t>La loi sur l’évaluation environnementale en son article 6 « intitulé instrument de classification des projets » définit en sa section 1, les outils d’évaluatio</w:t>
      </w:r>
      <w:r>
        <w:rPr>
          <w:spacing w:val="-2"/>
        </w:rPr>
        <w:t xml:space="preserve">n environnementale et prévoit </w:t>
      </w:r>
      <w:r w:rsidRPr="00A05698">
        <w:rPr>
          <w:spacing w:val="-2"/>
        </w:rPr>
        <w:t>dans le cadr</w:t>
      </w:r>
      <w:r>
        <w:rPr>
          <w:spacing w:val="-2"/>
        </w:rPr>
        <w:t>e de la réalisation d’un projet.</w:t>
      </w:r>
      <w:r w:rsidRPr="00A05698">
        <w:rPr>
          <w:spacing w:val="-2"/>
        </w:rPr>
        <w:t xml:space="preserve"> </w:t>
      </w:r>
    </w:p>
    <w:p w:rsidR="00B805ED" w:rsidRPr="00806206" w:rsidRDefault="00B805ED" w:rsidP="00B805ED">
      <w:pPr>
        <w:spacing w:before="120"/>
        <w:ind w:left="-284"/>
        <w:jc w:val="both"/>
        <w:rPr>
          <w:spacing w:val="-2"/>
        </w:rPr>
      </w:pPr>
      <w:r w:rsidRPr="00A05698">
        <w:t>L’article 7 de la même loi classe les projets par catégorie :</w:t>
      </w:r>
    </w:p>
    <w:p w:rsidR="00B805ED" w:rsidRPr="004D1BD0" w:rsidRDefault="00B805ED" w:rsidP="00B805ED">
      <w:pPr>
        <w:pStyle w:val="Listacommarcas2"/>
        <w:numPr>
          <w:ilvl w:val="0"/>
          <w:numId w:val="44"/>
        </w:numPr>
        <w:spacing w:line="240" w:lineRule="auto"/>
        <w:rPr>
          <w:rFonts w:ascii="Times New Roman" w:hAnsi="Times New Roman"/>
          <w:sz w:val="24"/>
          <w:lang w:val="fr-FR"/>
        </w:rPr>
      </w:pPr>
      <w:r w:rsidRPr="004D1BD0">
        <w:rPr>
          <w:rFonts w:ascii="Times New Roman" w:hAnsi="Times New Roman"/>
          <w:sz w:val="24"/>
          <w:lang w:val="fr-FR"/>
        </w:rPr>
        <w:t>projets de la catégorie A ;</w:t>
      </w:r>
    </w:p>
    <w:p w:rsidR="00B805ED" w:rsidRPr="004D1BD0" w:rsidRDefault="00B805ED" w:rsidP="00B805ED">
      <w:pPr>
        <w:pStyle w:val="Listacommarcas2"/>
        <w:numPr>
          <w:ilvl w:val="0"/>
          <w:numId w:val="44"/>
        </w:numPr>
        <w:spacing w:line="240" w:lineRule="auto"/>
        <w:rPr>
          <w:rFonts w:ascii="Times New Roman" w:hAnsi="Times New Roman"/>
          <w:sz w:val="24"/>
          <w:lang w:val="fr-FR"/>
        </w:rPr>
      </w:pPr>
      <w:r w:rsidRPr="004D1BD0">
        <w:rPr>
          <w:rFonts w:ascii="Times New Roman" w:hAnsi="Times New Roman"/>
          <w:sz w:val="24"/>
          <w:lang w:val="fr-FR"/>
        </w:rPr>
        <w:t>projets de la catégorie B ;</w:t>
      </w:r>
    </w:p>
    <w:p w:rsidR="00B805ED" w:rsidRPr="004D1BD0" w:rsidRDefault="00B805ED" w:rsidP="00B805ED">
      <w:pPr>
        <w:pStyle w:val="Listacommarcas2"/>
        <w:numPr>
          <w:ilvl w:val="0"/>
          <w:numId w:val="44"/>
        </w:numPr>
        <w:spacing w:line="240" w:lineRule="auto"/>
        <w:rPr>
          <w:rFonts w:ascii="Times New Roman" w:hAnsi="Times New Roman"/>
          <w:sz w:val="24"/>
          <w:lang w:val="fr-FR"/>
        </w:rPr>
      </w:pPr>
      <w:r w:rsidRPr="004D1BD0">
        <w:rPr>
          <w:rFonts w:ascii="Times New Roman" w:hAnsi="Times New Roman"/>
          <w:sz w:val="24"/>
          <w:lang w:val="fr-FR"/>
        </w:rPr>
        <w:t>projets de la catégorie C.</w:t>
      </w:r>
    </w:p>
    <w:p w:rsidR="00B805ED" w:rsidRPr="004D1BD0" w:rsidRDefault="00B805ED" w:rsidP="00B805ED">
      <w:pPr>
        <w:pStyle w:val="Listacommarcas2"/>
        <w:numPr>
          <w:ilvl w:val="0"/>
          <w:numId w:val="0"/>
        </w:numPr>
        <w:spacing w:line="240" w:lineRule="auto"/>
        <w:ind w:left="1068"/>
        <w:rPr>
          <w:rFonts w:ascii="Times New Roman" w:hAnsi="Times New Roman"/>
          <w:sz w:val="24"/>
          <w:lang w:val="fr-FR"/>
        </w:rPr>
      </w:pPr>
    </w:p>
    <w:p w:rsidR="00B805ED" w:rsidRPr="004D1BD0" w:rsidRDefault="00B805ED" w:rsidP="00B805ED">
      <w:pPr>
        <w:pStyle w:val="Listacommarcas2"/>
        <w:numPr>
          <w:ilvl w:val="0"/>
          <w:numId w:val="45"/>
        </w:numPr>
        <w:spacing w:line="240" w:lineRule="auto"/>
        <w:rPr>
          <w:rFonts w:ascii="Times New Roman" w:hAnsi="Times New Roman"/>
          <w:sz w:val="24"/>
          <w:lang w:val="fr-FR"/>
        </w:rPr>
      </w:pPr>
      <w:r w:rsidRPr="004D1BD0">
        <w:rPr>
          <w:rFonts w:ascii="Times New Roman" w:hAnsi="Times New Roman"/>
          <w:b/>
          <w:sz w:val="24"/>
          <w:lang w:val="fr-FR"/>
        </w:rPr>
        <w:t>La catégorie A</w:t>
      </w:r>
      <w:r w:rsidRPr="004D1BD0">
        <w:rPr>
          <w:rFonts w:ascii="Times New Roman" w:hAnsi="Times New Roman"/>
          <w:sz w:val="24"/>
          <w:lang w:val="fr-FR"/>
        </w:rPr>
        <w:t xml:space="preserve"> concerné les projets à risques élevés et pouvant avoir de multiples incidences négatives assez significatives sur l’environnement et la santé sociale, parfois avec des effets à grande échelle.</w:t>
      </w:r>
    </w:p>
    <w:p w:rsidR="00B805ED" w:rsidRPr="004D1BD0" w:rsidRDefault="00B805ED" w:rsidP="00B805ED">
      <w:pPr>
        <w:pStyle w:val="Listacommarcas2"/>
        <w:numPr>
          <w:ilvl w:val="0"/>
          <w:numId w:val="45"/>
        </w:numPr>
        <w:spacing w:line="240" w:lineRule="auto"/>
        <w:rPr>
          <w:rFonts w:ascii="Times New Roman" w:hAnsi="Times New Roman"/>
          <w:sz w:val="24"/>
          <w:lang w:val="fr-FR"/>
        </w:rPr>
      </w:pPr>
      <w:r w:rsidRPr="004D1BD0">
        <w:rPr>
          <w:rFonts w:ascii="Times New Roman" w:hAnsi="Times New Roman"/>
          <w:b/>
          <w:sz w:val="24"/>
          <w:lang w:val="fr-FR"/>
        </w:rPr>
        <w:t>La catégorie B</w:t>
      </w:r>
      <w:r w:rsidRPr="004D1BD0">
        <w:rPr>
          <w:rFonts w:ascii="Times New Roman" w:hAnsi="Times New Roman"/>
          <w:sz w:val="24"/>
          <w:lang w:val="fr-FR"/>
        </w:rPr>
        <w:t xml:space="preserve"> regroupe des projets susceptibles d’avoir, sur les populations et l’environnement, des incidences négatives moins graves que celles de la catégorie précédente et ce sont généralement des incidences de nature locale et de courte durée, avec des possibilités de prendre des mesures en vue de les atténuer. </w:t>
      </w:r>
    </w:p>
    <w:p w:rsidR="00B805ED" w:rsidRPr="004D1BD0" w:rsidRDefault="00B805ED" w:rsidP="00B805ED">
      <w:pPr>
        <w:pStyle w:val="Listacommarcas2"/>
        <w:numPr>
          <w:ilvl w:val="0"/>
          <w:numId w:val="45"/>
        </w:numPr>
        <w:spacing w:line="240" w:lineRule="auto"/>
        <w:rPr>
          <w:rFonts w:ascii="Times New Roman" w:hAnsi="Times New Roman"/>
          <w:sz w:val="24"/>
          <w:lang w:val="fr-FR"/>
        </w:rPr>
      </w:pPr>
      <w:r w:rsidRPr="004D1BD0">
        <w:rPr>
          <w:rFonts w:ascii="Times New Roman" w:hAnsi="Times New Roman"/>
          <w:b/>
          <w:sz w:val="24"/>
          <w:lang w:val="fr-FR"/>
        </w:rPr>
        <w:t>La catégorie C</w:t>
      </w:r>
      <w:r w:rsidRPr="004D1BD0">
        <w:rPr>
          <w:rFonts w:ascii="Times New Roman" w:hAnsi="Times New Roman"/>
          <w:sz w:val="24"/>
          <w:lang w:val="fr-FR"/>
        </w:rPr>
        <w:t xml:space="preserve"> représente les projets dont les incidences négatives sur l’environnement et sur la santé sont insignifiantes ou inexistantes.</w:t>
      </w:r>
    </w:p>
    <w:p w:rsidR="00B805ED" w:rsidRPr="00A05698" w:rsidRDefault="00B805ED" w:rsidP="00B805ED">
      <w:pPr>
        <w:spacing w:before="120"/>
        <w:ind w:left="-284"/>
        <w:jc w:val="both"/>
        <w:rPr>
          <w:spacing w:val="-2"/>
        </w:rPr>
      </w:pPr>
      <w:r w:rsidRPr="00A05698">
        <w:rPr>
          <w:spacing w:val="-2"/>
        </w:rPr>
        <w:t>Après un examen préalable, aucune autre mesure relative à l’évaluation de l’environnement ne s’avère nécessaire pour les projets relevant de cette catégorie.</w:t>
      </w:r>
    </w:p>
    <w:p w:rsidR="00B805ED" w:rsidRPr="00A05698" w:rsidRDefault="00B805ED" w:rsidP="00B805ED">
      <w:pPr>
        <w:spacing w:before="120"/>
        <w:ind w:left="-284"/>
        <w:jc w:val="both"/>
        <w:rPr>
          <w:spacing w:val="-2"/>
        </w:rPr>
      </w:pPr>
      <w:r w:rsidRPr="00A05698">
        <w:rPr>
          <w:spacing w:val="-2"/>
        </w:rPr>
        <w:t>Les annexes I, II et III de cette réglementation déterminent la liste nominative des projets, politiques, plans et programmes des secteurs d’activités concernés par l’évaluation environnementale en revanche, c’est la procédure administrative des Évaluations Environnementales qui spécifie le processus qui aboutit à la classification des projets selon les catégories A, B, et C.</w:t>
      </w:r>
    </w:p>
    <w:p w:rsidR="00B805ED" w:rsidRPr="00A05698" w:rsidRDefault="00B805ED" w:rsidP="00B805ED">
      <w:pPr>
        <w:spacing w:before="120" w:after="120"/>
        <w:ind w:left="-284"/>
        <w:jc w:val="both"/>
        <w:rPr>
          <w:spacing w:val="-2"/>
        </w:rPr>
      </w:pPr>
      <w:r w:rsidRPr="00A05698">
        <w:rPr>
          <w:spacing w:val="-2"/>
        </w:rPr>
        <w:t>De plus, en application de la constitution, le Projet est tenu au respect de l’ensemble des règles juridiques applicables dans de sa mise en œuvre. Cette réglementation est listée dans le tableau ci- dessous :</w:t>
      </w:r>
    </w:p>
    <w:p w:rsidR="00B805ED" w:rsidRPr="00A05698" w:rsidRDefault="00B805ED" w:rsidP="00B805ED">
      <w:pPr>
        <w:pStyle w:val="Legenda"/>
      </w:pPr>
      <w:bookmarkStart w:id="128" w:name="_Toc73522610"/>
      <w:r w:rsidRPr="00A05698">
        <w:t xml:space="preserve">Tableau </w:t>
      </w:r>
      <w:r w:rsidR="00D00D1D">
        <w:fldChar w:fldCharType="begin"/>
      </w:r>
      <w:r w:rsidR="00D00D1D">
        <w:instrText xml:space="preserve"> SEQ Tableau \* ARABIC </w:instrText>
      </w:r>
      <w:r w:rsidR="00D00D1D">
        <w:fldChar w:fldCharType="separate"/>
      </w:r>
      <w:r w:rsidR="00BB7875">
        <w:rPr>
          <w:noProof/>
        </w:rPr>
        <w:t>4</w:t>
      </w:r>
      <w:r w:rsidR="00D00D1D">
        <w:rPr>
          <w:noProof/>
        </w:rPr>
        <w:fldChar w:fldCharType="end"/>
      </w:r>
      <w:r w:rsidRPr="00A05698">
        <w:t>: Les réglementations en terme environnemental et social en vigueur en Guinée Bissau</w:t>
      </w:r>
      <w:bookmarkEnd w:id="128"/>
    </w:p>
    <w:tbl>
      <w:tblPr>
        <w:tblStyle w:val="Tabelacomgrelha"/>
        <w:tblW w:w="10096" w:type="dxa"/>
        <w:jc w:val="center"/>
        <w:tblLook w:val="04A0" w:firstRow="1" w:lastRow="0" w:firstColumn="1" w:lastColumn="0" w:noHBand="0" w:noVBand="1"/>
      </w:tblPr>
      <w:tblGrid>
        <w:gridCol w:w="5067"/>
        <w:gridCol w:w="5029"/>
      </w:tblGrid>
      <w:tr w:rsidR="00B805ED" w:rsidRPr="00806206" w:rsidTr="008D4CD7">
        <w:trPr>
          <w:jc w:val="center"/>
        </w:trPr>
        <w:tc>
          <w:tcPr>
            <w:tcW w:w="5067" w:type="dxa"/>
            <w:vAlign w:val="center"/>
          </w:tcPr>
          <w:p w:rsidR="00B805ED" w:rsidRPr="00806206" w:rsidRDefault="00B805ED" w:rsidP="008D4CD7">
            <w:pPr>
              <w:jc w:val="both"/>
              <w:rPr>
                <w:color w:val="000000"/>
                <w:sz w:val="21"/>
                <w:szCs w:val="21"/>
              </w:rPr>
            </w:pPr>
            <w:r w:rsidRPr="00806206">
              <w:rPr>
                <w:color w:val="000000"/>
                <w:sz w:val="21"/>
                <w:szCs w:val="21"/>
              </w:rPr>
              <w:t>Loi N°1/2011 du 02 mars 2011 portant « principes</w:t>
            </w:r>
            <w:r w:rsidRPr="00806206">
              <w:rPr>
                <w:color w:val="000000"/>
                <w:sz w:val="21"/>
                <w:szCs w:val="21"/>
              </w:rPr>
              <w:br/>
              <w:t>fondamentaux relatifs à la définition de la politique</w:t>
            </w:r>
            <w:r w:rsidRPr="00806206">
              <w:rPr>
                <w:color w:val="000000"/>
                <w:sz w:val="21"/>
                <w:szCs w:val="21"/>
              </w:rPr>
              <w:br/>
              <w:t>nationale de la protection de l’environnement naturel et construit »</w:t>
            </w:r>
          </w:p>
        </w:tc>
        <w:tc>
          <w:tcPr>
            <w:tcW w:w="5029" w:type="dxa"/>
            <w:vAlign w:val="center"/>
          </w:tcPr>
          <w:p w:rsidR="00B805ED" w:rsidRPr="00806206" w:rsidRDefault="00B805ED" w:rsidP="008D4CD7">
            <w:pPr>
              <w:jc w:val="both"/>
              <w:rPr>
                <w:color w:val="000000"/>
                <w:sz w:val="21"/>
                <w:szCs w:val="21"/>
              </w:rPr>
            </w:pPr>
            <w:r w:rsidRPr="00806206">
              <w:rPr>
                <w:color w:val="000000"/>
                <w:sz w:val="21"/>
                <w:szCs w:val="21"/>
              </w:rPr>
              <w:t>Elle vise à favoriser la gestion durable des</w:t>
            </w:r>
            <w:r w:rsidRPr="00806206">
              <w:rPr>
                <w:color w:val="000000"/>
                <w:sz w:val="21"/>
                <w:szCs w:val="21"/>
              </w:rPr>
              <w:br/>
              <w:t>ressources naturelles, à prévenir les risques, à</w:t>
            </w:r>
            <w:r w:rsidRPr="00806206">
              <w:rPr>
                <w:color w:val="000000"/>
                <w:sz w:val="21"/>
                <w:szCs w:val="21"/>
              </w:rPr>
              <w:br/>
              <w:t>lutter contre les formes de pollutions et</w:t>
            </w:r>
            <w:r w:rsidRPr="00806206">
              <w:rPr>
                <w:color w:val="000000"/>
                <w:sz w:val="21"/>
                <w:szCs w:val="21"/>
              </w:rPr>
              <w:br/>
              <w:t>nuisances, et à améliorer la qualité de la vie</w:t>
            </w:r>
            <w:r w:rsidRPr="00806206">
              <w:rPr>
                <w:color w:val="000000"/>
                <w:sz w:val="21"/>
                <w:szCs w:val="21"/>
              </w:rPr>
              <w:br/>
              <w:t>des populations dans le respect de l’équilibre</w:t>
            </w:r>
            <w:r w:rsidRPr="00806206">
              <w:rPr>
                <w:color w:val="000000"/>
                <w:sz w:val="21"/>
                <w:szCs w:val="21"/>
              </w:rPr>
              <w:br/>
              <w:t>écologique</w:t>
            </w:r>
          </w:p>
        </w:tc>
      </w:tr>
      <w:tr w:rsidR="00B805ED" w:rsidRPr="00806206" w:rsidTr="008D4CD7">
        <w:trPr>
          <w:jc w:val="center"/>
        </w:trPr>
        <w:tc>
          <w:tcPr>
            <w:tcW w:w="5067" w:type="dxa"/>
            <w:vAlign w:val="center"/>
          </w:tcPr>
          <w:p w:rsidR="00B805ED" w:rsidRPr="00806206" w:rsidRDefault="00B805ED" w:rsidP="008D4CD7">
            <w:pPr>
              <w:jc w:val="both"/>
              <w:rPr>
                <w:color w:val="000000"/>
                <w:sz w:val="21"/>
                <w:szCs w:val="21"/>
              </w:rPr>
            </w:pPr>
            <w:r w:rsidRPr="00806206">
              <w:rPr>
                <w:color w:val="000000"/>
                <w:sz w:val="21"/>
                <w:szCs w:val="21"/>
              </w:rPr>
              <w:t>« Loi N°10/2010 du 24 septembre 2010 portant</w:t>
            </w:r>
            <w:r w:rsidRPr="00806206">
              <w:rPr>
                <w:color w:val="000000"/>
                <w:sz w:val="21"/>
                <w:szCs w:val="21"/>
              </w:rPr>
              <w:br/>
              <w:t>« principes fondamentaux relatifs à l’évaluation</w:t>
            </w:r>
            <w:r w:rsidRPr="00806206">
              <w:rPr>
                <w:color w:val="000000"/>
                <w:sz w:val="21"/>
                <w:szCs w:val="21"/>
              </w:rPr>
              <w:br/>
              <w:t xml:space="preserve">environnementale et sociale des projets, </w:t>
            </w:r>
            <w:r w:rsidRPr="00806206">
              <w:rPr>
                <w:color w:val="000000"/>
                <w:sz w:val="21"/>
                <w:szCs w:val="21"/>
              </w:rPr>
              <w:br/>
              <w:t>programmes plans et politiques du développement ».</w:t>
            </w:r>
          </w:p>
        </w:tc>
        <w:tc>
          <w:tcPr>
            <w:tcW w:w="5029" w:type="dxa"/>
            <w:vAlign w:val="center"/>
          </w:tcPr>
          <w:p w:rsidR="00B805ED" w:rsidRPr="00806206" w:rsidRDefault="00B805ED" w:rsidP="008D4CD7">
            <w:pPr>
              <w:jc w:val="both"/>
              <w:rPr>
                <w:color w:val="000000"/>
                <w:sz w:val="21"/>
                <w:szCs w:val="21"/>
              </w:rPr>
            </w:pPr>
            <w:r w:rsidRPr="00806206">
              <w:rPr>
                <w:color w:val="000000"/>
                <w:sz w:val="21"/>
                <w:szCs w:val="21"/>
              </w:rPr>
              <w:t>Elle vise à définir les procédures d’évaluation</w:t>
            </w:r>
            <w:r w:rsidRPr="00806206">
              <w:rPr>
                <w:color w:val="000000"/>
                <w:sz w:val="21"/>
                <w:szCs w:val="21"/>
              </w:rPr>
              <w:br/>
              <w:t xml:space="preserve">environnementale et sociale des projets, </w:t>
            </w:r>
            <w:r w:rsidRPr="00806206">
              <w:rPr>
                <w:color w:val="000000"/>
                <w:sz w:val="21"/>
                <w:szCs w:val="21"/>
              </w:rPr>
              <w:br/>
              <w:t>programmes, plans et politiques. Au terme de</w:t>
            </w:r>
            <w:r w:rsidRPr="00806206">
              <w:rPr>
                <w:color w:val="000000"/>
                <w:sz w:val="21"/>
                <w:szCs w:val="21"/>
              </w:rPr>
              <w:br/>
              <w:t>cette loi, les projets sont classés en ces trois</w:t>
            </w:r>
            <w:r w:rsidRPr="00806206">
              <w:rPr>
                <w:color w:val="000000"/>
                <w:sz w:val="21"/>
                <w:szCs w:val="21"/>
              </w:rPr>
              <w:br/>
              <w:t>(03) catégories A, B et C.</w:t>
            </w:r>
          </w:p>
        </w:tc>
      </w:tr>
      <w:tr w:rsidR="00B805ED" w:rsidRPr="00806206" w:rsidTr="008D4CD7">
        <w:trPr>
          <w:jc w:val="center"/>
        </w:trPr>
        <w:tc>
          <w:tcPr>
            <w:tcW w:w="5067" w:type="dxa"/>
            <w:vAlign w:val="center"/>
          </w:tcPr>
          <w:p w:rsidR="00B805ED" w:rsidRPr="00806206" w:rsidRDefault="00B805ED" w:rsidP="008D4CD7">
            <w:pPr>
              <w:jc w:val="both"/>
              <w:rPr>
                <w:color w:val="000000"/>
                <w:sz w:val="21"/>
                <w:szCs w:val="21"/>
              </w:rPr>
            </w:pPr>
            <w:r w:rsidRPr="00806206">
              <w:rPr>
                <w:color w:val="000000"/>
                <w:sz w:val="21"/>
                <w:szCs w:val="21"/>
              </w:rPr>
              <w:t>Décret n° 07/2017 du 16 Juin 2017 peut être</w:t>
            </w:r>
            <w:r w:rsidRPr="00806206">
              <w:rPr>
                <w:color w:val="000000"/>
                <w:sz w:val="21"/>
                <w:szCs w:val="21"/>
              </w:rPr>
              <w:br/>
              <w:t>considéré comme le texte qui encadre la nécessité</w:t>
            </w:r>
            <w:r w:rsidRPr="00806206">
              <w:rPr>
                <w:color w:val="000000"/>
                <w:sz w:val="21"/>
                <w:szCs w:val="21"/>
              </w:rPr>
              <w:br/>
              <w:t>d’effectuer une Etude d’Impact Environnemental et</w:t>
            </w:r>
            <w:r w:rsidRPr="00806206">
              <w:rPr>
                <w:color w:val="000000"/>
                <w:sz w:val="21"/>
                <w:szCs w:val="21"/>
              </w:rPr>
              <w:br/>
              <w:t>Social (EIES) pour s’assurer qu’un projet respecte</w:t>
            </w:r>
            <w:r w:rsidRPr="00806206">
              <w:rPr>
                <w:color w:val="000000"/>
                <w:sz w:val="21"/>
                <w:szCs w:val="21"/>
              </w:rPr>
              <w:br/>
              <w:t>des normes existantes en matière d’environnement</w:t>
            </w:r>
          </w:p>
        </w:tc>
        <w:tc>
          <w:tcPr>
            <w:tcW w:w="5029" w:type="dxa"/>
            <w:vAlign w:val="center"/>
          </w:tcPr>
          <w:p w:rsidR="00B805ED" w:rsidRPr="00806206" w:rsidRDefault="00B805ED" w:rsidP="008D4CD7">
            <w:pPr>
              <w:jc w:val="both"/>
              <w:rPr>
                <w:color w:val="000000"/>
                <w:sz w:val="21"/>
                <w:szCs w:val="21"/>
              </w:rPr>
            </w:pPr>
            <w:r w:rsidRPr="00806206">
              <w:rPr>
                <w:color w:val="000000"/>
                <w:sz w:val="21"/>
                <w:szCs w:val="21"/>
              </w:rPr>
              <w:t>L’EIES devra être effectuée par le promoteur</w:t>
            </w:r>
            <w:r w:rsidRPr="00806206">
              <w:rPr>
                <w:color w:val="000000"/>
                <w:sz w:val="21"/>
                <w:szCs w:val="21"/>
              </w:rPr>
              <w:br/>
              <w:t>et sous sa seule responsabilité. Les termes de</w:t>
            </w:r>
            <w:r w:rsidRPr="00806206">
              <w:rPr>
                <w:color w:val="000000"/>
                <w:sz w:val="21"/>
                <w:szCs w:val="21"/>
              </w:rPr>
              <w:br/>
              <w:t>référence seront établis par l’administration</w:t>
            </w:r>
            <w:r w:rsidRPr="00806206">
              <w:rPr>
                <w:color w:val="000000"/>
                <w:sz w:val="21"/>
                <w:szCs w:val="21"/>
              </w:rPr>
              <w:br/>
              <w:t>de tutelle du secteur d’activité concerné en</w:t>
            </w:r>
            <w:r w:rsidRPr="00806206">
              <w:rPr>
                <w:color w:val="000000"/>
                <w:sz w:val="21"/>
                <w:szCs w:val="21"/>
              </w:rPr>
              <w:br/>
              <w:t>liaison avec le promoteur du projet PUSA, sur la base</w:t>
            </w:r>
            <w:r w:rsidRPr="00806206">
              <w:rPr>
                <w:color w:val="000000"/>
                <w:sz w:val="21"/>
                <w:szCs w:val="21"/>
              </w:rPr>
              <w:br/>
              <w:t>de directives générales et sectorielles qui</w:t>
            </w:r>
            <w:r w:rsidRPr="00806206">
              <w:rPr>
                <w:color w:val="000000"/>
                <w:sz w:val="21"/>
                <w:szCs w:val="21"/>
              </w:rPr>
              <w:br/>
              <w:t>seront alors élaborées par l’autorité chargée</w:t>
            </w:r>
            <w:r w:rsidRPr="00806206">
              <w:rPr>
                <w:color w:val="000000"/>
                <w:sz w:val="21"/>
                <w:szCs w:val="21"/>
              </w:rPr>
              <w:br/>
              <w:t>de l’évaluation environnementale et sociale (AAAC).</w:t>
            </w:r>
          </w:p>
          <w:p w:rsidR="00B805ED" w:rsidRPr="00806206" w:rsidRDefault="00B805ED" w:rsidP="008D4CD7">
            <w:pPr>
              <w:jc w:val="both"/>
              <w:rPr>
                <w:color w:val="000000"/>
                <w:sz w:val="21"/>
                <w:szCs w:val="21"/>
              </w:rPr>
            </w:pPr>
            <w:r w:rsidRPr="00806206">
              <w:rPr>
                <w:color w:val="000000"/>
                <w:sz w:val="21"/>
                <w:szCs w:val="21"/>
              </w:rPr>
              <w:t>L’acceptabilité environnementale et sociale</w:t>
            </w:r>
            <w:r w:rsidRPr="00806206">
              <w:rPr>
                <w:color w:val="000000"/>
                <w:sz w:val="21"/>
                <w:szCs w:val="21"/>
              </w:rPr>
              <w:br/>
              <w:t>du projet PUSA sera prononcée par décision de</w:t>
            </w:r>
            <w:r w:rsidRPr="00806206">
              <w:rPr>
                <w:color w:val="000000"/>
                <w:sz w:val="21"/>
                <w:szCs w:val="21"/>
              </w:rPr>
              <w:br/>
              <w:t>l’autorité chargée de l’environnement sur</w:t>
            </w:r>
            <w:r w:rsidRPr="00806206">
              <w:rPr>
                <w:color w:val="000000"/>
                <w:sz w:val="21"/>
                <w:szCs w:val="21"/>
              </w:rPr>
              <w:br/>
              <w:t>l’avis du comité.</w:t>
            </w:r>
          </w:p>
        </w:tc>
      </w:tr>
      <w:tr w:rsidR="00B805ED" w:rsidRPr="00806206" w:rsidTr="008D4CD7">
        <w:trPr>
          <w:jc w:val="center"/>
        </w:trPr>
        <w:tc>
          <w:tcPr>
            <w:tcW w:w="5067" w:type="dxa"/>
            <w:vAlign w:val="center"/>
          </w:tcPr>
          <w:p w:rsidR="00B805ED" w:rsidRPr="00806206" w:rsidRDefault="00B805ED" w:rsidP="008D4CD7">
            <w:pPr>
              <w:jc w:val="both"/>
              <w:rPr>
                <w:color w:val="000000"/>
                <w:sz w:val="21"/>
                <w:szCs w:val="21"/>
              </w:rPr>
            </w:pPr>
            <w:r w:rsidRPr="00806206">
              <w:rPr>
                <w:color w:val="000000"/>
                <w:sz w:val="21"/>
                <w:szCs w:val="21"/>
              </w:rPr>
              <w:t>Décret n° 08/2017 du 16 Juin 2017 peut être</w:t>
            </w:r>
            <w:r w:rsidRPr="00806206">
              <w:rPr>
                <w:color w:val="000000"/>
                <w:sz w:val="21"/>
                <w:szCs w:val="21"/>
              </w:rPr>
              <w:br/>
              <w:t>considéré comme le texte qui encadre la nécessité</w:t>
            </w:r>
            <w:r w:rsidRPr="00806206">
              <w:rPr>
                <w:color w:val="000000"/>
                <w:sz w:val="21"/>
                <w:szCs w:val="21"/>
              </w:rPr>
              <w:br/>
              <w:t>d’avoir les licences et autorisations</w:t>
            </w:r>
            <w:r w:rsidRPr="00806206">
              <w:rPr>
                <w:color w:val="000000"/>
                <w:sz w:val="21"/>
                <w:szCs w:val="21"/>
              </w:rPr>
              <w:br/>
              <w:t>environnementales après les analyses des impacts et risques de la mise en œuvre d’une activité donnée.</w:t>
            </w:r>
          </w:p>
        </w:tc>
        <w:tc>
          <w:tcPr>
            <w:tcW w:w="5029" w:type="dxa"/>
            <w:vAlign w:val="center"/>
          </w:tcPr>
          <w:p w:rsidR="00B805ED" w:rsidRPr="00806206" w:rsidRDefault="00B805ED" w:rsidP="008D4CD7">
            <w:pPr>
              <w:jc w:val="both"/>
              <w:rPr>
                <w:color w:val="000000"/>
                <w:sz w:val="21"/>
                <w:szCs w:val="21"/>
              </w:rPr>
            </w:pPr>
            <w:r w:rsidRPr="00806206">
              <w:rPr>
                <w:color w:val="000000"/>
                <w:sz w:val="21"/>
                <w:szCs w:val="21"/>
              </w:rPr>
              <w:t>Il vise à définir la modalité d’avoir une</w:t>
            </w:r>
            <w:r w:rsidRPr="00806206">
              <w:rPr>
                <w:color w:val="000000"/>
                <w:sz w:val="21"/>
                <w:szCs w:val="21"/>
              </w:rPr>
              <w:br/>
              <w:t>licence et l’autorisation pour</w:t>
            </w:r>
            <w:r w:rsidRPr="00806206">
              <w:rPr>
                <w:color w:val="000000"/>
                <w:sz w:val="21"/>
                <w:szCs w:val="21"/>
              </w:rPr>
              <w:br/>
              <w:t>l’exécution d’une activité donnée.</w:t>
            </w:r>
          </w:p>
        </w:tc>
      </w:tr>
      <w:tr w:rsidR="00B805ED" w:rsidRPr="00806206" w:rsidTr="008D4CD7">
        <w:trPr>
          <w:jc w:val="center"/>
        </w:trPr>
        <w:tc>
          <w:tcPr>
            <w:tcW w:w="5067" w:type="dxa"/>
            <w:vAlign w:val="center"/>
          </w:tcPr>
          <w:p w:rsidR="00B805ED" w:rsidRPr="00806206" w:rsidRDefault="00B805ED" w:rsidP="008D4CD7">
            <w:pPr>
              <w:jc w:val="both"/>
              <w:rPr>
                <w:color w:val="000000"/>
                <w:sz w:val="21"/>
                <w:szCs w:val="21"/>
              </w:rPr>
            </w:pPr>
            <w:r w:rsidRPr="00806206">
              <w:rPr>
                <w:color w:val="000000"/>
                <w:sz w:val="21"/>
                <w:szCs w:val="21"/>
              </w:rPr>
              <w:t>Décret n° 05/2017 du 16 Juin 2017 peut être</w:t>
            </w:r>
            <w:r w:rsidRPr="00806206">
              <w:rPr>
                <w:color w:val="000000"/>
                <w:sz w:val="21"/>
                <w:szCs w:val="21"/>
              </w:rPr>
              <w:br/>
              <w:t>considéré comme le texte qui encadre la nécessité de tenir en compte la participation publique dans la planification, prise de décision et monitoring de la mise en œuvre des projets, programmes, plans et politiques de développement nationale.</w:t>
            </w:r>
          </w:p>
        </w:tc>
        <w:tc>
          <w:tcPr>
            <w:tcW w:w="5029" w:type="dxa"/>
            <w:vAlign w:val="center"/>
          </w:tcPr>
          <w:p w:rsidR="00B805ED" w:rsidRPr="00806206" w:rsidRDefault="00B805ED" w:rsidP="008D4CD7">
            <w:pPr>
              <w:jc w:val="both"/>
              <w:rPr>
                <w:color w:val="000000"/>
                <w:sz w:val="21"/>
                <w:szCs w:val="21"/>
              </w:rPr>
            </w:pPr>
            <w:r w:rsidRPr="00806206">
              <w:rPr>
                <w:color w:val="000000"/>
                <w:sz w:val="21"/>
                <w:szCs w:val="21"/>
              </w:rPr>
              <w:t>Ce décret vise à définir la modalité de la participation des tous les citoyens dans le processus de développement national.</w:t>
            </w:r>
          </w:p>
        </w:tc>
      </w:tr>
      <w:tr w:rsidR="00B805ED" w:rsidRPr="00806206" w:rsidTr="008D4CD7">
        <w:trPr>
          <w:jc w:val="center"/>
        </w:trPr>
        <w:tc>
          <w:tcPr>
            <w:tcW w:w="5067" w:type="dxa"/>
            <w:vAlign w:val="center"/>
          </w:tcPr>
          <w:p w:rsidR="00B805ED" w:rsidRPr="00806206" w:rsidRDefault="00B805ED" w:rsidP="008D4CD7">
            <w:pPr>
              <w:jc w:val="both"/>
              <w:rPr>
                <w:color w:val="000000"/>
                <w:sz w:val="21"/>
                <w:szCs w:val="21"/>
              </w:rPr>
            </w:pPr>
            <w:r w:rsidRPr="00806206">
              <w:rPr>
                <w:color w:val="000000"/>
                <w:sz w:val="21"/>
                <w:szCs w:val="21"/>
              </w:rPr>
              <w:t>Décret n° 09/2017 du 16 Juin 2017 peut être</w:t>
            </w:r>
            <w:r w:rsidRPr="00806206">
              <w:rPr>
                <w:color w:val="000000"/>
                <w:sz w:val="21"/>
                <w:szCs w:val="21"/>
              </w:rPr>
              <w:br/>
              <w:t>considéré comme le texte qui encadre la nécessité</w:t>
            </w:r>
            <w:r w:rsidRPr="00806206">
              <w:rPr>
                <w:color w:val="000000"/>
                <w:sz w:val="21"/>
                <w:szCs w:val="21"/>
              </w:rPr>
              <w:br/>
              <w:t>d’effectuer un Audit Environnemental pour les</w:t>
            </w:r>
            <w:r w:rsidRPr="00806206">
              <w:rPr>
                <w:color w:val="000000"/>
                <w:sz w:val="21"/>
                <w:szCs w:val="21"/>
              </w:rPr>
              <w:br/>
              <w:t>projets, programmes plans et politiques.</w:t>
            </w:r>
          </w:p>
        </w:tc>
        <w:tc>
          <w:tcPr>
            <w:tcW w:w="5029" w:type="dxa"/>
            <w:vAlign w:val="center"/>
          </w:tcPr>
          <w:p w:rsidR="00B805ED" w:rsidRPr="00806206" w:rsidRDefault="00B805ED" w:rsidP="008D4CD7">
            <w:pPr>
              <w:jc w:val="both"/>
              <w:rPr>
                <w:color w:val="000000"/>
                <w:sz w:val="21"/>
                <w:szCs w:val="21"/>
              </w:rPr>
            </w:pPr>
            <w:r w:rsidRPr="00806206">
              <w:rPr>
                <w:color w:val="000000"/>
                <w:sz w:val="21"/>
                <w:szCs w:val="21"/>
              </w:rPr>
              <w:t>Vise à définir la procédure, les critères et types d’audit environnemental et social à mise en place pour s’assurer la conformité du projet, programmes, plans et politiques au longue de ses vies</w:t>
            </w:r>
          </w:p>
        </w:tc>
      </w:tr>
    </w:tbl>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.2.3. Autres dispositions réglementaires applicables dans la mise en œuvre de ce projet</w:t>
      </w:r>
    </w:p>
    <w:p w:rsidR="00B805ED" w:rsidRPr="00A05698" w:rsidRDefault="00B805ED" w:rsidP="00B805ED">
      <w:pPr>
        <w:pStyle w:val="Legenda"/>
        <w:jc w:val="center"/>
      </w:pPr>
      <w:bookmarkStart w:id="129" w:name="_Toc73522611"/>
      <w:r w:rsidRPr="00A05698">
        <w:t xml:space="preserve">Tableau </w:t>
      </w:r>
      <w:r w:rsidR="00D00D1D">
        <w:fldChar w:fldCharType="begin"/>
      </w:r>
      <w:r w:rsidR="00D00D1D">
        <w:instrText xml:space="preserve"> SEQ Tableau \* ARABIC </w:instrText>
      </w:r>
      <w:r w:rsidR="00D00D1D">
        <w:fldChar w:fldCharType="separate"/>
      </w:r>
      <w:r w:rsidR="00BB7875">
        <w:rPr>
          <w:noProof/>
        </w:rPr>
        <w:t>5</w:t>
      </w:r>
      <w:r w:rsidR="00D00D1D">
        <w:rPr>
          <w:noProof/>
        </w:rPr>
        <w:fldChar w:fldCharType="end"/>
      </w:r>
      <w:r w:rsidRPr="00A05698">
        <w:t>: Autres dispositions réglementaires applicables au projet</w:t>
      </w:r>
      <w:bookmarkEnd w:id="129"/>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2731"/>
        <w:gridCol w:w="1390"/>
        <w:gridCol w:w="4671"/>
      </w:tblGrid>
      <w:tr w:rsidR="00B805ED" w:rsidRPr="005804C7" w:rsidTr="008D4CD7">
        <w:tc>
          <w:tcPr>
            <w:tcW w:w="1698" w:type="dxa"/>
            <w:shd w:val="clear" w:color="auto" w:fill="1F3864"/>
            <w:vAlign w:val="center"/>
          </w:tcPr>
          <w:p w:rsidR="00B805ED" w:rsidRPr="005804C7" w:rsidRDefault="00B805ED" w:rsidP="008D4CD7">
            <w:pPr>
              <w:jc w:val="center"/>
              <w:rPr>
                <w:b/>
                <w:sz w:val="21"/>
                <w:szCs w:val="21"/>
              </w:rPr>
            </w:pPr>
            <w:r w:rsidRPr="005804C7">
              <w:rPr>
                <w:b/>
                <w:sz w:val="21"/>
                <w:szCs w:val="21"/>
              </w:rPr>
              <w:t>Secteurs concernés</w:t>
            </w:r>
          </w:p>
        </w:tc>
        <w:tc>
          <w:tcPr>
            <w:tcW w:w="2731" w:type="dxa"/>
            <w:shd w:val="clear" w:color="auto" w:fill="1F3864"/>
            <w:vAlign w:val="center"/>
          </w:tcPr>
          <w:p w:rsidR="00B805ED" w:rsidRPr="005804C7" w:rsidRDefault="00B805ED" w:rsidP="008D4CD7">
            <w:pPr>
              <w:jc w:val="center"/>
              <w:rPr>
                <w:b/>
                <w:sz w:val="21"/>
                <w:szCs w:val="21"/>
              </w:rPr>
            </w:pPr>
            <w:r w:rsidRPr="005804C7">
              <w:rPr>
                <w:b/>
                <w:sz w:val="21"/>
                <w:szCs w:val="21"/>
              </w:rPr>
              <w:t>Bases légales</w:t>
            </w:r>
          </w:p>
        </w:tc>
        <w:tc>
          <w:tcPr>
            <w:tcW w:w="1390" w:type="dxa"/>
            <w:shd w:val="clear" w:color="auto" w:fill="1F3864"/>
            <w:vAlign w:val="center"/>
          </w:tcPr>
          <w:p w:rsidR="00B805ED" w:rsidRPr="005804C7" w:rsidRDefault="00B805ED" w:rsidP="008D4CD7">
            <w:pPr>
              <w:jc w:val="center"/>
              <w:rPr>
                <w:b/>
                <w:sz w:val="21"/>
                <w:szCs w:val="21"/>
              </w:rPr>
            </w:pPr>
            <w:r w:rsidRPr="005804C7">
              <w:rPr>
                <w:b/>
                <w:sz w:val="21"/>
                <w:szCs w:val="21"/>
              </w:rPr>
              <w:t>Références de l’article ou du texte</w:t>
            </w:r>
          </w:p>
        </w:tc>
        <w:tc>
          <w:tcPr>
            <w:tcW w:w="4671" w:type="dxa"/>
            <w:shd w:val="clear" w:color="auto" w:fill="1F3864"/>
            <w:vAlign w:val="center"/>
          </w:tcPr>
          <w:p w:rsidR="00B805ED" w:rsidRPr="005804C7" w:rsidRDefault="00B805ED" w:rsidP="008D4CD7">
            <w:pPr>
              <w:ind w:right="32"/>
              <w:jc w:val="center"/>
              <w:rPr>
                <w:b/>
                <w:sz w:val="21"/>
                <w:szCs w:val="21"/>
              </w:rPr>
            </w:pPr>
            <w:r w:rsidRPr="005804C7">
              <w:rPr>
                <w:b/>
                <w:sz w:val="21"/>
                <w:szCs w:val="21"/>
              </w:rPr>
              <w:t>Contenu pertinent en rapport avec le projet</w:t>
            </w:r>
          </w:p>
        </w:tc>
      </w:tr>
      <w:tr w:rsidR="00B805ED" w:rsidRPr="005804C7" w:rsidTr="008D4CD7">
        <w:tc>
          <w:tcPr>
            <w:tcW w:w="1698" w:type="dxa"/>
            <w:shd w:val="clear" w:color="auto" w:fill="auto"/>
            <w:vAlign w:val="center"/>
          </w:tcPr>
          <w:p w:rsidR="00B805ED" w:rsidRPr="005804C7" w:rsidRDefault="00B805ED" w:rsidP="008D4CD7">
            <w:pPr>
              <w:jc w:val="center"/>
              <w:rPr>
                <w:b/>
                <w:sz w:val="21"/>
                <w:szCs w:val="21"/>
              </w:rPr>
            </w:pPr>
            <w:r w:rsidRPr="005804C7">
              <w:rPr>
                <w:b/>
                <w:sz w:val="21"/>
                <w:szCs w:val="21"/>
              </w:rPr>
              <w:t>EAU</w:t>
            </w:r>
          </w:p>
        </w:tc>
        <w:tc>
          <w:tcPr>
            <w:tcW w:w="2731" w:type="dxa"/>
            <w:shd w:val="clear" w:color="auto" w:fill="auto"/>
            <w:vAlign w:val="center"/>
          </w:tcPr>
          <w:p w:rsidR="00B805ED" w:rsidRPr="005804C7" w:rsidRDefault="00B805ED" w:rsidP="008D4CD7">
            <w:pPr>
              <w:jc w:val="center"/>
              <w:rPr>
                <w:b/>
                <w:i/>
                <w:sz w:val="21"/>
                <w:szCs w:val="21"/>
                <w:lang w:bidi="fr-FR"/>
              </w:rPr>
            </w:pPr>
            <w:r w:rsidRPr="005804C7">
              <w:rPr>
                <w:b/>
                <w:i/>
                <w:sz w:val="21"/>
                <w:szCs w:val="21"/>
                <w:lang w:bidi="fr-FR"/>
              </w:rPr>
              <w:t>Décret-loi n°5-A 1992 portant le régime juridique général de toutes les activités relatives à la gestion de l’eau</w:t>
            </w:r>
          </w:p>
          <w:p w:rsidR="00B805ED" w:rsidRPr="005804C7" w:rsidRDefault="00B805ED" w:rsidP="008D4CD7">
            <w:pPr>
              <w:jc w:val="center"/>
              <w:rPr>
                <w:b/>
                <w:i/>
                <w:sz w:val="21"/>
                <w:szCs w:val="21"/>
              </w:rPr>
            </w:pPr>
          </w:p>
        </w:tc>
        <w:tc>
          <w:tcPr>
            <w:tcW w:w="1390" w:type="dxa"/>
            <w:shd w:val="clear" w:color="auto" w:fill="auto"/>
            <w:vAlign w:val="center"/>
          </w:tcPr>
          <w:p w:rsidR="00B805ED" w:rsidRPr="005804C7" w:rsidRDefault="00B805ED" w:rsidP="008D4CD7">
            <w:pPr>
              <w:jc w:val="center"/>
              <w:rPr>
                <w:b/>
                <w:sz w:val="21"/>
                <w:szCs w:val="21"/>
              </w:rPr>
            </w:pPr>
            <w:r w:rsidRPr="005804C7">
              <w:rPr>
                <w:b/>
                <w:sz w:val="21"/>
                <w:szCs w:val="21"/>
              </w:rPr>
              <w:t>-</w:t>
            </w:r>
          </w:p>
        </w:tc>
        <w:tc>
          <w:tcPr>
            <w:tcW w:w="4671" w:type="dxa"/>
            <w:shd w:val="clear" w:color="auto" w:fill="auto"/>
            <w:vAlign w:val="center"/>
          </w:tcPr>
          <w:p w:rsidR="00B805ED" w:rsidRPr="005804C7" w:rsidRDefault="00B805ED" w:rsidP="008D4CD7">
            <w:pPr>
              <w:jc w:val="both"/>
              <w:rPr>
                <w:color w:val="000000"/>
                <w:sz w:val="21"/>
                <w:szCs w:val="21"/>
              </w:rPr>
            </w:pPr>
            <w:r w:rsidRPr="005804C7">
              <w:rPr>
                <w:color w:val="000000"/>
                <w:sz w:val="21"/>
                <w:szCs w:val="21"/>
              </w:rPr>
              <w:t xml:space="preserve">Cette réglementation a donné les dispositions de base pour  i) définir le régime juridique général de toutes les activités relatives à la gestion des ressources hydriques ; ii) définir le cadre institutionnel et normatif d’exécution de la politique générale de gestion de l’eau au bénéfice de toute la population et dans l’intérêt économique et sociale du pays ; iii) assurer l’exécution de la politique de gestion des ressources hydriques de la Guinée Bissau quelle que soit la forme dans laquelle elles se présentent ; iv) assurer l’inventaire pour une utilisation profitable et une fiscalisation rationnelle des ressources hydriques et leur administration ;vi) assurer la protection qualitative de l’eau contre la pollution, le gaspillage et la surexploitation. </w:t>
            </w:r>
            <w:r w:rsidRPr="005804C7">
              <w:rPr>
                <w:sz w:val="21"/>
                <w:szCs w:val="21"/>
              </w:rPr>
              <w:t>Cette réglementation fait obligation entre autres, à régulariser toute utilisation de l’eau à des fins domestique, agricole, industrielle, hydroélectriques, etc.</w:t>
            </w:r>
          </w:p>
        </w:tc>
      </w:tr>
      <w:tr w:rsidR="00B805ED" w:rsidRPr="005804C7" w:rsidTr="008D4CD7">
        <w:trPr>
          <w:trHeight w:val="398"/>
        </w:trPr>
        <w:tc>
          <w:tcPr>
            <w:tcW w:w="1698" w:type="dxa"/>
            <w:vMerge w:val="restart"/>
            <w:vAlign w:val="center"/>
          </w:tcPr>
          <w:p w:rsidR="00B805ED" w:rsidRPr="005804C7" w:rsidRDefault="00B805ED" w:rsidP="008D4CD7">
            <w:pPr>
              <w:jc w:val="center"/>
              <w:rPr>
                <w:b/>
                <w:sz w:val="21"/>
                <w:szCs w:val="21"/>
              </w:rPr>
            </w:pPr>
            <w:r w:rsidRPr="005804C7">
              <w:rPr>
                <w:b/>
                <w:bCs/>
                <w:color w:val="000000"/>
                <w:sz w:val="21"/>
                <w:szCs w:val="21"/>
              </w:rPr>
              <w:t>Forêts</w:t>
            </w:r>
          </w:p>
        </w:tc>
        <w:tc>
          <w:tcPr>
            <w:tcW w:w="2731" w:type="dxa"/>
            <w:vAlign w:val="center"/>
          </w:tcPr>
          <w:p w:rsidR="00B805ED" w:rsidRPr="005804C7" w:rsidRDefault="00B805ED" w:rsidP="008D4CD7">
            <w:pPr>
              <w:rPr>
                <w:b/>
                <w:i/>
                <w:sz w:val="21"/>
                <w:szCs w:val="21"/>
              </w:rPr>
            </w:pPr>
            <w:r w:rsidRPr="005804C7">
              <w:rPr>
                <w:b/>
                <w:bCs/>
                <w:i/>
                <w:color w:val="000000"/>
                <w:sz w:val="21"/>
                <w:szCs w:val="21"/>
              </w:rPr>
              <w:t>Décret 14/2011 du 22 février portant sur préservation de la forêt</w:t>
            </w:r>
          </w:p>
        </w:tc>
        <w:tc>
          <w:tcPr>
            <w:tcW w:w="1390" w:type="dxa"/>
            <w:vAlign w:val="center"/>
          </w:tcPr>
          <w:p w:rsidR="00B805ED" w:rsidRPr="005804C7" w:rsidRDefault="00B805ED" w:rsidP="008D4CD7">
            <w:pPr>
              <w:jc w:val="center"/>
              <w:rPr>
                <w:sz w:val="21"/>
                <w:szCs w:val="21"/>
              </w:rPr>
            </w:pPr>
            <w:r w:rsidRPr="005804C7">
              <w:rPr>
                <w:color w:val="000000"/>
                <w:sz w:val="21"/>
                <w:szCs w:val="21"/>
              </w:rPr>
              <w:t>Article 2 alinéa 3</w:t>
            </w:r>
          </w:p>
        </w:tc>
        <w:tc>
          <w:tcPr>
            <w:tcW w:w="4671" w:type="dxa"/>
            <w:vAlign w:val="center"/>
          </w:tcPr>
          <w:p w:rsidR="00B805ED" w:rsidRPr="005804C7" w:rsidRDefault="00B805ED" w:rsidP="008D4CD7">
            <w:pPr>
              <w:ind w:right="32"/>
              <w:jc w:val="both"/>
              <w:rPr>
                <w:color w:val="000000"/>
                <w:sz w:val="21"/>
                <w:szCs w:val="21"/>
              </w:rPr>
            </w:pPr>
            <w:r w:rsidRPr="005804C7">
              <w:rPr>
                <w:color w:val="000000"/>
                <w:sz w:val="21"/>
                <w:szCs w:val="21"/>
              </w:rPr>
              <w:t>Elle définit qu’une forêt est une formation naturelle ou un système artificiel de formations composées des mangroves, palmeraies, forêts galeries et les autres types de formation végétale comme les forêts subhumides, denses, moyennement denses, subtropicales en régénérescence et les savanes arborées et herbacées. Le projet, qui dans sa mise en œuvre avec les aides ou les financements apporter aux agriculteurs pourrait amener à abattre des arbres pour étendre leur espace cultivable, ce projet PUSA devra tout mettre en œuvre pour préserver autant que possible les formations végétales conformément à cette réglementation</w:t>
            </w:r>
          </w:p>
        </w:tc>
      </w:tr>
      <w:tr w:rsidR="00B805ED" w:rsidRPr="005804C7" w:rsidTr="008D4CD7">
        <w:tc>
          <w:tcPr>
            <w:tcW w:w="1698" w:type="dxa"/>
            <w:vMerge/>
            <w:vAlign w:val="center"/>
          </w:tcPr>
          <w:p w:rsidR="00B805ED" w:rsidRPr="005804C7" w:rsidRDefault="00B805ED" w:rsidP="008D4CD7">
            <w:pPr>
              <w:jc w:val="center"/>
              <w:rPr>
                <w:b/>
                <w:bCs/>
                <w:color w:val="000000"/>
                <w:sz w:val="21"/>
                <w:szCs w:val="21"/>
              </w:rPr>
            </w:pPr>
          </w:p>
        </w:tc>
        <w:tc>
          <w:tcPr>
            <w:tcW w:w="2731" w:type="dxa"/>
            <w:vAlign w:val="center"/>
          </w:tcPr>
          <w:p w:rsidR="00B805ED" w:rsidRPr="00725523" w:rsidRDefault="00B805ED" w:rsidP="008D4CD7">
            <w:pPr>
              <w:jc w:val="center"/>
              <w:rPr>
                <w:b/>
                <w:i/>
                <w:color w:val="000000"/>
                <w:sz w:val="21"/>
                <w:szCs w:val="21"/>
              </w:rPr>
            </w:pPr>
            <w:r w:rsidRPr="00725523">
              <w:rPr>
                <w:b/>
                <w:i/>
                <w:color w:val="000000"/>
                <w:sz w:val="21"/>
                <w:szCs w:val="21"/>
              </w:rPr>
              <w:t>Loi n° 5-A / 2011, 1er mars,</w:t>
            </w:r>
            <w:r>
              <w:rPr>
                <w:b/>
                <w:i/>
                <w:color w:val="000000"/>
                <w:sz w:val="21"/>
                <w:szCs w:val="21"/>
              </w:rPr>
              <w:t xml:space="preserve"> loi cadre des Aires Protégées </w:t>
            </w:r>
          </w:p>
          <w:p w:rsidR="00B805ED" w:rsidRPr="005804C7" w:rsidRDefault="00B805ED" w:rsidP="008D4CD7">
            <w:pPr>
              <w:jc w:val="center"/>
              <w:rPr>
                <w:b/>
                <w:bCs/>
                <w:i/>
                <w:color w:val="000000"/>
                <w:sz w:val="21"/>
                <w:szCs w:val="21"/>
              </w:rPr>
            </w:pPr>
          </w:p>
        </w:tc>
        <w:tc>
          <w:tcPr>
            <w:tcW w:w="1390" w:type="dxa"/>
            <w:vAlign w:val="center"/>
          </w:tcPr>
          <w:p w:rsidR="00B805ED" w:rsidRPr="005804C7" w:rsidRDefault="00B805ED" w:rsidP="008D4CD7">
            <w:pPr>
              <w:jc w:val="center"/>
              <w:rPr>
                <w:color w:val="000000"/>
                <w:sz w:val="21"/>
                <w:szCs w:val="21"/>
              </w:rPr>
            </w:pPr>
            <w:r w:rsidRPr="005804C7">
              <w:rPr>
                <w:color w:val="000000"/>
                <w:sz w:val="21"/>
                <w:szCs w:val="21"/>
              </w:rPr>
              <w:t>-</w:t>
            </w:r>
          </w:p>
        </w:tc>
        <w:tc>
          <w:tcPr>
            <w:tcW w:w="4671" w:type="dxa"/>
            <w:vAlign w:val="center"/>
          </w:tcPr>
          <w:p w:rsidR="00B805ED" w:rsidRPr="005804C7" w:rsidRDefault="00B805ED" w:rsidP="008D4CD7">
            <w:pPr>
              <w:ind w:right="32"/>
              <w:jc w:val="both"/>
              <w:rPr>
                <w:color w:val="000000"/>
                <w:sz w:val="21"/>
                <w:szCs w:val="21"/>
              </w:rPr>
            </w:pPr>
            <w:r w:rsidRPr="005804C7">
              <w:rPr>
                <w:color w:val="000000"/>
                <w:sz w:val="21"/>
                <w:szCs w:val="21"/>
              </w:rPr>
              <w:t>Il établit les règles de l’interdiction</w:t>
            </w:r>
            <w:r w:rsidRPr="005804C7">
              <w:rPr>
                <w:color w:val="000000"/>
                <w:sz w:val="21"/>
                <w:szCs w:val="21"/>
              </w:rPr>
              <w:br/>
              <w:t>absolue des déboisements ou</w:t>
            </w:r>
            <w:r w:rsidRPr="005804C7">
              <w:rPr>
                <w:color w:val="000000"/>
                <w:sz w:val="21"/>
                <w:szCs w:val="21"/>
              </w:rPr>
              <w:br/>
              <w:t>débroussaillement, comme des feux de</w:t>
            </w:r>
            <w:r w:rsidRPr="005804C7">
              <w:rPr>
                <w:color w:val="000000"/>
                <w:sz w:val="21"/>
                <w:szCs w:val="21"/>
              </w:rPr>
              <w:br/>
              <w:t>brousse, taillis ou de bois dans la</w:t>
            </w:r>
            <w:r w:rsidRPr="005804C7">
              <w:rPr>
                <w:color w:val="000000"/>
                <w:sz w:val="21"/>
                <w:szCs w:val="21"/>
              </w:rPr>
              <w:br/>
              <w:t>concession ou dans tous les terrains</w:t>
            </w:r>
            <w:r w:rsidRPr="005804C7">
              <w:rPr>
                <w:color w:val="000000"/>
                <w:sz w:val="21"/>
                <w:szCs w:val="21"/>
              </w:rPr>
              <w:br/>
              <w:t>formant le domaine dénommé « Parcs</w:t>
            </w:r>
            <w:r w:rsidRPr="005804C7">
              <w:rPr>
                <w:color w:val="000000"/>
                <w:sz w:val="21"/>
                <w:szCs w:val="21"/>
              </w:rPr>
              <w:br/>
              <w:t>Nationaux, Naturelles. Le projet consiste à financier les producteurs agricoles contre les effets négatives de la Covid 19 et devra tout mettre en œuvre pour préserver autant que possible les formations végétales et protéger la biodiversité</w:t>
            </w:r>
          </w:p>
        </w:tc>
      </w:tr>
      <w:tr w:rsidR="00B805ED" w:rsidRPr="005804C7" w:rsidTr="008D4CD7">
        <w:tc>
          <w:tcPr>
            <w:tcW w:w="1698" w:type="dxa"/>
            <w:vMerge/>
            <w:vAlign w:val="center"/>
          </w:tcPr>
          <w:p w:rsidR="00B805ED" w:rsidRPr="005804C7" w:rsidRDefault="00B805ED" w:rsidP="008D4CD7">
            <w:pPr>
              <w:jc w:val="center"/>
              <w:rPr>
                <w:b/>
                <w:bCs/>
                <w:color w:val="000000"/>
                <w:sz w:val="21"/>
                <w:szCs w:val="21"/>
              </w:rPr>
            </w:pPr>
          </w:p>
        </w:tc>
        <w:tc>
          <w:tcPr>
            <w:tcW w:w="2731" w:type="dxa"/>
            <w:vAlign w:val="center"/>
          </w:tcPr>
          <w:p w:rsidR="00B805ED" w:rsidRPr="005804C7" w:rsidRDefault="00B805ED" w:rsidP="008D4CD7">
            <w:pPr>
              <w:jc w:val="center"/>
              <w:rPr>
                <w:b/>
                <w:i/>
                <w:color w:val="000000"/>
                <w:sz w:val="21"/>
                <w:szCs w:val="21"/>
              </w:rPr>
            </w:pPr>
            <w:r>
              <w:rPr>
                <w:b/>
                <w:i/>
                <w:color w:val="000000"/>
                <w:sz w:val="21"/>
                <w:szCs w:val="21"/>
              </w:rPr>
              <w:t>Décret-loi n</w:t>
            </w:r>
            <w:r w:rsidRPr="004C65E8">
              <w:rPr>
                <w:b/>
                <w:i/>
                <w:color w:val="000000"/>
                <w:sz w:val="21"/>
                <w:szCs w:val="21"/>
              </w:rPr>
              <w:t xml:space="preserve">º 11/2017 portant classification </w:t>
            </w:r>
            <w:r>
              <w:rPr>
                <w:b/>
                <w:i/>
                <w:color w:val="000000"/>
                <w:sz w:val="21"/>
                <w:szCs w:val="21"/>
              </w:rPr>
              <w:t>des</w:t>
            </w:r>
            <w:r w:rsidRPr="004C65E8">
              <w:rPr>
                <w:b/>
                <w:i/>
                <w:color w:val="000000"/>
                <w:sz w:val="21"/>
                <w:szCs w:val="21"/>
              </w:rPr>
              <w:t xml:space="preserve"> corridor écologique</w:t>
            </w:r>
            <w:r>
              <w:rPr>
                <w:b/>
                <w:i/>
                <w:color w:val="000000"/>
                <w:sz w:val="21"/>
                <w:szCs w:val="21"/>
              </w:rPr>
              <w:t>s</w:t>
            </w:r>
            <w:r w:rsidRPr="004C65E8">
              <w:rPr>
                <w:b/>
                <w:i/>
                <w:color w:val="000000"/>
                <w:sz w:val="21"/>
                <w:szCs w:val="21"/>
              </w:rPr>
              <w:t xml:space="preserve"> </w:t>
            </w:r>
          </w:p>
        </w:tc>
        <w:tc>
          <w:tcPr>
            <w:tcW w:w="1390" w:type="dxa"/>
            <w:vAlign w:val="center"/>
          </w:tcPr>
          <w:p w:rsidR="00B805ED" w:rsidRPr="005804C7" w:rsidRDefault="00B805ED" w:rsidP="008D4CD7">
            <w:pPr>
              <w:jc w:val="center"/>
              <w:rPr>
                <w:color w:val="000000"/>
                <w:sz w:val="21"/>
                <w:szCs w:val="21"/>
              </w:rPr>
            </w:pPr>
            <w:r>
              <w:rPr>
                <w:color w:val="000000"/>
                <w:sz w:val="21"/>
                <w:szCs w:val="21"/>
              </w:rPr>
              <w:t>-</w:t>
            </w:r>
          </w:p>
        </w:tc>
        <w:tc>
          <w:tcPr>
            <w:tcW w:w="4671" w:type="dxa"/>
            <w:vAlign w:val="center"/>
          </w:tcPr>
          <w:p w:rsidR="00B805ED" w:rsidRPr="005804C7" w:rsidRDefault="00B805ED" w:rsidP="008D4CD7">
            <w:pPr>
              <w:ind w:right="32"/>
              <w:jc w:val="both"/>
              <w:rPr>
                <w:color w:val="000000"/>
                <w:sz w:val="21"/>
                <w:szCs w:val="21"/>
              </w:rPr>
            </w:pPr>
            <w:r w:rsidRPr="001A5CF8">
              <w:rPr>
                <w:color w:val="000000"/>
                <w:sz w:val="21"/>
                <w:szCs w:val="21"/>
              </w:rPr>
              <w:t>Le Gouvernement de la Guinée-Bissau a en effet procédé à la classification de nouvelles aires protégées notamment le Complexe Dulombi-Boe-Tchétché, composé de deux parcs nationaux et trois corridors écologiques en plus des parcs existants (les mangroves du Rio Cacheu (540 km2) ; les îles d’Orango de l’archipel des Bijagos (680 km2 ) ; les lagunes de Cufada (990 km2 ) ; le massif forestier de Cantanhés (650</w:t>
            </w:r>
            <w:r>
              <w:rPr>
                <w:color w:val="000000"/>
                <w:sz w:val="21"/>
                <w:szCs w:val="21"/>
              </w:rPr>
              <w:t>). Cet decret-loi permet d’a</w:t>
            </w:r>
            <w:r w:rsidRPr="0081656D">
              <w:rPr>
                <w:color w:val="000000"/>
                <w:sz w:val="21"/>
                <w:szCs w:val="21"/>
              </w:rPr>
              <w:t>ccroître sensiblement la superficie des forêts protégées dans le monde et celle des forêts gérées de façon durable et accroître la proportion des produits forestiers provenant de forêts en gestion durable</w:t>
            </w:r>
          </w:p>
        </w:tc>
      </w:tr>
      <w:tr w:rsidR="00B805ED" w:rsidRPr="005804C7" w:rsidTr="008D4CD7">
        <w:tc>
          <w:tcPr>
            <w:tcW w:w="1698" w:type="dxa"/>
            <w:vMerge/>
            <w:vAlign w:val="center"/>
          </w:tcPr>
          <w:p w:rsidR="00B805ED" w:rsidRPr="005804C7" w:rsidRDefault="00B805ED" w:rsidP="008D4CD7">
            <w:pPr>
              <w:jc w:val="center"/>
              <w:rPr>
                <w:b/>
                <w:bCs/>
                <w:color w:val="000000"/>
                <w:sz w:val="21"/>
                <w:szCs w:val="21"/>
              </w:rPr>
            </w:pPr>
          </w:p>
        </w:tc>
        <w:tc>
          <w:tcPr>
            <w:tcW w:w="2731" w:type="dxa"/>
            <w:vAlign w:val="center"/>
          </w:tcPr>
          <w:p w:rsidR="00B805ED" w:rsidRPr="005804C7" w:rsidRDefault="00B805ED" w:rsidP="008D4CD7">
            <w:pPr>
              <w:jc w:val="center"/>
              <w:rPr>
                <w:b/>
                <w:bCs/>
                <w:i/>
                <w:color w:val="000000"/>
                <w:sz w:val="21"/>
                <w:szCs w:val="21"/>
              </w:rPr>
            </w:pPr>
            <w:r w:rsidRPr="005804C7">
              <w:rPr>
                <w:b/>
                <w:i/>
                <w:color w:val="000000"/>
                <w:sz w:val="21"/>
                <w:szCs w:val="21"/>
              </w:rPr>
              <w:t>Loi nº 05/2011 du 22 février 2011 portant loi</w:t>
            </w:r>
            <w:r w:rsidRPr="005804C7">
              <w:rPr>
                <w:b/>
                <w:i/>
                <w:color w:val="000000"/>
                <w:sz w:val="21"/>
                <w:szCs w:val="21"/>
              </w:rPr>
              <w:br/>
              <w:t>forestière pour encadrer la coupe et le reboisement.</w:t>
            </w:r>
          </w:p>
        </w:tc>
        <w:tc>
          <w:tcPr>
            <w:tcW w:w="1390" w:type="dxa"/>
            <w:vAlign w:val="center"/>
          </w:tcPr>
          <w:p w:rsidR="00B805ED" w:rsidRPr="005804C7" w:rsidRDefault="00B805ED" w:rsidP="008D4CD7">
            <w:pPr>
              <w:jc w:val="center"/>
              <w:rPr>
                <w:color w:val="000000"/>
                <w:sz w:val="21"/>
                <w:szCs w:val="21"/>
              </w:rPr>
            </w:pPr>
            <w:r w:rsidRPr="005804C7">
              <w:rPr>
                <w:color w:val="000000"/>
                <w:sz w:val="21"/>
                <w:szCs w:val="21"/>
              </w:rPr>
              <w:t>-</w:t>
            </w:r>
          </w:p>
        </w:tc>
        <w:tc>
          <w:tcPr>
            <w:tcW w:w="4671" w:type="dxa"/>
            <w:vAlign w:val="center"/>
          </w:tcPr>
          <w:p w:rsidR="00B805ED" w:rsidRPr="005804C7" w:rsidRDefault="00B805ED" w:rsidP="008D4CD7">
            <w:pPr>
              <w:ind w:right="32"/>
              <w:jc w:val="both"/>
              <w:rPr>
                <w:color w:val="000000"/>
                <w:sz w:val="21"/>
                <w:szCs w:val="21"/>
              </w:rPr>
            </w:pPr>
            <w:r w:rsidRPr="005804C7">
              <w:rPr>
                <w:color w:val="000000"/>
                <w:sz w:val="21"/>
                <w:szCs w:val="21"/>
              </w:rPr>
              <w:t>La loi précise que :</w:t>
            </w:r>
            <w:r w:rsidRPr="005804C7">
              <w:rPr>
                <w:color w:val="000000"/>
                <w:sz w:val="21"/>
                <w:szCs w:val="21"/>
              </w:rPr>
              <w:br/>
              <w:t>« tout déboisement doit être compensé par un</w:t>
            </w:r>
            <w:r w:rsidRPr="005804C7">
              <w:rPr>
                <w:color w:val="000000"/>
                <w:sz w:val="21"/>
                <w:szCs w:val="21"/>
              </w:rPr>
              <w:br/>
              <w:t>reboisement équivalent en qualité et en</w:t>
            </w:r>
            <w:r w:rsidRPr="005804C7">
              <w:rPr>
                <w:color w:val="000000"/>
                <w:sz w:val="21"/>
                <w:szCs w:val="21"/>
              </w:rPr>
              <w:br/>
              <w:t>superficie au couvert forestier initial (…) et</w:t>
            </w:r>
            <w:r w:rsidRPr="005804C7">
              <w:rPr>
                <w:color w:val="000000"/>
                <w:sz w:val="21"/>
                <w:szCs w:val="21"/>
              </w:rPr>
              <w:br/>
              <w:t>exige l’obtention d’une autorisation et/ou</w:t>
            </w:r>
            <w:r w:rsidRPr="005804C7">
              <w:rPr>
                <w:color w:val="000000"/>
                <w:sz w:val="21"/>
                <w:szCs w:val="21"/>
              </w:rPr>
              <w:br/>
              <w:t>licence environnementale comme les</w:t>
            </w:r>
            <w:r w:rsidRPr="005804C7">
              <w:rPr>
                <w:color w:val="000000"/>
                <w:sz w:val="21"/>
                <w:szCs w:val="21"/>
              </w:rPr>
              <w:br/>
              <w:t>conditions de base pour avoir le permis de</w:t>
            </w:r>
            <w:r w:rsidRPr="005804C7">
              <w:rPr>
                <w:color w:val="000000"/>
                <w:sz w:val="21"/>
                <w:szCs w:val="21"/>
              </w:rPr>
              <w:br/>
              <w:t>déboisement pour une superficie supérieure à</w:t>
            </w:r>
            <w:r w:rsidRPr="005804C7">
              <w:rPr>
                <w:color w:val="000000"/>
                <w:sz w:val="21"/>
                <w:szCs w:val="21"/>
              </w:rPr>
              <w:br/>
              <w:t>05 ha ».</w:t>
            </w:r>
          </w:p>
        </w:tc>
      </w:tr>
      <w:tr w:rsidR="00B805ED" w:rsidRPr="005804C7" w:rsidTr="008D4CD7">
        <w:tc>
          <w:tcPr>
            <w:tcW w:w="1698" w:type="dxa"/>
            <w:vMerge w:val="restart"/>
            <w:vAlign w:val="center"/>
          </w:tcPr>
          <w:p w:rsidR="00B805ED" w:rsidRPr="005804C7" w:rsidRDefault="00B805ED" w:rsidP="008D4CD7">
            <w:pPr>
              <w:jc w:val="center"/>
              <w:rPr>
                <w:b/>
                <w:bCs/>
                <w:color w:val="000000"/>
                <w:sz w:val="21"/>
                <w:szCs w:val="21"/>
              </w:rPr>
            </w:pPr>
            <w:r w:rsidRPr="005804C7">
              <w:rPr>
                <w:b/>
                <w:bCs/>
                <w:color w:val="000000"/>
                <w:sz w:val="21"/>
                <w:szCs w:val="21"/>
              </w:rPr>
              <w:t>Foncier</w:t>
            </w:r>
          </w:p>
        </w:tc>
        <w:tc>
          <w:tcPr>
            <w:tcW w:w="2731" w:type="dxa"/>
            <w:vMerge w:val="restart"/>
            <w:vAlign w:val="center"/>
          </w:tcPr>
          <w:p w:rsidR="00B805ED" w:rsidRPr="005804C7" w:rsidRDefault="00B805ED" w:rsidP="008D4CD7">
            <w:pPr>
              <w:jc w:val="center"/>
              <w:rPr>
                <w:b/>
                <w:bCs/>
                <w:i/>
                <w:color w:val="000000"/>
                <w:sz w:val="21"/>
                <w:szCs w:val="21"/>
              </w:rPr>
            </w:pPr>
            <w:r w:rsidRPr="005804C7">
              <w:rPr>
                <w:b/>
                <w:i/>
                <w:color w:val="000000"/>
                <w:sz w:val="21"/>
                <w:szCs w:val="21"/>
              </w:rPr>
              <w:t>loi n°2/98 du 23 avril portant sur le foncier</w:t>
            </w:r>
          </w:p>
        </w:tc>
        <w:tc>
          <w:tcPr>
            <w:tcW w:w="1390" w:type="dxa"/>
            <w:vAlign w:val="center"/>
          </w:tcPr>
          <w:p w:rsidR="00B805ED" w:rsidRPr="005804C7" w:rsidRDefault="00B805ED" w:rsidP="008D4CD7">
            <w:pPr>
              <w:jc w:val="center"/>
              <w:rPr>
                <w:color w:val="000000"/>
                <w:sz w:val="21"/>
                <w:szCs w:val="21"/>
              </w:rPr>
            </w:pPr>
            <w:r w:rsidRPr="005804C7">
              <w:rPr>
                <w:color w:val="000000"/>
                <w:sz w:val="21"/>
                <w:szCs w:val="21"/>
              </w:rPr>
              <w:t>Article 2</w:t>
            </w:r>
          </w:p>
        </w:tc>
        <w:tc>
          <w:tcPr>
            <w:tcW w:w="4671" w:type="dxa"/>
            <w:vAlign w:val="center"/>
          </w:tcPr>
          <w:p w:rsidR="00B805ED" w:rsidRPr="005804C7" w:rsidRDefault="00B805ED" w:rsidP="008D4CD7">
            <w:pPr>
              <w:ind w:right="32"/>
              <w:jc w:val="both"/>
              <w:rPr>
                <w:color w:val="000000"/>
                <w:sz w:val="21"/>
                <w:szCs w:val="21"/>
              </w:rPr>
            </w:pPr>
            <w:r w:rsidRPr="005804C7">
              <w:rPr>
                <w:color w:val="000000"/>
                <w:sz w:val="21"/>
                <w:szCs w:val="21"/>
              </w:rPr>
              <w:t>Elle stipule que dans la République de Guinée Bissau, le foncier est la propriété de l’Etat et patrimoine commun de toute de la population.</w:t>
            </w:r>
          </w:p>
        </w:tc>
      </w:tr>
      <w:tr w:rsidR="00B805ED" w:rsidRPr="005804C7" w:rsidTr="008D4CD7">
        <w:tc>
          <w:tcPr>
            <w:tcW w:w="1698" w:type="dxa"/>
            <w:vMerge/>
            <w:vAlign w:val="center"/>
          </w:tcPr>
          <w:p w:rsidR="00B805ED" w:rsidRPr="005804C7" w:rsidRDefault="00B805ED" w:rsidP="008D4CD7">
            <w:pPr>
              <w:jc w:val="center"/>
              <w:rPr>
                <w:b/>
                <w:bCs/>
                <w:color w:val="000000"/>
                <w:sz w:val="21"/>
                <w:szCs w:val="21"/>
              </w:rPr>
            </w:pPr>
          </w:p>
        </w:tc>
        <w:tc>
          <w:tcPr>
            <w:tcW w:w="2731" w:type="dxa"/>
            <w:vMerge/>
            <w:vAlign w:val="center"/>
          </w:tcPr>
          <w:p w:rsidR="00B805ED" w:rsidRPr="005804C7" w:rsidRDefault="00B805ED" w:rsidP="008D4CD7">
            <w:pPr>
              <w:jc w:val="center"/>
              <w:rPr>
                <w:b/>
                <w:i/>
                <w:color w:val="000000"/>
                <w:sz w:val="21"/>
                <w:szCs w:val="21"/>
              </w:rPr>
            </w:pPr>
          </w:p>
        </w:tc>
        <w:tc>
          <w:tcPr>
            <w:tcW w:w="1390" w:type="dxa"/>
            <w:vAlign w:val="center"/>
          </w:tcPr>
          <w:p w:rsidR="00B805ED" w:rsidRPr="005804C7" w:rsidRDefault="00B805ED" w:rsidP="008D4CD7">
            <w:pPr>
              <w:jc w:val="center"/>
              <w:rPr>
                <w:color w:val="000000"/>
                <w:sz w:val="21"/>
                <w:szCs w:val="21"/>
              </w:rPr>
            </w:pPr>
            <w:r w:rsidRPr="005804C7">
              <w:rPr>
                <w:color w:val="000000"/>
                <w:sz w:val="21"/>
                <w:szCs w:val="21"/>
              </w:rPr>
              <w:t>Article 4</w:t>
            </w:r>
          </w:p>
        </w:tc>
        <w:tc>
          <w:tcPr>
            <w:tcW w:w="4671" w:type="dxa"/>
            <w:vAlign w:val="center"/>
          </w:tcPr>
          <w:p w:rsidR="00B805ED" w:rsidRPr="005804C7" w:rsidRDefault="00B805ED" w:rsidP="008D4CD7">
            <w:pPr>
              <w:ind w:right="32"/>
              <w:jc w:val="both"/>
              <w:rPr>
                <w:color w:val="000000"/>
                <w:sz w:val="21"/>
                <w:szCs w:val="21"/>
              </w:rPr>
            </w:pPr>
            <w:r w:rsidRPr="005804C7">
              <w:rPr>
                <w:color w:val="000000"/>
                <w:sz w:val="21"/>
                <w:szCs w:val="21"/>
              </w:rPr>
              <w:t>Elle stipule que la communauté locale exerce le pouvoir de gestion des terres en accord avec le régime coutumier sur la superficie située dans leur limite territoriale historique c’est-à-dire celle habitée ou utilisée à des fins agricoles telles que l’agriculture, l’élevage. Ce pouvoir s’exerce également sur les ressources hydriques et maritimes, les forêts sacrées ou destinées à autres fins socioculturelles et économiques.</w:t>
            </w:r>
          </w:p>
        </w:tc>
      </w:tr>
      <w:tr w:rsidR="00B805ED" w:rsidRPr="005804C7" w:rsidTr="008D4CD7">
        <w:tc>
          <w:tcPr>
            <w:tcW w:w="1698" w:type="dxa"/>
            <w:vMerge/>
            <w:vAlign w:val="center"/>
          </w:tcPr>
          <w:p w:rsidR="00B805ED" w:rsidRPr="005804C7" w:rsidRDefault="00B805ED" w:rsidP="008D4CD7">
            <w:pPr>
              <w:jc w:val="center"/>
              <w:rPr>
                <w:b/>
                <w:bCs/>
                <w:color w:val="000000"/>
                <w:sz w:val="21"/>
                <w:szCs w:val="21"/>
              </w:rPr>
            </w:pPr>
          </w:p>
        </w:tc>
        <w:tc>
          <w:tcPr>
            <w:tcW w:w="2731" w:type="dxa"/>
            <w:vAlign w:val="center"/>
          </w:tcPr>
          <w:p w:rsidR="00B805ED" w:rsidRPr="005804C7" w:rsidRDefault="00B805ED" w:rsidP="008D4CD7">
            <w:pPr>
              <w:jc w:val="center"/>
              <w:rPr>
                <w:b/>
                <w:i/>
                <w:color w:val="000000"/>
                <w:sz w:val="21"/>
                <w:szCs w:val="21"/>
              </w:rPr>
            </w:pPr>
            <w:r w:rsidRPr="005804C7">
              <w:rPr>
                <w:b/>
                <w:i/>
                <w:color w:val="000000"/>
                <w:sz w:val="21"/>
                <w:szCs w:val="21"/>
              </w:rPr>
              <w:t>Décret nº 5/98 du 28 avril 1998 sur les</w:t>
            </w:r>
            <w:r w:rsidRPr="005804C7">
              <w:rPr>
                <w:b/>
                <w:i/>
                <w:color w:val="000000"/>
                <w:sz w:val="21"/>
                <w:szCs w:val="21"/>
              </w:rPr>
              <w:br/>
              <w:t>concessions et l’administration des terres ; régime</w:t>
            </w:r>
            <w:r w:rsidRPr="005804C7">
              <w:rPr>
                <w:b/>
                <w:i/>
                <w:color w:val="000000"/>
                <w:sz w:val="21"/>
                <w:szCs w:val="21"/>
              </w:rPr>
              <w:br/>
              <w:t>foncier et immobilier et régime des suretés.</w:t>
            </w:r>
          </w:p>
        </w:tc>
        <w:tc>
          <w:tcPr>
            <w:tcW w:w="1390" w:type="dxa"/>
            <w:vAlign w:val="center"/>
          </w:tcPr>
          <w:p w:rsidR="00B805ED" w:rsidRPr="005804C7" w:rsidRDefault="00B805ED" w:rsidP="008D4CD7">
            <w:pPr>
              <w:jc w:val="center"/>
              <w:rPr>
                <w:color w:val="000000"/>
                <w:sz w:val="21"/>
                <w:szCs w:val="21"/>
              </w:rPr>
            </w:pPr>
            <w:r w:rsidRPr="005804C7">
              <w:rPr>
                <w:color w:val="000000"/>
                <w:sz w:val="21"/>
                <w:szCs w:val="21"/>
              </w:rPr>
              <w:t>-</w:t>
            </w:r>
          </w:p>
        </w:tc>
        <w:tc>
          <w:tcPr>
            <w:tcW w:w="4671" w:type="dxa"/>
            <w:vAlign w:val="center"/>
          </w:tcPr>
          <w:p w:rsidR="00B805ED" w:rsidRPr="005804C7" w:rsidRDefault="00B805ED" w:rsidP="008D4CD7">
            <w:pPr>
              <w:ind w:right="32"/>
              <w:jc w:val="both"/>
              <w:rPr>
                <w:color w:val="000000"/>
                <w:sz w:val="21"/>
                <w:szCs w:val="21"/>
              </w:rPr>
            </w:pPr>
            <w:r w:rsidRPr="005804C7">
              <w:rPr>
                <w:color w:val="000000"/>
                <w:sz w:val="21"/>
                <w:szCs w:val="21"/>
              </w:rPr>
              <w:t>Toute procédure d’expropriation devra</w:t>
            </w:r>
            <w:r w:rsidRPr="005804C7">
              <w:rPr>
                <w:color w:val="000000"/>
                <w:sz w:val="21"/>
                <w:szCs w:val="21"/>
              </w:rPr>
              <w:br/>
              <w:t>être conforme aux procédures établies</w:t>
            </w:r>
            <w:r w:rsidRPr="005804C7">
              <w:rPr>
                <w:color w:val="000000"/>
                <w:sz w:val="21"/>
                <w:szCs w:val="21"/>
              </w:rPr>
              <w:br/>
              <w:t xml:space="preserve">par la réglementation. </w:t>
            </w:r>
          </w:p>
        </w:tc>
      </w:tr>
      <w:tr w:rsidR="00B805ED" w:rsidRPr="005804C7" w:rsidTr="008D4CD7">
        <w:tc>
          <w:tcPr>
            <w:tcW w:w="1698" w:type="dxa"/>
            <w:vMerge/>
            <w:vAlign w:val="center"/>
          </w:tcPr>
          <w:p w:rsidR="00B805ED" w:rsidRPr="005804C7" w:rsidRDefault="00B805ED" w:rsidP="008D4CD7">
            <w:pPr>
              <w:jc w:val="center"/>
              <w:rPr>
                <w:b/>
                <w:bCs/>
                <w:color w:val="000000"/>
                <w:sz w:val="21"/>
                <w:szCs w:val="21"/>
              </w:rPr>
            </w:pPr>
          </w:p>
        </w:tc>
        <w:tc>
          <w:tcPr>
            <w:tcW w:w="2731" w:type="dxa"/>
            <w:vAlign w:val="center"/>
          </w:tcPr>
          <w:p w:rsidR="00B805ED" w:rsidRPr="005804C7" w:rsidRDefault="00B805ED" w:rsidP="008D4CD7">
            <w:pPr>
              <w:jc w:val="center"/>
              <w:rPr>
                <w:b/>
                <w:i/>
                <w:color w:val="000000"/>
                <w:sz w:val="21"/>
                <w:szCs w:val="21"/>
              </w:rPr>
            </w:pPr>
            <w:r w:rsidRPr="005804C7">
              <w:rPr>
                <w:b/>
                <w:i/>
                <w:color w:val="000000"/>
                <w:sz w:val="21"/>
                <w:szCs w:val="21"/>
              </w:rPr>
              <w:t>Loi nº 10/2010 de 24 septembre 2010, qui</w:t>
            </w:r>
            <w:r w:rsidRPr="005804C7">
              <w:rPr>
                <w:b/>
                <w:i/>
                <w:color w:val="000000"/>
                <w:sz w:val="21"/>
                <w:szCs w:val="21"/>
              </w:rPr>
              <w:br/>
              <w:t>amène dans l’un de ses articles, le régime général</w:t>
            </w:r>
            <w:r w:rsidRPr="005804C7">
              <w:rPr>
                <w:b/>
                <w:i/>
                <w:color w:val="000000"/>
                <w:sz w:val="21"/>
                <w:szCs w:val="21"/>
              </w:rPr>
              <w:br/>
              <w:t>pour minimiser les pertes des biens économiques</w:t>
            </w:r>
          </w:p>
        </w:tc>
        <w:tc>
          <w:tcPr>
            <w:tcW w:w="1390" w:type="dxa"/>
            <w:vAlign w:val="center"/>
          </w:tcPr>
          <w:p w:rsidR="00B805ED" w:rsidRPr="005804C7" w:rsidRDefault="00B805ED" w:rsidP="008D4CD7">
            <w:pPr>
              <w:jc w:val="center"/>
              <w:rPr>
                <w:color w:val="000000"/>
                <w:sz w:val="21"/>
                <w:szCs w:val="21"/>
              </w:rPr>
            </w:pPr>
            <w:r w:rsidRPr="005804C7">
              <w:rPr>
                <w:color w:val="000000"/>
                <w:sz w:val="21"/>
                <w:szCs w:val="21"/>
              </w:rPr>
              <w:t>-</w:t>
            </w:r>
          </w:p>
        </w:tc>
        <w:tc>
          <w:tcPr>
            <w:tcW w:w="4671" w:type="dxa"/>
            <w:vAlign w:val="center"/>
          </w:tcPr>
          <w:p w:rsidR="00B805ED" w:rsidRPr="005804C7" w:rsidRDefault="00B805ED" w:rsidP="008D4CD7">
            <w:pPr>
              <w:ind w:right="32"/>
              <w:jc w:val="both"/>
              <w:rPr>
                <w:color w:val="000000"/>
                <w:sz w:val="21"/>
                <w:szCs w:val="21"/>
              </w:rPr>
            </w:pPr>
            <w:r w:rsidRPr="005804C7">
              <w:rPr>
                <w:color w:val="000000"/>
                <w:sz w:val="21"/>
                <w:szCs w:val="21"/>
              </w:rPr>
              <w:t>L’évaluation des impenses est réalisée</w:t>
            </w:r>
            <w:r w:rsidRPr="005804C7">
              <w:rPr>
                <w:color w:val="000000"/>
                <w:sz w:val="21"/>
                <w:szCs w:val="21"/>
              </w:rPr>
              <w:br/>
              <w:t>par une commission d’évaluation des</w:t>
            </w:r>
            <w:r w:rsidRPr="005804C7">
              <w:rPr>
                <w:color w:val="000000"/>
                <w:sz w:val="21"/>
                <w:szCs w:val="21"/>
              </w:rPr>
              <w:br/>
              <w:t>impenses en vue de l’évaluation</w:t>
            </w:r>
            <w:r w:rsidRPr="005804C7">
              <w:rPr>
                <w:color w:val="000000"/>
                <w:sz w:val="21"/>
                <w:szCs w:val="21"/>
              </w:rPr>
              <w:br/>
              <w:t>des indemnités à verser à l’occupant en cas</w:t>
            </w:r>
            <w:r w:rsidRPr="005804C7">
              <w:rPr>
                <w:color w:val="000000"/>
                <w:sz w:val="21"/>
                <w:szCs w:val="21"/>
              </w:rPr>
              <w:br/>
              <w:t xml:space="preserve">de reprise de terrain. </w:t>
            </w:r>
          </w:p>
        </w:tc>
      </w:tr>
      <w:tr w:rsidR="00BD1EE4" w:rsidRPr="005804C7" w:rsidTr="008D4CD7">
        <w:tc>
          <w:tcPr>
            <w:tcW w:w="1698" w:type="dxa"/>
            <w:vAlign w:val="center"/>
          </w:tcPr>
          <w:p w:rsidR="00BD1EE4" w:rsidRPr="005804C7" w:rsidRDefault="00BD1EE4" w:rsidP="008D4CD7">
            <w:pPr>
              <w:jc w:val="center"/>
              <w:rPr>
                <w:b/>
                <w:bCs/>
                <w:color w:val="000000"/>
                <w:sz w:val="21"/>
                <w:szCs w:val="21"/>
              </w:rPr>
            </w:pPr>
            <w:r>
              <w:rPr>
                <w:b/>
                <w:bCs/>
                <w:color w:val="000000"/>
                <w:sz w:val="21"/>
                <w:szCs w:val="21"/>
              </w:rPr>
              <w:t>Patrimoine culturel</w:t>
            </w:r>
          </w:p>
        </w:tc>
        <w:tc>
          <w:tcPr>
            <w:tcW w:w="2731" w:type="dxa"/>
            <w:vAlign w:val="center"/>
          </w:tcPr>
          <w:p w:rsidR="00BD1EE4" w:rsidRPr="005804C7" w:rsidRDefault="00BD1EE4" w:rsidP="008D4CD7">
            <w:pPr>
              <w:jc w:val="center"/>
              <w:rPr>
                <w:b/>
                <w:i/>
                <w:color w:val="000000"/>
                <w:sz w:val="21"/>
                <w:szCs w:val="21"/>
              </w:rPr>
            </w:pPr>
            <w:r w:rsidRPr="00345951">
              <w:rPr>
                <w:b/>
                <w:i/>
                <w:color w:val="000000"/>
                <w:sz w:val="21"/>
                <w:szCs w:val="21"/>
              </w:rPr>
              <w:t>CONSTITUTION DU 16 MAI 1984</w:t>
            </w:r>
          </w:p>
        </w:tc>
        <w:tc>
          <w:tcPr>
            <w:tcW w:w="1390" w:type="dxa"/>
            <w:vAlign w:val="center"/>
          </w:tcPr>
          <w:p w:rsidR="00BD1EE4" w:rsidRPr="005804C7" w:rsidRDefault="00BD1EE4" w:rsidP="008D4CD7">
            <w:pPr>
              <w:jc w:val="center"/>
              <w:rPr>
                <w:color w:val="000000"/>
                <w:sz w:val="21"/>
                <w:szCs w:val="21"/>
              </w:rPr>
            </w:pPr>
            <w:r>
              <w:rPr>
                <w:color w:val="000000"/>
                <w:sz w:val="21"/>
                <w:szCs w:val="21"/>
              </w:rPr>
              <w:t>Article 17</w:t>
            </w:r>
          </w:p>
        </w:tc>
        <w:tc>
          <w:tcPr>
            <w:tcW w:w="4671" w:type="dxa"/>
            <w:vAlign w:val="center"/>
          </w:tcPr>
          <w:p w:rsidR="00BD1EE4" w:rsidRPr="005804C7" w:rsidRDefault="00BD1EE4" w:rsidP="008D4CD7">
            <w:pPr>
              <w:ind w:right="32"/>
              <w:jc w:val="both"/>
              <w:rPr>
                <w:color w:val="000000"/>
                <w:sz w:val="21"/>
                <w:szCs w:val="21"/>
              </w:rPr>
            </w:pPr>
            <w:r w:rsidRPr="00345951">
              <w:rPr>
                <w:color w:val="000000"/>
                <w:sz w:val="21"/>
                <w:szCs w:val="21"/>
              </w:rPr>
              <w:t>L'État préserve et défend le patrimoine culturel du peuple, dont la valorisation doit servir au progrès et à la sauvegarde de la dignité humaine</w:t>
            </w:r>
          </w:p>
        </w:tc>
      </w:tr>
    </w:tbl>
    <w:p w:rsidR="00B805ED" w:rsidRDefault="00B805ED" w:rsidP="00B805ED">
      <w:pPr>
        <w:pStyle w:val="NormalWeb"/>
        <w:shd w:val="clear" w:color="auto" w:fill="FFFFFF"/>
      </w:pPr>
    </w:p>
    <w:p w:rsidR="00B805ED" w:rsidRDefault="00B805ED" w:rsidP="00B805ED">
      <w:pPr>
        <w:pStyle w:val="NormalWeb"/>
        <w:shd w:val="clear" w:color="auto" w:fill="FFFFFF"/>
      </w:pPr>
      <w:r w:rsidRPr="005D58A0">
        <w:t xml:space="preserve">Ainsi, il est </w:t>
      </w:r>
      <w:r w:rsidRPr="00063BEB">
        <w:t>très</w:t>
      </w:r>
      <w:r w:rsidRPr="00681EC7">
        <w:t xml:space="preserve"> important de prendre en compte dans le cas du projet </w:t>
      </w:r>
      <w:r>
        <w:t xml:space="preserve">PUSA </w:t>
      </w:r>
      <w:r w:rsidRPr="00681EC7">
        <w:t>les lois suivantes :</w:t>
      </w:r>
    </w:p>
    <w:p w:rsidR="00B805ED" w:rsidRPr="00681EC7" w:rsidRDefault="00B805ED" w:rsidP="00B805ED">
      <w:pPr>
        <w:pStyle w:val="NormalWeb"/>
        <w:shd w:val="clear" w:color="auto" w:fill="FFFFFF"/>
      </w:pPr>
    </w:p>
    <w:p w:rsidR="00B805ED" w:rsidRPr="00EC413D" w:rsidRDefault="00B805ED" w:rsidP="00B805ED">
      <w:pPr>
        <w:pStyle w:val="NormalWeb"/>
        <w:numPr>
          <w:ilvl w:val="0"/>
          <w:numId w:val="153"/>
        </w:numPr>
        <w:shd w:val="clear" w:color="auto" w:fill="FFFFFF"/>
        <w:rPr>
          <w:rFonts w:eastAsia="Times New Roman"/>
          <w:b/>
          <w:lang w:eastAsia="es-ES_tradnl"/>
        </w:rPr>
      </w:pPr>
      <w:r w:rsidRPr="00EC413D">
        <w:rPr>
          <w:b/>
        </w:rPr>
        <w:t xml:space="preserve">La loi contre la violence domestique </w:t>
      </w:r>
      <w:r w:rsidRPr="00EC413D">
        <w:rPr>
          <w:rFonts w:eastAsia="Times New Roman"/>
          <w:b/>
          <w:lang w:eastAsia="es-ES_tradnl"/>
        </w:rPr>
        <w:t xml:space="preserve">6/2014, du 4 février </w:t>
      </w:r>
    </w:p>
    <w:p w:rsidR="00B805ED" w:rsidRPr="00EC413D" w:rsidRDefault="00B805ED" w:rsidP="00B805ED">
      <w:pPr>
        <w:pStyle w:val="NormalWeb"/>
        <w:numPr>
          <w:ilvl w:val="0"/>
          <w:numId w:val="153"/>
        </w:numPr>
        <w:shd w:val="clear" w:color="auto" w:fill="FFFFFF"/>
        <w:rPr>
          <w:rFonts w:eastAsia="Times New Roman"/>
          <w:b/>
          <w:lang w:eastAsia="es-ES_tradnl"/>
        </w:rPr>
      </w:pPr>
      <w:r w:rsidRPr="00EC413D">
        <w:rPr>
          <w:rFonts w:eastAsia="Times New Roman"/>
          <w:b/>
          <w:lang w:eastAsia="es-ES_tradnl"/>
        </w:rPr>
        <w:t>La loi de parité 2018 du 3, décembre 2018</w:t>
      </w:r>
    </w:p>
    <w:p w:rsidR="00B805ED" w:rsidRPr="00EC413D" w:rsidRDefault="00B805ED" w:rsidP="00B805ED">
      <w:pPr>
        <w:pStyle w:val="PargrafodaLista"/>
        <w:keepNext/>
        <w:numPr>
          <w:ilvl w:val="0"/>
          <w:numId w:val="153"/>
        </w:numPr>
        <w:spacing w:after="0" w:line="240" w:lineRule="auto"/>
        <w:ind w:right="-283"/>
        <w:rPr>
          <w:rFonts w:ascii="Times New Roman" w:hAnsi="Times New Roman"/>
          <w:b/>
          <w:bCs/>
          <w:color w:val="000000"/>
          <w:sz w:val="24"/>
          <w:szCs w:val="24"/>
          <w:u w:val="single"/>
        </w:rPr>
      </w:pPr>
      <w:r w:rsidRPr="00EC413D">
        <w:rPr>
          <w:rFonts w:ascii="Times New Roman" w:eastAsia="Times New Roman" w:hAnsi="Times New Roman"/>
          <w:b/>
          <w:sz w:val="24"/>
          <w:szCs w:val="24"/>
          <w:lang w:eastAsia="es-ES_tradnl"/>
        </w:rPr>
        <w:t>Le code pénale 4/93 31 d’octobre 1993 et les articles relatifs à l’abus sexuel, viol et l’exploitation sexuelle</w:t>
      </w:r>
    </w:p>
    <w:p w:rsidR="00B805ED" w:rsidRDefault="00B805ED" w:rsidP="00B805ED">
      <w:pPr>
        <w:pStyle w:val="PargrafodaLista"/>
        <w:keepNext/>
        <w:spacing w:before="240" w:after="240" w:line="240" w:lineRule="auto"/>
        <w:ind w:left="450" w:right="-283" w:hanging="450"/>
        <w:rPr>
          <w:rFonts w:ascii="Times New Roman" w:hAnsi="Times New Roman"/>
          <w:b/>
          <w:bCs/>
          <w:color w:val="000000"/>
          <w:u w:val="single"/>
        </w:rPr>
      </w:pPr>
    </w:p>
    <w:p w:rsidR="00B805ED" w:rsidRPr="00A05698" w:rsidRDefault="00B805ED" w:rsidP="00B805ED">
      <w:pPr>
        <w:pStyle w:val="PargrafodaLista"/>
        <w:keepNext/>
        <w:spacing w:before="240" w:after="240" w:line="240" w:lineRule="auto"/>
        <w:ind w:left="450" w:right="-283" w:hanging="450"/>
        <w:rPr>
          <w:rFonts w:ascii="Times New Roman" w:hAnsi="Times New Roman"/>
          <w:b/>
          <w:bCs/>
          <w:color w:val="000000"/>
          <w:u w:val="single"/>
        </w:rPr>
      </w:pPr>
      <w:r w:rsidRPr="00A05698">
        <w:rPr>
          <w:rFonts w:ascii="Times New Roman" w:hAnsi="Times New Roman"/>
          <w:b/>
          <w:bCs/>
          <w:color w:val="000000"/>
          <w:u w:val="single"/>
        </w:rPr>
        <w:t>AU NIVEAU INTERNATIONAL</w:t>
      </w:r>
    </w:p>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.2.4. Les textes et accords internationaux pertinents</w:t>
      </w:r>
    </w:p>
    <w:p w:rsidR="00B805ED" w:rsidRPr="00A05698" w:rsidRDefault="00B805ED" w:rsidP="00B805ED">
      <w:pPr>
        <w:pStyle w:val="Legenda"/>
        <w:jc w:val="center"/>
      </w:pPr>
      <w:bookmarkStart w:id="130" w:name="_Toc73522612"/>
      <w:r w:rsidRPr="00A05698">
        <w:t xml:space="preserve">Tableau </w:t>
      </w:r>
      <w:r w:rsidR="00D00D1D">
        <w:fldChar w:fldCharType="begin"/>
      </w:r>
      <w:r w:rsidR="00D00D1D">
        <w:instrText xml:space="preserve"> SEQ Tableau \* ARABIC </w:instrText>
      </w:r>
      <w:r w:rsidR="00D00D1D">
        <w:fldChar w:fldCharType="separate"/>
      </w:r>
      <w:r w:rsidR="00485BA4">
        <w:rPr>
          <w:noProof/>
        </w:rPr>
        <w:t>6</w:t>
      </w:r>
      <w:r w:rsidR="00D00D1D">
        <w:rPr>
          <w:noProof/>
        </w:rPr>
        <w:fldChar w:fldCharType="end"/>
      </w:r>
      <w:r w:rsidRPr="00A05698">
        <w:t>: Pertinence des conventions et accords ratifiés par rapport au projet</w:t>
      </w:r>
      <w:bookmarkEnd w:id="130"/>
      <w:r w:rsidRPr="00A05698">
        <w:t xml:space="preserve">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3"/>
        <w:gridCol w:w="3477"/>
        <w:gridCol w:w="3510"/>
      </w:tblGrid>
      <w:tr w:rsidR="00B805ED" w:rsidRPr="005804C7" w:rsidTr="008D4CD7">
        <w:trPr>
          <w:trHeight w:val="513"/>
        </w:trPr>
        <w:tc>
          <w:tcPr>
            <w:tcW w:w="3503" w:type="dxa"/>
            <w:shd w:val="clear" w:color="auto" w:fill="9CC2E5"/>
            <w:vAlign w:val="center"/>
          </w:tcPr>
          <w:p w:rsidR="00B805ED" w:rsidRPr="005804C7" w:rsidRDefault="00B805ED" w:rsidP="008D4CD7">
            <w:pPr>
              <w:ind w:left="30" w:right="-283"/>
              <w:jc w:val="center"/>
              <w:rPr>
                <w:b/>
                <w:color w:val="000000"/>
                <w:sz w:val="21"/>
                <w:szCs w:val="21"/>
              </w:rPr>
            </w:pPr>
            <w:r w:rsidRPr="005804C7">
              <w:rPr>
                <w:b/>
                <w:color w:val="000000"/>
                <w:sz w:val="21"/>
                <w:szCs w:val="21"/>
              </w:rPr>
              <w:t>Titres</w:t>
            </w:r>
          </w:p>
        </w:tc>
        <w:tc>
          <w:tcPr>
            <w:tcW w:w="3477" w:type="dxa"/>
            <w:shd w:val="clear" w:color="auto" w:fill="9CC2E5"/>
            <w:vAlign w:val="center"/>
          </w:tcPr>
          <w:p w:rsidR="00B805ED" w:rsidRPr="005804C7" w:rsidRDefault="00B805ED" w:rsidP="008D4CD7">
            <w:pPr>
              <w:ind w:right="-283"/>
              <w:jc w:val="center"/>
              <w:rPr>
                <w:b/>
                <w:color w:val="000000"/>
                <w:sz w:val="21"/>
                <w:szCs w:val="21"/>
              </w:rPr>
            </w:pPr>
            <w:r w:rsidRPr="005804C7">
              <w:rPr>
                <w:b/>
                <w:color w:val="000000"/>
                <w:sz w:val="21"/>
                <w:szCs w:val="21"/>
              </w:rPr>
              <w:t>Domaine réglementé</w:t>
            </w:r>
          </w:p>
        </w:tc>
        <w:tc>
          <w:tcPr>
            <w:tcW w:w="3510" w:type="dxa"/>
            <w:shd w:val="clear" w:color="auto" w:fill="9CC2E5"/>
            <w:vAlign w:val="center"/>
          </w:tcPr>
          <w:p w:rsidR="00B805ED" w:rsidRPr="005804C7" w:rsidRDefault="00B805ED" w:rsidP="008D4CD7">
            <w:pPr>
              <w:ind w:right="-283"/>
              <w:jc w:val="center"/>
              <w:rPr>
                <w:b/>
                <w:color w:val="000000"/>
                <w:sz w:val="21"/>
                <w:szCs w:val="21"/>
              </w:rPr>
            </w:pPr>
            <w:r w:rsidRPr="005804C7">
              <w:rPr>
                <w:b/>
                <w:color w:val="000000"/>
                <w:sz w:val="21"/>
                <w:szCs w:val="21"/>
              </w:rPr>
              <w:t>Justification et pertinence</w:t>
            </w:r>
          </w:p>
          <w:p w:rsidR="00B805ED" w:rsidRPr="005804C7" w:rsidRDefault="00B805ED" w:rsidP="008D4CD7">
            <w:pPr>
              <w:ind w:right="-283"/>
              <w:jc w:val="center"/>
              <w:rPr>
                <w:b/>
                <w:color w:val="000000"/>
                <w:sz w:val="21"/>
                <w:szCs w:val="21"/>
              </w:rPr>
            </w:pPr>
            <w:r w:rsidRPr="005804C7">
              <w:rPr>
                <w:b/>
                <w:color w:val="000000"/>
                <w:sz w:val="21"/>
                <w:szCs w:val="21"/>
              </w:rPr>
              <w:t>par rapport au projet</w:t>
            </w:r>
          </w:p>
        </w:tc>
      </w:tr>
      <w:tr w:rsidR="00B805ED" w:rsidRPr="005804C7" w:rsidTr="008D4CD7">
        <w:trPr>
          <w:trHeight w:val="187"/>
        </w:trPr>
        <w:tc>
          <w:tcPr>
            <w:tcW w:w="3503" w:type="dxa"/>
            <w:vAlign w:val="center"/>
          </w:tcPr>
          <w:p w:rsidR="00B805ED" w:rsidRPr="005804C7" w:rsidRDefault="00B805ED" w:rsidP="008D4CD7">
            <w:pPr>
              <w:ind w:right="129"/>
              <w:jc w:val="center"/>
              <w:rPr>
                <w:b/>
                <w:color w:val="000000"/>
                <w:sz w:val="21"/>
                <w:szCs w:val="21"/>
              </w:rPr>
            </w:pPr>
            <w:r w:rsidRPr="005804C7">
              <w:rPr>
                <w:b/>
                <w:color w:val="000000"/>
                <w:sz w:val="21"/>
                <w:szCs w:val="21"/>
              </w:rPr>
              <w:t>Convention sur la diversité biologique signé le 12 juin 1992 et ratifié le 4 octobre 1995</w:t>
            </w:r>
          </w:p>
        </w:tc>
        <w:tc>
          <w:tcPr>
            <w:tcW w:w="3477" w:type="dxa"/>
            <w:vAlign w:val="center"/>
          </w:tcPr>
          <w:p w:rsidR="00B805ED" w:rsidRPr="005804C7" w:rsidRDefault="00B805ED" w:rsidP="008D4CD7">
            <w:pPr>
              <w:ind w:right="-283"/>
              <w:jc w:val="both"/>
              <w:rPr>
                <w:color w:val="000000"/>
                <w:sz w:val="21"/>
                <w:szCs w:val="21"/>
              </w:rPr>
            </w:pPr>
            <w:r w:rsidRPr="005804C7">
              <w:rPr>
                <w:color w:val="000000"/>
                <w:sz w:val="21"/>
                <w:szCs w:val="21"/>
              </w:rPr>
              <w:t>Ressources biologiques</w:t>
            </w:r>
          </w:p>
        </w:tc>
        <w:tc>
          <w:tcPr>
            <w:tcW w:w="3510" w:type="dxa"/>
            <w:vMerge w:val="restart"/>
            <w:vAlign w:val="center"/>
          </w:tcPr>
          <w:p w:rsidR="00B805ED" w:rsidRPr="005804C7" w:rsidRDefault="00B805ED" w:rsidP="008D4CD7">
            <w:pPr>
              <w:jc w:val="both"/>
              <w:rPr>
                <w:color w:val="000000"/>
                <w:sz w:val="21"/>
                <w:szCs w:val="21"/>
              </w:rPr>
            </w:pPr>
            <w:r w:rsidRPr="005804C7">
              <w:rPr>
                <w:color w:val="000000"/>
                <w:sz w:val="21"/>
                <w:szCs w:val="21"/>
              </w:rPr>
              <w:t xml:space="preserve">Existence de sites à forte concentration biologique </w:t>
            </w:r>
            <w:r w:rsidRPr="005804C7">
              <w:rPr>
                <w:b/>
                <w:color w:val="000000"/>
                <w:sz w:val="21"/>
                <w:szCs w:val="21"/>
              </w:rPr>
              <w:t>(</w:t>
            </w:r>
            <w:r w:rsidRPr="005804C7">
              <w:rPr>
                <w:color w:val="000000"/>
                <w:sz w:val="21"/>
                <w:szCs w:val="21"/>
              </w:rPr>
              <w:t>Forêts reliques sèches et dense avec des essences, végétation dominée par des cultures de rentes dans les zones d’intervention du projet dans le pays.</w:t>
            </w:r>
          </w:p>
        </w:tc>
      </w:tr>
      <w:tr w:rsidR="00B805ED" w:rsidRPr="005804C7" w:rsidTr="008D4CD7">
        <w:trPr>
          <w:trHeight w:val="1386"/>
        </w:trPr>
        <w:tc>
          <w:tcPr>
            <w:tcW w:w="3503" w:type="dxa"/>
            <w:vAlign w:val="center"/>
          </w:tcPr>
          <w:p w:rsidR="00B805ED" w:rsidRPr="008371D1" w:rsidRDefault="00B805ED" w:rsidP="008D4CD7">
            <w:pPr>
              <w:ind w:right="129"/>
              <w:jc w:val="center"/>
              <w:rPr>
                <w:b/>
                <w:color w:val="000000"/>
                <w:sz w:val="21"/>
                <w:szCs w:val="21"/>
              </w:rPr>
            </w:pPr>
            <w:r w:rsidRPr="008371D1">
              <w:rPr>
                <w:b/>
                <w:color w:val="000000"/>
                <w:sz w:val="21"/>
                <w:szCs w:val="21"/>
              </w:rPr>
              <w:t>Stratégies et plans d'action nationaux pour la biodiversité (SPANB)</w:t>
            </w:r>
          </w:p>
          <w:p w:rsidR="00B805ED" w:rsidRPr="008371D1" w:rsidRDefault="00B805ED" w:rsidP="008D4CD7">
            <w:pPr>
              <w:ind w:right="129"/>
              <w:jc w:val="center"/>
              <w:rPr>
                <w:b/>
                <w:color w:val="000000"/>
                <w:sz w:val="21"/>
                <w:szCs w:val="21"/>
              </w:rPr>
            </w:pPr>
            <w:r w:rsidRPr="008371D1">
              <w:rPr>
                <w:b/>
                <w:color w:val="000000"/>
                <w:sz w:val="21"/>
                <w:szCs w:val="21"/>
              </w:rPr>
              <w:t>Egypte, 17-29 novembre 2018</w:t>
            </w:r>
          </w:p>
          <w:p w:rsidR="00B805ED" w:rsidRPr="00B8155C" w:rsidRDefault="00B805ED" w:rsidP="008D4CD7">
            <w:pPr>
              <w:ind w:right="129"/>
              <w:rPr>
                <w:color w:val="000000"/>
                <w:sz w:val="21"/>
                <w:szCs w:val="21"/>
              </w:rPr>
            </w:pPr>
          </w:p>
          <w:p w:rsidR="00B805ED" w:rsidRPr="005804C7" w:rsidRDefault="00B805ED" w:rsidP="008D4CD7">
            <w:pPr>
              <w:ind w:right="129"/>
              <w:jc w:val="center"/>
              <w:rPr>
                <w:b/>
                <w:color w:val="000000"/>
                <w:sz w:val="21"/>
                <w:szCs w:val="21"/>
              </w:rPr>
            </w:pPr>
          </w:p>
        </w:tc>
        <w:tc>
          <w:tcPr>
            <w:tcW w:w="3477" w:type="dxa"/>
            <w:vAlign w:val="center"/>
          </w:tcPr>
          <w:p w:rsidR="00B805ED" w:rsidRPr="005804C7" w:rsidRDefault="00B805ED" w:rsidP="008D4CD7">
            <w:pPr>
              <w:ind w:right="31"/>
              <w:jc w:val="both"/>
              <w:rPr>
                <w:color w:val="000000"/>
                <w:sz w:val="21"/>
                <w:szCs w:val="21"/>
              </w:rPr>
            </w:pPr>
            <w:r>
              <w:rPr>
                <w:color w:val="000000"/>
                <w:sz w:val="21"/>
                <w:szCs w:val="21"/>
              </w:rPr>
              <w:t>Elles visent</w:t>
            </w:r>
            <w:r w:rsidRPr="00862572">
              <w:rPr>
                <w:color w:val="000000"/>
                <w:sz w:val="21"/>
                <w:szCs w:val="21"/>
              </w:rPr>
              <w:t xml:space="preserve"> à prendre en compte une approche écosystémique, à mettre en évidence l'importance de la biodiversité et des services écosystémiques pour l'identité nationale, la durabilité et le développement, à évaluer les menaces qui pèsent sur la biodiversité et à établir des objectifs de mise en œuvre. </w:t>
            </w:r>
          </w:p>
        </w:tc>
        <w:tc>
          <w:tcPr>
            <w:tcW w:w="3510" w:type="dxa"/>
            <w:vMerge/>
            <w:vAlign w:val="center"/>
          </w:tcPr>
          <w:p w:rsidR="00B805ED" w:rsidRPr="005804C7" w:rsidRDefault="00B805ED" w:rsidP="008D4CD7">
            <w:pPr>
              <w:jc w:val="both"/>
              <w:rPr>
                <w:color w:val="000000"/>
                <w:sz w:val="21"/>
                <w:szCs w:val="21"/>
              </w:rPr>
            </w:pPr>
          </w:p>
        </w:tc>
      </w:tr>
      <w:tr w:rsidR="00B805ED" w:rsidRPr="005804C7" w:rsidTr="008D4CD7">
        <w:trPr>
          <w:trHeight w:val="756"/>
        </w:trPr>
        <w:tc>
          <w:tcPr>
            <w:tcW w:w="3503" w:type="dxa"/>
            <w:vAlign w:val="center"/>
          </w:tcPr>
          <w:p w:rsidR="00B805ED" w:rsidRPr="005804C7" w:rsidRDefault="00B805ED" w:rsidP="008D4CD7">
            <w:pPr>
              <w:ind w:right="129"/>
              <w:jc w:val="center"/>
              <w:rPr>
                <w:b/>
                <w:color w:val="000000"/>
                <w:sz w:val="21"/>
                <w:szCs w:val="21"/>
              </w:rPr>
            </w:pPr>
            <w:r w:rsidRPr="005804C7">
              <w:rPr>
                <w:b/>
                <w:color w:val="000000"/>
                <w:sz w:val="21"/>
                <w:szCs w:val="21"/>
              </w:rPr>
              <w:t>Convention africaine pour la protection des ressources naturelles adopté le 15 septembre 1968 à Alger</w:t>
            </w:r>
          </w:p>
        </w:tc>
        <w:tc>
          <w:tcPr>
            <w:tcW w:w="3477" w:type="dxa"/>
            <w:vAlign w:val="center"/>
          </w:tcPr>
          <w:p w:rsidR="00B805ED" w:rsidRPr="005804C7" w:rsidRDefault="00B805ED" w:rsidP="008D4CD7">
            <w:pPr>
              <w:ind w:right="-283"/>
              <w:jc w:val="both"/>
              <w:rPr>
                <w:color w:val="000000"/>
                <w:sz w:val="21"/>
                <w:szCs w:val="21"/>
              </w:rPr>
            </w:pPr>
            <w:r w:rsidRPr="005804C7">
              <w:rPr>
                <w:color w:val="000000"/>
                <w:sz w:val="21"/>
                <w:szCs w:val="21"/>
              </w:rPr>
              <w:t>Ressources naturelles africaines</w:t>
            </w:r>
          </w:p>
        </w:tc>
        <w:tc>
          <w:tcPr>
            <w:tcW w:w="3510" w:type="dxa"/>
          </w:tcPr>
          <w:p w:rsidR="00B805ED" w:rsidRPr="005804C7" w:rsidRDefault="00B805ED" w:rsidP="008D4CD7">
            <w:pPr>
              <w:jc w:val="both"/>
              <w:rPr>
                <w:sz w:val="21"/>
                <w:szCs w:val="21"/>
              </w:rPr>
            </w:pPr>
            <w:r w:rsidRPr="005804C7">
              <w:rPr>
                <w:sz w:val="21"/>
                <w:szCs w:val="21"/>
              </w:rPr>
              <w:t>Les activités du projet ne seront pas une source de dégradation des ressources naturelles (cours d’eau, forets classée, etc…). Ainsi, cette convention doit être respectée par le projet PUSA.</w:t>
            </w:r>
          </w:p>
        </w:tc>
      </w:tr>
      <w:tr w:rsidR="00B805ED" w:rsidRPr="005804C7" w:rsidTr="008D4CD7">
        <w:trPr>
          <w:trHeight w:val="648"/>
        </w:trPr>
        <w:tc>
          <w:tcPr>
            <w:tcW w:w="3503" w:type="dxa"/>
            <w:vAlign w:val="center"/>
          </w:tcPr>
          <w:p w:rsidR="00B805ED" w:rsidRPr="005804C7" w:rsidRDefault="00B805ED" w:rsidP="008D4CD7">
            <w:pPr>
              <w:ind w:right="129"/>
              <w:jc w:val="center"/>
              <w:rPr>
                <w:b/>
                <w:color w:val="000000"/>
                <w:sz w:val="21"/>
                <w:szCs w:val="21"/>
              </w:rPr>
            </w:pPr>
            <w:r w:rsidRPr="005804C7">
              <w:rPr>
                <w:b/>
                <w:color w:val="000000"/>
                <w:sz w:val="21"/>
                <w:szCs w:val="21"/>
              </w:rPr>
              <w:t>Convention sur la conservation des espèces migratoires de</w:t>
            </w:r>
            <w:r w:rsidRPr="005804C7">
              <w:rPr>
                <w:b/>
                <w:color w:val="000000"/>
                <w:sz w:val="21"/>
                <w:szCs w:val="21"/>
              </w:rPr>
              <w:br/>
              <w:t>la faune sauvage ratifié le 1 octobre 1987</w:t>
            </w:r>
          </w:p>
        </w:tc>
        <w:tc>
          <w:tcPr>
            <w:tcW w:w="3477" w:type="dxa"/>
            <w:vAlign w:val="center"/>
          </w:tcPr>
          <w:p w:rsidR="00B805ED" w:rsidRPr="005804C7" w:rsidRDefault="00B805ED" w:rsidP="008D4CD7">
            <w:pPr>
              <w:ind w:right="-283"/>
              <w:rPr>
                <w:color w:val="000000"/>
                <w:sz w:val="21"/>
                <w:szCs w:val="21"/>
              </w:rPr>
            </w:pPr>
            <w:r w:rsidRPr="005804C7">
              <w:rPr>
                <w:color w:val="000000"/>
                <w:sz w:val="21"/>
                <w:szCs w:val="21"/>
              </w:rPr>
              <w:t>Gestion des espèces migratoires</w:t>
            </w:r>
          </w:p>
        </w:tc>
        <w:tc>
          <w:tcPr>
            <w:tcW w:w="3510" w:type="dxa"/>
          </w:tcPr>
          <w:p w:rsidR="00B805ED" w:rsidRPr="005804C7" w:rsidRDefault="00B805ED" w:rsidP="008D4CD7">
            <w:pPr>
              <w:jc w:val="both"/>
              <w:rPr>
                <w:color w:val="000000"/>
                <w:sz w:val="21"/>
                <w:szCs w:val="21"/>
              </w:rPr>
            </w:pPr>
            <w:r w:rsidRPr="005804C7">
              <w:rPr>
                <w:color w:val="000000"/>
                <w:sz w:val="21"/>
                <w:szCs w:val="21"/>
              </w:rPr>
              <w:t xml:space="preserve">Dans le pays, il existe des zones écologiques comme SURU qui est concernée par ces deux conventions. Ainsi, durant les activités, le respect de la règlementation doit être appliqué. </w:t>
            </w:r>
          </w:p>
        </w:tc>
      </w:tr>
      <w:tr w:rsidR="00B805ED" w:rsidRPr="005804C7" w:rsidTr="008D4CD7">
        <w:trPr>
          <w:trHeight w:val="423"/>
        </w:trPr>
        <w:tc>
          <w:tcPr>
            <w:tcW w:w="3503" w:type="dxa"/>
            <w:vAlign w:val="center"/>
          </w:tcPr>
          <w:p w:rsidR="00B805ED" w:rsidRPr="005804C7" w:rsidRDefault="00B805ED" w:rsidP="008D4CD7">
            <w:pPr>
              <w:ind w:left="32"/>
              <w:jc w:val="center"/>
              <w:rPr>
                <w:b/>
                <w:color w:val="000000"/>
                <w:sz w:val="21"/>
                <w:szCs w:val="21"/>
              </w:rPr>
            </w:pPr>
            <w:r w:rsidRPr="005804C7">
              <w:rPr>
                <w:rFonts w:eastAsia="Calibri"/>
                <w:b/>
                <w:sz w:val="21"/>
                <w:szCs w:val="21"/>
              </w:rPr>
              <w:t>Convention des nations unies sur la lutte contre la désertification. Adoptée à Paris le 17 juin 1994</w:t>
            </w:r>
          </w:p>
        </w:tc>
        <w:tc>
          <w:tcPr>
            <w:tcW w:w="3477" w:type="dxa"/>
            <w:vAlign w:val="center"/>
          </w:tcPr>
          <w:p w:rsidR="00B805ED" w:rsidRPr="005804C7" w:rsidRDefault="00B805ED" w:rsidP="008D4CD7">
            <w:pPr>
              <w:jc w:val="both"/>
              <w:rPr>
                <w:color w:val="000000"/>
                <w:sz w:val="21"/>
                <w:szCs w:val="21"/>
              </w:rPr>
            </w:pPr>
            <w:r w:rsidRPr="005804C7">
              <w:rPr>
                <w:rFonts w:eastAsia="Calibri"/>
                <w:sz w:val="21"/>
                <w:szCs w:val="21"/>
              </w:rPr>
              <w:t>Cette convention, 3</w:t>
            </w:r>
            <w:r w:rsidRPr="005804C7">
              <w:rPr>
                <w:rFonts w:eastAsia="Calibri"/>
                <w:sz w:val="21"/>
                <w:szCs w:val="21"/>
                <w:vertAlign w:val="superscript"/>
              </w:rPr>
              <w:t>ème</w:t>
            </w:r>
            <w:r w:rsidRPr="005804C7">
              <w:rPr>
                <w:rFonts w:eastAsia="Calibri"/>
                <w:sz w:val="21"/>
                <w:szCs w:val="21"/>
              </w:rPr>
              <w:t xml:space="preserve"> issue du Sommet de Rio désigne l’Afrique comme zone prioritaire vu qu’elle est très touchée par la sécheresse et la désertification. Elle exhorte les pays signataires à réduire la dégradation des terres, limiter l’arrachage des arbres et restaurer les terres désertifiées après utilisation</w:t>
            </w:r>
          </w:p>
        </w:tc>
        <w:tc>
          <w:tcPr>
            <w:tcW w:w="3510" w:type="dxa"/>
          </w:tcPr>
          <w:p w:rsidR="00B805ED" w:rsidRPr="005804C7" w:rsidRDefault="00B805ED" w:rsidP="008D4CD7">
            <w:pPr>
              <w:jc w:val="both"/>
              <w:rPr>
                <w:color w:val="000000"/>
                <w:sz w:val="21"/>
                <w:szCs w:val="21"/>
              </w:rPr>
            </w:pPr>
            <w:r w:rsidRPr="005804C7">
              <w:rPr>
                <w:color w:val="000000"/>
                <w:sz w:val="21"/>
                <w:szCs w:val="21"/>
              </w:rPr>
              <w:t>Ainsi, le projet PUSA doit mettre en place des actions de sensibilisation pour les producteurs et agriculteurs pour le respect de cette convention.</w:t>
            </w:r>
          </w:p>
        </w:tc>
      </w:tr>
      <w:tr w:rsidR="00B805ED" w:rsidRPr="005804C7" w:rsidTr="008D4CD7">
        <w:trPr>
          <w:trHeight w:val="423"/>
        </w:trPr>
        <w:tc>
          <w:tcPr>
            <w:tcW w:w="3503" w:type="dxa"/>
            <w:vAlign w:val="center"/>
          </w:tcPr>
          <w:p w:rsidR="00B805ED" w:rsidRPr="005804C7" w:rsidRDefault="00B805ED" w:rsidP="008D4CD7">
            <w:pPr>
              <w:ind w:left="32"/>
              <w:jc w:val="center"/>
              <w:rPr>
                <w:b/>
                <w:color w:val="000000"/>
                <w:sz w:val="21"/>
                <w:szCs w:val="21"/>
              </w:rPr>
            </w:pPr>
            <w:r w:rsidRPr="005804C7">
              <w:rPr>
                <w:rFonts w:eastAsia="Calibri"/>
                <w:b/>
                <w:bCs/>
                <w:sz w:val="21"/>
                <w:szCs w:val="21"/>
              </w:rPr>
              <w:t>Convention cadre des Nations Unies sur les changements climatiques (CNUCC) ratifié le 28 décembre 1994</w:t>
            </w:r>
          </w:p>
        </w:tc>
        <w:tc>
          <w:tcPr>
            <w:tcW w:w="3477" w:type="dxa"/>
            <w:vAlign w:val="center"/>
          </w:tcPr>
          <w:p w:rsidR="00B805ED" w:rsidRPr="005804C7" w:rsidRDefault="00B805ED" w:rsidP="008D4CD7">
            <w:pPr>
              <w:rPr>
                <w:rFonts w:eastAsia="Calibri"/>
                <w:bCs/>
                <w:sz w:val="21"/>
                <w:szCs w:val="21"/>
              </w:rPr>
            </w:pPr>
            <w:r w:rsidRPr="005804C7">
              <w:rPr>
                <w:rFonts w:eastAsia="Calibri"/>
                <w:bCs/>
                <w:sz w:val="21"/>
                <w:szCs w:val="21"/>
              </w:rPr>
              <w:t>Gestion et adaptation aux changements climatiques.</w:t>
            </w:r>
          </w:p>
          <w:p w:rsidR="00B805ED" w:rsidRPr="005804C7" w:rsidRDefault="00B805ED" w:rsidP="008D4CD7">
            <w:pPr>
              <w:jc w:val="both"/>
              <w:rPr>
                <w:color w:val="000000"/>
                <w:sz w:val="21"/>
                <w:szCs w:val="21"/>
              </w:rPr>
            </w:pPr>
            <w:r w:rsidRPr="005804C7">
              <w:rPr>
                <w:rFonts w:eastAsia="Calibri"/>
                <w:bCs/>
                <w:sz w:val="21"/>
                <w:szCs w:val="21"/>
              </w:rPr>
              <w:t>Stabiliser les concentrations de gaz à effet de serre pour éviter toute perturbation dangereuse du système climatique et pour que les écosystèmes puissent s’adapter naturellement aux changements climatiques.</w:t>
            </w:r>
          </w:p>
        </w:tc>
        <w:tc>
          <w:tcPr>
            <w:tcW w:w="3510" w:type="dxa"/>
            <w:vAlign w:val="center"/>
          </w:tcPr>
          <w:p w:rsidR="00B805ED" w:rsidRPr="005804C7" w:rsidRDefault="00B805ED" w:rsidP="008D4CD7">
            <w:pPr>
              <w:jc w:val="both"/>
              <w:rPr>
                <w:color w:val="000000"/>
                <w:sz w:val="21"/>
                <w:szCs w:val="21"/>
              </w:rPr>
            </w:pPr>
            <w:r w:rsidRPr="005804C7">
              <w:rPr>
                <w:rFonts w:eastAsia="Calibri"/>
                <w:bCs/>
                <w:sz w:val="21"/>
                <w:szCs w:val="21"/>
              </w:rPr>
              <w:t>Existence de pollution par les gaz à effet de serre (émissions de CO</w:t>
            </w:r>
            <w:r w:rsidRPr="005804C7">
              <w:rPr>
                <w:rFonts w:eastAsia="Calibri"/>
                <w:bCs/>
                <w:sz w:val="21"/>
                <w:szCs w:val="21"/>
                <w:vertAlign w:val="subscript"/>
              </w:rPr>
              <w:t>2</w:t>
            </w:r>
            <w:r w:rsidRPr="005804C7">
              <w:rPr>
                <w:rFonts w:eastAsia="Calibri"/>
                <w:bCs/>
                <w:sz w:val="21"/>
                <w:szCs w:val="21"/>
              </w:rPr>
              <w:t xml:space="preserve"> et de No, </w:t>
            </w:r>
            <w:r w:rsidRPr="005804C7">
              <w:rPr>
                <w:sz w:val="21"/>
                <w:szCs w:val="21"/>
                <w:lang w:val="fr-MA"/>
              </w:rPr>
              <w:t xml:space="preserve">CH₄, N₂O, et CO₂, </w:t>
            </w:r>
            <w:r w:rsidRPr="005804C7">
              <w:rPr>
                <w:rFonts w:eastAsia="Calibri"/>
                <w:bCs/>
                <w:sz w:val="21"/>
                <w:szCs w:val="21"/>
              </w:rPr>
              <w:t>notamment) liées aux activités des engins et camions.</w:t>
            </w:r>
            <w:r w:rsidRPr="005804C7">
              <w:rPr>
                <w:sz w:val="21"/>
                <w:szCs w:val="21"/>
              </w:rPr>
              <w:t xml:space="preserve"> Mais également des activités agricoles, comme l’utilisation des engrais, la gestion du bétail, etc. </w:t>
            </w:r>
          </w:p>
        </w:tc>
      </w:tr>
      <w:tr w:rsidR="00B805ED" w:rsidRPr="005804C7" w:rsidTr="008D4CD7">
        <w:trPr>
          <w:trHeight w:val="423"/>
        </w:trPr>
        <w:tc>
          <w:tcPr>
            <w:tcW w:w="3503" w:type="dxa"/>
            <w:vAlign w:val="center"/>
          </w:tcPr>
          <w:p w:rsidR="00B805ED" w:rsidRPr="005804C7" w:rsidRDefault="00B805ED" w:rsidP="008D4CD7">
            <w:pPr>
              <w:ind w:left="32"/>
              <w:jc w:val="center"/>
              <w:rPr>
                <w:b/>
                <w:color w:val="000000"/>
                <w:sz w:val="21"/>
                <w:szCs w:val="21"/>
              </w:rPr>
            </w:pPr>
            <w:r w:rsidRPr="005804C7">
              <w:rPr>
                <w:rFonts w:eastAsia="Calibri"/>
                <w:b/>
                <w:sz w:val="21"/>
                <w:szCs w:val="21"/>
              </w:rPr>
              <w:t>La convention de RAMSAR du 2 février 1971 relative aux zones humides d’importance internationale et son protocole du 3 décembre 1982 ont été ratifiés le 15 mai 1985</w:t>
            </w:r>
          </w:p>
        </w:tc>
        <w:tc>
          <w:tcPr>
            <w:tcW w:w="3477" w:type="dxa"/>
            <w:vAlign w:val="center"/>
          </w:tcPr>
          <w:p w:rsidR="00B805ED" w:rsidRPr="005804C7" w:rsidRDefault="00B805ED" w:rsidP="008D4CD7">
            <w:pPr>
              <w:jc w:val="both"/>
              <w:rPr>
                <w:color w:val="000000"/>
                <w:sz w:val="21"/>
                <w:szCs w:val="21"/>
              </w:rPr>
            </w:pPr>
            <w:r w:rsidRPr="005804C7">
              <w:rPr>
                <w:rFonts w:eastAsia="Calibri"/>
                <w:bCs/>
                <w:sz w:val="21"/>
                <w:szCs w:val="21"/>
              </w:rPr>
              <w:t xml:space="preserve">Cette convention est </w:t>
            </w:r>
            <w:r w:rsidRPr="005804C7">
              <w:rPr>
                <w:sz w:val="21"/>
                <w:szCs w:val="21"/>
              </w:rPr>
              <w:t>relative aux zones humides d’importance internationale.</w:t>
            </w:r>
          </w:p>
        </w:tc>
        <w:tc>
          <w:tcPr>
            <w:tcW w:w="3510" w:type="dxa"/>
            <w:vAlign w:val="center"/>
          </w:tcPr>
          <w:p w:rsidR="00B805ED" w:rsidRPr="005804C7" w:rsidRDefault="00B805ED" w:rsidP="008D4CD7">
            <w:pPr>
              <w:jc w:val="both"/>
              <w:rPr>
                <w:color w:val="000000"/>
                <w:sz w:val="21"/>
                <w:szCs w:val="21"/>
              </w:rPr>
            </w:pPr>
            <w:r w:rsidRPr="005804C7">
              <w:rPr>
                <w:rFonts w:eastAsia="Calibri"/>
                <w:sz w:val="21"/>
                <w:szCs w:val="21"/>
              </w:rPr>
              <w:t>Le projet PUSA pourrait intervenir dans des zones agricoles très humides ou dans des zones humides. Ainsi, le projet devra sensibiliser l’ensemble des acteurs pour le respect cette convention.</w:t>
            </w:r>
          </w:p>
        </w:tc>
      </w:tr>
      <w:tr w:rsidR="00B805ED" w:rsidRPr="005804C7" w:rsidTr="008D4CD7">
        <w:trPr>
          <w:trHeight w:val="423"/>
        </w:trPr>
        <w:tc>
          <w:tcPr>
            <w:tcW w:w="3503" w:type="dxa"/>
            <w:vAlign w:val="center"/>
          </w:tcPr>
          <w:p w:rsidR="00B805ED" w:rsidRPr="005804C7" w:rsidRDefault="00B805ED" w:rsidP="008D4CD7">
            <w:pPr>
              <w:ind w:left="32"/>
              <w:jc w:val="center"/>
              <w:rPr>
                <w:rFonts w:eastAsia="Calibri"/>
                <w:b/>
                <w:sz w:val="21"/>
                <w:szCs w:val="21"/>
              </w:rPr>
            </w:pPr>
            <w:r w:rsidRPr="005804C7">
              <w:rPr>
                <w:rFonts w:eastAsia="Calibri"/>
                <w:b/>
                <w:sz w:val="21"/>
                <w:szCs w:val="21"/>
              </w:rPr>
              <w:t>CEDAW Développé en 1979 à New York, ratifié par Guinée-Bissau en 1985 par la résolution nº 14/85</w:t>
            </w:r>
          </w:p>
        </w:tc>
        <w:tc>
          <w:tcPr>
            <w:tcW w:w="3477" w:type="dxa"/>
            <w:vAlign w:val="center"/>
          </w:tcPr>
          <w:p w:rsidR="00B805ED" w:rsidRPr="005804C7" w:rsidRDefault="00B805ED" w:rsidP="008D4CD7">
            <w:pPr>
              <w:jc w:val="both"/>
              <w:rPr>
                <w:rFonts w:eastAsia="Calibri"/>
                <w:bCs/>
                <w:sz w:val="21"/>
                <w:szCs w:val="21"/>
              </w:rPr>
            </w:pPr>
            <w:r w:rsidRPr="005804C7">
              <w:rPr>
                <w:sz w:val="21"/>
                <w:szCs w:val="21"/>
                <w:lang w:eastAsia="en-GB"/>
              </w:rPr>
              <w:t>Convention sur l'élimination de toutes les formes de discrimination à l’égard des femmes</w:t>
            </w:r>
          </w:p>
        </w:tc>
        <w:tc>
          <w:tcPr>
            <w:tcW w:w="3510" w:type="dxa"/>
            <w:vAlign w:val="center"/>
          </w:tcPr>
          <w:p w:rsidR="00B805ED" w:rsidRPr="005804C7" w:rsidRDefault="00B805ED" w:rsidP="008D4CD7">
            <w:pPr>
              <w:jc w:val="both"/>
              <w:rPr>
                <w:rFonts w:eastAsia="Calibri"/>
                <w:sz w:val="21"/>
                <w:szCs w:val="21"/>
              </w:rPr>
            </w:pPr>
            <w:r w:rsidRPr="005804C7">
              <w:rPr>
                <w:rFonts w:eastAsia="Calibri"/>
                <w:sz w:val="21"/>
                <w:szCs w:val="21"/>
              </w:rPr>
              <w:t>Les activités du projet PUSA pourrait induire à des risques de discrimination envers les femmes si des dispositions ne seront pas prise en avance.</w:t>
            </w:r>
          </w:p>
        </w:tc>
      </w:tr>
      <w:tr w:rsidR="00B805ED" w:rsidRPr="005804C7" w:rsidTr="008D4CD7">
        <w:trPr>
          <w:trHeight w:val="423"/>
        </w:trPr>
        <w:tc>
          <w:tcPr>
            <w:tcW w:w="3503" w:type="dxa"/>
            <w:vAlign w:val="center"/>
          </w:tcPr>
          <w:p w:rsidR="00B805ED" w:rsidRPr="008371D1" w:rsidRDefault="00B805ED" w:rsidP="008D4CD7">
            <w:pPr>
              <w:rPr>
                <w:rFonts w:eastAsia="Calibri"/>
                <w:sz w:val="21"/>
                <w:szCs w:val="21"/>
              </w:rPr>
            </w:pPr>
            <w:r w:rsidRPr="008371D1">
              <w:rPr>
                <w:rFonts w:eastAsia="Calibri"/>
                <w:b/>
                <w:sz w:val="21"/>
                <w:szCs w:val="21"/>
              </w:rPr>
              <w:t>L'Accord de Paris et les CDN,</w:t>
            </w:r>
            <w:r>
              <w:rPr>
                <w:rFonts w:eastAsia="Calibri"/>
                <w:sz w:val="21"/>
                <w:szCs w:val="21"/>
              </w:rPr>
              <w:t xml:space="preserve"> </w:t>
            </w:r>
            <w:r w:rsidRPr="00D22732">
              <w:rPr>
                <w:rFonts w:eastAsia="Calibri"/>
                <w:b/>
                <w:sz w:val="21"/>
                <w:szCs w:val="21"/>
              </w:rPr>
              <w:t>entré en vigueur le 4 novembre 2016.</w:t>
            </w:r>
          </w:p>
          <w:p w:rsidR="00B805ED" w:rsidRPr="00EA0577" w:rsidRDefault="00B805ED" w:rsidP="008D4CD7">
            <w:pPr>
              <w:ind w:left="32"/>
              <w:jc w:val="center"/>
              <w:rPr>
                <w:rFonts w:eastAsia="Calibri"/>
                <w:b/>
                <w:sz w:val="21"/>
                <w:szCs w:val="21"/>
              </w:rPr>
            </w:pPr>
          </w:p>
          <w:p w:rsidR="00B805ED" w:rsidRPr="005804C7" w:rsidRDefault="00B805ED" w:rsidP="008D4CD7">
            <w:pPr>
              <w:ind w:left="32"/>
              <w:jc w:val="center"/>
              <w:rPr>
                <w:rFonts w:eastAsia="Calibri"/>
                <w:b/>
                <w:sz w:val="21"/>
                <w:szCs w:val="21"/>
              </w:rPr>
            </w:pPr>
          </w:p>
        </w:tc>
        <w:tc>
          <w:tcPr>
            <w:tcW w:w="3477" w:type="dxa"/>
            <w:vAlign w:val="center"/>
          </w:tcPr>
          <w:p w:rsidR="00B805ED" w:rsidRPr="005804C7" w:rsidRDefault="00B805ED" w:rsidP="008D4CD7">
            <w:pPr>
              <w:jc w:val="both"/>
              <w:rPr>
                <w:sz w:val="21"/>
                <w:szCs w:val="21"/>
                <w:lang w:eastAsia="en-GB"/>
              </w:rPr>
            </w:pPr>
            <w:r>
              <w:rPr>
                <w:sz w:val="21"/>
                <w:szCs w:val="21"/>
                <w:lang w:eastAsia="en-GB"/>
              </w:rPr>
              <w:t xml:space="preserve">Il permettra de </w:t>
            </w:r>
            <w:r w:rsidRPr="001F356A">
              <w:rPr>
                <w:sz w:val="21"/>
                <w:szCs w:val="21"/>
                <w:lang w:eastAsia="en-GB"/>
              </w:rPr>
              <w:t>renforcer la réponse mondiale à la menace du changement climatique en maintenant l'augmentation de la température mondiale à un niveau bien inférieur à 2 degrés Celsius par rapport aux niveaux préindustriels et de poursuivre les efforts pour limiter encore davantage l'augmentation de la température à 1,5 degré Celsius</w:t>
            </w:r>
            <w:r>
              <w:rPr>
                <w:sz w:val="21"/>
                <w:szCs w:val="21"/>
                <w:lang w:eastAsia="en-GB"/>
              </w:rPr>
              <w:t>.</w:t>
            </w:r>
          </w:p>
        </w:tc>
        <w:tc>
          <w:tcPr>
            <w:tcW w:w="3510" w:type="dxa"/>
            <w:vAlign w:val="center"/>
          </w:tcPr>
          <w:p w:rsidR="00B805ED" w:rsidRPr="005804C7" w:rsidRDefault="00B805ED" w:rsidP="008D4CD7">
            <w:pPr>
              <w:jc w:val="both"/>
              <w:rPr>
                <w:rFonts w:eastAsia="Calibri"/>
                <w:sz w:val="21"/>
                <w:szCs w:val="21"/>
              </w:rPr>
            </w:pPr>
            <w:r>
              <w:rPr>
                <w:rFonts w:eastAsia="Calibri"/>
                <w:bCs/>
                <w:sz w:val="21"/>
                <w:szCs w:val="21"/>
              </w:rPr>
              <w:t>Existence</w:t>
            </w:r>
            <w:r w:rsidRPr="005804C7">
              <w:rPr>
                <w:rFonts w:eastAsia="Calibri"/>
                <w:bCs/>
                <w:sz w:val="21"/>
                <w:szCs w:val="21"/>
              </w:rPr>
              <w:t xml:space="preserve"> de pollution par les gaz à effet de serre (émissions de CO</w:t>
            </w:r>
            <w:r w:rsidRPr="005804C7">
              <w:rPr>
                <w:rFonts w:eastAsia="Calibri"/>
                <w:bCs/>
                <w:sz w:val="21"/>
                <w:szCs w:val="21"/>
                <w:vertAlign w:val="subscript"/>
              </w:rPr>
              <w:t>2</w:t>
            </w:r>
            <w:r w:rsidRPr="005804C7">
              <w:rPr>
                <w:rFonts w:eastAsia="Calibri"/>
                <w:bCs/>
                <w:sz w:val="21"/>
                <w:szCs w:val="21"/>
              </w:rPr>
              <w:t xml:space="preserve"> et de No, </w:t>
            </w:r>
            <w:r w:rsidRPr="005804C7">
              <w:rPr>
                <w:sz w:val="21"/>
                <w:szCs w:val="21"/>
                <w:lang w:val="fr-MA"/>
              </w:rPr>
              <w:t>CH</w:t>
            </w:r>
            <w:r w:rsidRPr="005804C7">
              <w:rPr>
                <w:rFonts w:ascii="Calibri" w:eastAsia="Calibri" w:hAnsi="Calibri" w:cs="Calibri"/>
                <w:sz w:val="21"/>
                <w:szCs w:val="21"/>
                <w:lang w:val="fr-MA"/>
              </w:rPr>
              <w:t>₄</w:t>
            </w:r>
            <w:r w:rsidRPr="005804C7">
              <w:rPr>
                <w:sz w:val="21"/>
                <w:szCs w:val="21"/>
                <w:lang w:val="fr-MA"/>
              </w:rPr>
              <w:t>, N</w:t>
            </w:r>
            <w:r w:rsidRPr="005804C7">
              <w:rPr>
                <w:rFonts w:ascii="Calibri" w:eastAsia="Calibri" w:hAnsi="Calibri" w:cs="Calibri"/>
                <w:sz w:val="21"/>
                <w:szCs w:val="21"/>
                <w:lang w:val="fr-MA"/>
              </w:rPr>
              <w:t>₂</w:t>
            </w:r>
            <w:r w:rsidRPr="005804C7">
              <w:rPr>
                <w:sz w:val="21"/>
                <w:szCs w:val="21"/>
                <w:lang w:val="fr-MA"/>
              </w:rPr>
              <w:t>O, et CO</w:t>
            </w:r>
            <w:r w:rsidRPr="005804C7">
              <w:rPr>
                <w:rFonts w:ascii="Calibri" w:eastAsia="Calibri" w:hAnsi="Calibri" w:cs="Calibri"/>
                <w:sz w:val="21"/>
                <w:szCs w:val="21"/>
                <w:lang w:val="fr-MA"/>
              </w:rPr>
              <w:t>₂</w:t>
            </w:r>
            <w:r w:rsidRPr="005804C7">
              <w:rPr>
                <w:sz w:val="21"/>
                <w:szCs w:val="21"/>
                <w:lang w:val="fr-MA"/>
              </w:rPr>
              <w:t>,</w:t>
            </w:r>
            <w:r>
              <w:rPr>
                <w:sz w:val="21"/>
                <w:szCs w:val="21"/>
                <w:lang w:val="fr-MA"/>
              </w:rPr>
              <w:t>)</w:t>
            </w:r>
            <w:r w:rsidRPr="005804C7">
              <w:rPr>
                <w:sz w:val="21"/>
                <w:szCs w:val="21"/>
                <w:lang w:val="fr-MA"/>
              </w:rPr>
              <w:t xml:space="preserve"> </w:t>
            </w:r>
            <w:r>
              <w:rPr>
                <w:rFonts w:eastAsia="Calibri"/>
                <w:bCs/>
                <w:sz w:val="21"/>
                <w:szCs w:val="21"/>
              </w:rPr>
              <w:t>notamment</w:t>
            </w:r>
            <w:r w:rsidRPr="005804C7">
              <w:rPr>
                <w:rFonts w:eastAsia="Calibri"/>
                <w:bCs/>
                <w:sz w:val="21"/>
                <w:szCs w:val="21"/>
              </w:rPr>
              <w:t xml:space="preserve"> liées aux activités des engins et camions</w:t>
            </w:r>
            <w:r>
              <w:rPr>
                <w:rFonts w:eastAsia="Calibri"/>
                <w:bCs/>
                <w:sz w:val="21"/>
                <w:szCs w:val="21"/>
              </w:rPr>
              <w:t xml:space="preserve"> durant la mise en œuvre du PUSA.</w:t>
            </w:r>
          </w:p>
        </w:tc>
      </w:tr>
      <w:tr w:rsidR="00BD1EE4" w:rsidRPr="005804C7" w:rsidTr="008D4CD7">
        <w:trPr>
          <w:trHeight w:val="423"/>
        </w:trPr>
        <w:tc>
          <w:tcPr>
            <w:tcW w:w="3503" w:type="dxa"/>
            <w:vAlign w:val="center"/>
          </w:tcPr>
          <w:p w:rsidR="00BD1EE4" w:rsidRPr="00345951" w:rsidRDefault="00BD1EE4" w:rsidP="00345951">
            <w:pPr>
              <w:jc w:val="center"/>
              <w:rPr>
                <w:rFonts w:eastAsia="Calibri"/>
                <w:b/>
                <w:sz w:val="21"/>
                <w:szCs w:val="21"/>
              </w:rPr>
            </w:pPr>
            <w:r w:rsidRPr="00345951">
              <w:rPr>
                <w:rFonts w:eastAsia="Times New Roman"/>
                <w:b/>
                <w:color w:val="000000"/>
              </w:rPr>
              <w:t>Convention de protection du patrimoine mondial et</w:t>
            </w:r>
            <w:r w:rsidRPr="00345951">
              <w:rPr>
                <w:rFonts w:eastAsia="Times New Roman"/>
                <w:b/>
                <w:color w:val="000000"/>
              </w:rPr>
              <w:br/>
              <w:t>culture 25 avril 2016</w:t>
            </w:r>
          </w:p>
        </w:tc>
        <w:tc>
          <w:tcPr>
            <w:tcW w:w="3477" w:type="dxa"/>
            <w:vAlign w:val="center"/>
          </w:tcPr>
          <w:p w:rsidR="00BD1EE4" w:rsidRDefault="00024F6F" w:rsidP="00BD1EE4">
            <w:pPr>
              <w:jc w:val="both"/>
              <w:rPr>
                <w:sz w:val="21"/>
                <w:szCs w:val="21"/>
                <w:lang w:eastAsia="en-GB"/>
              </w:rPr>
            </w:pPr>
            <w:r>
              <w:rPr>
                <w:color w:val="000000"/>
                <w:sz w:val="21"/>
                <w:szCs w:val="21"/>
              </w:rPr>
              <w:t>Gestion à la protection et au respect des patrimoine culturel dans le pays</w:t>
            </w:r>
          </w:p>
        </w:tc>
        <w:tc>
          <w:tcPr>
            <w:tcW w:w="3510" w:type="dxa"/>
            <w:vAlign w:val="center"/>
          </w:tcPr>
          <w:p w:rsidR="00BD1EE4" w:rsidRDefault="00024F6F" w:rsidP="00BD1EE4">
            <w:pPr>
              <w:jc w:val="both"/>
              <w:rPr>
                <w:rFonts w:eastAsia="Calibri"/>
                <w:bCs/>
                <w:sz w:val="21"/>
                <w:szCs w:val="21"/>
              </w:rPr>
            </w:pPr>
            <w:r>
              <w:rPr>
                <w:rFonts w:eastAsia="Calibri"/>
                <w:bCs/>
                <w:sz w:val="21"/>
                <w:szCs w:val="21"/>
              </w:rPr>
              <w:t>S’il existe, dans le site des patrimoines, avec ouvertures des routes d’accès ou des emplacements des infrastructures prévus, des risques de destruction ou de dégradation pourrait être noter si des dispositions ne seront pas mise en œuvre</w:t>
            </w:r>
          </w:p>
        </w:tc>
      </w:tr>
    </w:tbl>
    <w:p w:rsidR="00B805ED" w:rsidRPr="00A05698" w:rsidRDefault="00B805ED" w:rsidP="00B805ED"/>
    <w:p w:rsidR="00B805ED" w:rsidRPr="00A05698" w:rsidRDefault="00B805ED" w:rsidP="00B805ED">
      <w:pPr>
        <w:pStyle w:val="PargrafodaLista"/>
        <w:numPr>
          <w:ilvl w:val="1"/>
          <w:numId w:val="99"/>
        </w:numPr>
        <w:spacing w:after="120" w:line="240" w:lineRule="auto"/>
        <w:outlineLvl w:val="1"/>
        <w:rPr>
          <w:rFonts w:ascii="Times New Roman" w:hAnsi="Times New Roman"/>
          <w:b/>
          <w:bCs/>
          <w:sz w:val="24"/>
          <w:szCs w:val="24"/>
        </w:rPr>
      </w:pPr>
      <w:bookmarkStart w:id="131" w:name="_Toc73459730"/>
      <w:r w:rsidRPr="00A05698">
        <w:rPr>
          <w:rFonts w:ascii="Times New Roman" w:hAnsi="Times New Roman"/>
          <w:b/>
          <w:bCs/>
          <w:sz w:val="24"/>
          <w:szCs w:val="24"/>
        </w:rPr>
        <w:t>CADRE INSTITUTIONNEL</w:t>
      </w:r>
      <w:bookmarkEnd w:id="131"/>
    </w:p>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.3.1. Cadre institutionnel du secteur de l’agriculture</w:t>
      </w:r>
    </w:p>
    <w:p w:rsidR="00B805ED" w:rsidRPr="00A05698" w:rsidRDefault="00B805ED" w:rsidP="00B805ED">
      <w:pPr>
        <w:pStyle w:val="Cabealho6"/>
        <w:numPr>
          <w:ilvl w:val="0"/>
          <w:numId w:val="103"/>
        </w:numPr>
        <w:spacing w:line="240" w:lineRule="auto"/>
        <w:rPr>
          <w:rFonts w:ascii="Times New Roman" w:hAnsi="Times New Roman"/>
          <w:b/>
          <w:i w:val="0"/>
          <w:sz w:val="24"/>
          <w:szCs w:val="24"/>
          <w:lang w:eastAsia="en-US"/>
        </w:rPr>
      </w:pPr>
      <w:r w:rsidRPr="00A05698">
        <w:rPr>
          <w:rFonts w:ascii="Times New Roman" w:hAnsi="Times New Roman"/>
          <w:b/>
          <w:i w:val="0"/>
          <w:sz w:val="24"/>
          <w:szCs w:val="24"/>
          <w:lang w:eastAsia="en-US"/>
        </w:rPr>
        <w:t xml:space="preserve">Ministère de l’Agriculture </w:t>
      </w:r>
    </w:p>
    <w:p w:rsidR="00B805ED" w:rsidRPr="00A05698" w:rsidRDefault="00B805ED" w:rsidP="00B805ED">
      <w:pPr>
        <w:spacing w:before="120"/>
        <w:ind w:left="-284"/>
        <w:jc w:val="both"/>
        <w:rPr>
          <w:spacing w:val="-2"/>
        </w:rPr>
      </w:pPr>
      <w:r w:rsidRPr="00A05698">
        <w:rPr>
          <w:spacing w:val="-2"/>
        </w:rPr>
        <w:t xml:space="preserve">Le Ministère de l’Agriculture et du Développement Rural (MADR) a pour mission, en conformité avec les orientations du Gouvernement, de créer des conditions favorables au développement de l’agriculture en vue de garantir la sécurité alimentaire en quantité et en qualité. De plus, son but est d’augmenter et de diversifier les exportations agricoles, d’assurer la gestion rationnelle et la préservation des ressources agro-sylvo-pastorales ainsi que d’améliorer les conditions de vie des populations rurales grâce à l’élaboration et à la mise en œuvre de politiques adéquates. </w:t>
      </w:r>
    </w:p>
    <w:p w:rsidR="00B805ED" w:rsidRPr="00A05698" w:rsidRDefault="00B805ED" w:rsidP="00B805ED">
      <w:pPr>
        <w:spacing w:before="120"/>
        <w:ind w:left="-284"/>
        <w:jc w:val="both"/>
        <w:rPr>
          <w:spacing w:val="-2"/>
        </w:rPr>
      </w:pPr>
      <w:r w:rsidRPr="00A05698">
        <w:rPr>
          <w:spacing w:val="-2"/>
        </w:rPr>
        <w:t xml:space="preserve">Le MADR comprend le Cabinet du Ministre, le Secrétariat général, les services centraux (Direction générale de l’agriculture (DGA), Direction générale de la forêt (DGF), Direction générale de la protection des végétaux (DGPV), etc.), l’Institut de recherche (INPA), et les services décentralisés au niveau des huit régions du pays et du secteur autonome de Bissau. Le MADR a la responsabilité de l’élaboration de la politique du développement agricole et rural et de sa mise en application. La Lettre de politique de développement agricole (LPDA) a précisé les nouvelles missions du ministère. </w:t>
      </w:r>
    </w:p>
    <w:p w:rsidR="00B805ED" w:rsidRPr="00A05698" w:rsidRDefault="00B805ED" w:rsidP="00B805ED">
      <w:pPr>
        <w:spacing w:before="120"/>
        <w:ind w:left="-284"/>
        <w:jc w:val="both"/>
        <w:rPr>
          <w:spacing w:val="-2"/>
        </w:rPr>
      </w:pPr>
      <w:r w:rsidRPr="00A05698">
        <w:rPr>
          <w:spacing w:val="-2"/>
        </w:rPr>
        <w:t xml:space="preserve">Dans le cadre du projet PUSA, la DGA, la DGF, l’INPA et l’ANCA sont plus concernés par sa mise en œuvre. </w:t>
      </w:r>
    </w:p>
    <w:p w:rsidR="00B805ED" w:rsidRPr="00A05698" w:rsidRDefault="00B805ED" w:rsidP="00B805ED">
      <w:pPr>
        <w:pStyle w:val="Cabealho6"/>
        <w:numPr>
          <w:ilvl w:val="0"/>
          <w:numId w:val="103"/>
        </w:numPr>
        <w:spacing w:line="240" w:lineRule="auto"/>
        <w:rPr>
          <w:rFonts w:ascii="Times New Roman" w:hAnsi="Times New Roman"/>
          <w:b/>
          <w:i w:val="0"/>
          <w:sz w:val="24"/>
          <w:szCs w:val="24"/>
          <w:lang w:eastAsia="en-US"/>
        </w:rPr>
      </w:pPr>
      <w:r w:rsidRPr="00A05698">
        <w:rPr>
          <w:rFonts w:ascii="Times New Roman" w:hAnsi="Times New Roman"/>
          <w:b/>
          <w:i w:val="0"/>
          <w:sz w:val="24"/>
          <w:szCs w:val="24"/>
          <w:lang w:eastAsia="en-US"/>
        </w:rPr>
        <w:t xml:space="preserve">Le Comité National de Gestion des Pesticides (CNGP) Guinée Bissau </w:t>
      </w:r>
    </w:p>
    <w:p w:rsidR="00B805ED" w:rsidRPr="00A05698" w:rsidRDefault="00B805ED" w:rsidP="00B805ED">
      <w:pPr>
        <w:spacing w:before="120"/>
        <w:ind w:left="-284"/>
        <w:jc w:val="both"/>
        <w:rPr>
          <w:spacing w:val="-2"/>
        </w:rPr>
      </w:pPr>
      <w:r>
        <w:rPr>
          <w:spacing w:val="-2"/>
        </w:rPr>
        <w:t>L</w:t>
      </w:r>
      <w:r w:rsidRPr="00A05698">
        <w:rPr>
          <w:spacing w:val="-2"/>
        </w:rPr>
        <w:t xml:space="preserve">e CNGP assure : la mise en œuvre et le suivi du respect les procédures et normes de contrôle de qualité des pesticides ; le contrôle post homologation des pesticides ; le contrôle de conformité des pesticides ; le contrôle de la distribution et de l’utilisation des pesticides ; le contrôle des Limites Maximales de Résidus (LMR) des produits d’importation destinés à la consommation locale ; le contrôle des professionnels de la filière des pesticides ; la tenue du registre des opérateurs de la filière ; la tenue et l’actualisation des pesticides homologués ; la dénonciation des pesticides non homologués entrés dans le pays ; la formation des agents phytosanitaires et des opérateurs de la filière ; le suivi en matière de toxico-vigilance ; le suivi des essais de pré-vulgarisation ; le suivi de la mise en œuvre des conventions internationales relatives aux pesticides. </w:t>
      </w:r>
    </w:p>
    <w:p w:rsidR="00B805ED" w:rsidRPr="00A05698" w:rsidRDefault="00B805ED" w:rsidP="00B805ED">
      <w:pPr>
        <w:spacing w:before="120"/>
        <w:ind w:left="-284"/>
        <w:jc w:val="both"/>
        <w:rPr>
          <w:spacing w:val="-2"/>
        </w:rPr>
      </w:pPr>
      <w:r w:rsidRPr="00A05698">
        <w:rPr>
          <w:spacing w:val="-2"/>
        </w:rPr>
        <w:t xml:space="preserve">Plusieurs structures interviennent au sein de ce comité (l’environnement, la santé, les organisations d’agriculteurs, la douane). Toutefois, ce comité n’est pas encore mis en place car la loi </w:t>
      </w:r>
      <w:r w:rsidRPr="000B3F5B">
        <w:rPr>
          <w:b/>
          <w:spacing w:val="-2"/>
        </w:rPr>
        <w:t xml:space="preserve">N° 7/2000 </w:t>
      </w:r>
      <w:r>
        <w:rPr>
          <w:b/>
          <w:spacing w:val="-2"/>
        </w:rPr>
        <w:t>du</w:t>
      </w:r>
      <w:r w:rsidRPr="000B3F5B">
        <w:rPr>
          <w:b/>
          <w:spacing w:val="-2"/>
        </w:rPr>
        <w:t xml:space="preserve"> 24 A</w:t>
      </w:r>
      <w:r>
        <w:rPr>
          <w:b/>
          <w:spacing w:val="-2"/>
        </w:rPr>
        <w:t>out</w:t>
      </w:r>
      <w:r w:rsidRPr="000B3F5B">
        <w:rPr>
          <w:spacing w:val="-2"/>
        </w:rPr>
        <w:t xml:space="preserve"> </w:t>
      </w:r>
      <w:r w:rsidRPr="00A05698">
        <w:rPr>
          <w:spacing w:val="-2"/>
        </w:rPr>
        <w:t xml:space="preserve">qui a été votée depuis 2000 ne comporte pas encore un décret d’application. Ainsi, le rôle et les missions dévolues à ce comité sont actuellement en partie pris en charge par les services de la direction de la protection des végétaux. </w:t>
      </w:r>
    </w:p>
    <w:p w:rsidR="00B805ED" w:rsidRPr="00A05698" w:rsidRDefault="00B805ED" w:rsidP="00B805ED">
      <w:pPr>
        <w:pStyle w:val="Cabealho6"/>
        <w:numPr>
          <w:ilvl w:val="0"/>
          <w:numId w:val="103"/>
        </w:numPr>
        <w:spacing w:line="240" w:lineRule="auto"/>
        <w:rPr>
          <w:rFonts w:ascii="Times New Roman" w:hAnsi="Times New Roman"/>
          <w:b/>
          <w:i w:val="0"/>
          <w:sz w:val="24"/>
          <w:szCs w:val="24"/>
          <w:lang w:eastAsia="en-US"/>
        </w:rPr>
      </w:pPr>
      <w:r w:rsidRPr="00A05698">
        <w:rPr>
          <w:rFonts w:ascii="Times New Roman" w:hAnsi="Times New Roman"/>
          <w:b/>
          <w:i w:val="0"/>
          <w:sz w:val="24"/>
          <w:szCs w:val="24"/>
          <w:lang w:eastAsia="en-US"/>
        </w:rPr>
        <w:t xml:space="preserve">Ministère de la Femme, Famille et Protection Sociale </w:t>
      </w:r>
    </w:p>
    <w:p w:rsidR="00B805ED" w:rsidRPr="00A05698" w:rsidRDefault="00B805ED" w:rsidP="00B805ED">
      <w:pPr>
        <w:spacing w:before="120"/>
        <w:ind w:left="-284"/>
        <w:jc w:val="both"/>
        <w:rPr>
          <w:spacing w:val="-2"/>
        </w:rPr>
      </w:pPr>
      <w:r w:rsidRPr="00A05698">
        <w:rPr>
          <w:spacing w:val="-2"/>
        </w:rPr>
        <w:t xml:space="preserve">Le Ministère de la Promotion Féminine et des Affaires Sociales (MASPF) a établi un Plan Cadre « Femmes et Développement » qui prévoit l’introduction d’équipements de petite transformation, une facilité d’accès aux facteurs de production (intrants, terre, crédit) et un appui à la commercialisation. Un des objectifs majeurs du Plan Cadre est d’alléger les tâches des femmes, de diminuer le temps de travail et d’augmenter leurs revenus. Un accent particulier est mis sur le fait que les actions en faveur des femmes préservent les équilibres familiaux et villageois. </w:t>
      </w:r>
    </w:p>
    <w:p w:rsidR="00B805ED" w:rsidRPr="00A05698" w:rsidRDefault="00B805ED" w:rsidP="00B805ED">
      <w:pPr>
        <w:spacing w:before="120"/>
        <w:ind w:left="-284"/>
        <w:jc w:val="both"/>
        <w:rPr>
          <w:spacing w:val="-2"/>
        </w:rPr>
      </w:pPr>
      <w:r w:rsidRPr="00A05698">
        <w:rPr>
          <w:spacing w:val="-2"/>
        </w:rPr>
        <w:t xml:space="preserve">Ce plan cadre a été repris par l’Institut National des Femmes et des Enfants, afin de l’améliorer et de définir une stratégie et une politique pour assurer un meilleur cadre de vie aux femmes et aux enfants. </w:t>
      </w:r>
    </w:p>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.3.2. Cadre institutionnelle de gestion environnementale du projet</w:t>
      </w:r>
    </w:p>
    <w:p w:rsidR="00B805ED" w:rsidRPr="00A05698" w:rsidRDefault="00B805ED" w:rsidP="00B805ED">
      <w:pPr>
        <w:spacing w:before="120"/>
        <w:ind w:left="-284"/>
        <w:jc w:val="both"/>
        <w:rPr>
          <w:spacing w:val="-2"/>
        </w:rPr>
      </w:pPr>
      <w:r w:rsidRPr="00A05698">
        <w:rPr>
          <w:spacing w:val="-2"/>
        </w:rPr>
        <w:t>En Guinée Bissau, la gestion environnementale relève de l’autorité du Secrétariat d’Etat à l’environnement à travers la Direction Générale de l’Environnement. L’Autorité Compétente d’Evaluation Environnementale rattachée directement au SEE, assure la mise en œuvre de la procédure d’Evaluation environnementale dans le pays.</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Le Secrétariat d’Etat à l’Environnement (SEE)</w:t>
      </w:r>
    </w:p>
    <w:p w:rsidR="00B805ED" w:rsidRPr="00A05698" w:rsidRDefault="00B805ED" w:rsidP="00B805ED">
      <w:pPr>
        <w:spacing w:before="120" w:after="120"/>
        <w:ind w:left="-284"/>
        <w:jc w:val="both"/>
        <w:rPr>
          <w:spacing w:val="-2"/>
        </w:rPr>
      </w:pPr>
      <w:r w:rsidRPr="00A05698">
        <w:rPr>
          <w:spacing w:val="-2"/>
        </w:rPr>
        <w:t xml:space="preserve">La Secrétariat d’Etat à l’Environnement a pour mission l’élaboration, la coordination et l’application de la politique et de l’action environnementale et de Développement Durable au niveau national. En effet, la SEE mise sur une gestion participative en impliquant tous les acteurs, notamment les collectivités locales. Elle est aussi appuyée dans sa mission par plusieurs structures techniques dont la Direction Générale de l’Environnement (DGE). </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Institut de Biodiversité et des Aires Protégées (IBAP) :</w:t>
      </w:r>
    </w:p>
    <w:p w:rsidR="00B805ED" w:rsidRPr="00A05698" w:rsidRDefault="00B805ED" w:rsidP="00B805ED">
      <w:pPr>
        <w:spacing w:before="120" w:after="120"/>
        <w:ind w:left="-284"/>
        <w:jc w:val="both"/>
        <w:rPr>
          <w:spacing w:val="-2"/>
        </w:rPr>
      </w:pPr>
      <w:r w:rsidRPr="00A05698">
        <w:rPr>
          <w:spacing w:val="-2"/>
        </w:rPr>
        <w:t xml:space="preserve">L’IBAP est responsable de la gestion des </w:t>
      </w:r>
      <w:r>
        <w:t xml:space="preserve">aires protégées </w:t>
      </w:r>
      <w:r w:rsidRPr="00A05698">
        <w:rPr>
          <w:spacing w:val="-2"/>
        </w:rPr>
        <w:t>et du suivi des principales valeurs de la biodiversité (espèces, et habitats menacés) en Guinée-Bissau. L’IBAP a une autonomie administrative et financière pouvant assurer une continuité et une stabilité vis-à-vis de sa capacité de mener à bien les activités qui lui sont confiées. Il sera renforcé avec la mise en place d’une Fondation de la Biodiversité qui va garantir un financement durable du réseau des aires protégées et des activités liées à la conservation de la biodiversité.</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La Direction Générale de l’environnement (DGE)</w:t>
      </w:r>
    </w:p>
    <w:p w:rsidR="00B805ED" w:rsidRPr="00A05698" w:rsidRDefault="00B805ED" w:rsidP="00B805ED">
      <w:pPr>
        <w:spacing w:before="120" w:after="120"/>
        <w:ind w:left="-284"/>
        <w:jc w:val="both"/>
        <w:rPr>
          <w:spacing w:val="-2"/>
        </w:rPr>
      </w:pPr>
      <w:r w:rsidRPr="00A05698">
        <w:rPr>
          <w:spacing w:val="-2"/>
        </w:rPr>
        <w:t>La DGE est l’institution chargée de la mise en œuvre et du suivi de la politique environnementale et de développement durable. Elle a pour mission l’élaboration des éléments de la politique nationale en matière d’environnement et de développement durable. Elle doit également participer au suivi de la mise en œuvre des PGES</w:t>
      </w:r>
      <w:r>
        <w:rPr>
          <w:spacing w:val="-2"/>
        </w:rPr>
        <w:t xml:space="preserve">, et </w:t>
      </w:r>
      <w:r w:rsidRPr="0079471A">
        <w:rPr>
          <w:spacing w:val="-2"/>
        </w:rPr>
        <w:t>conformément toutes les mesures indiquées dans le plan d'engagement environnemental et social du projet</w:t>
      </w:r>
      <w:r>
        <w:rPr>
          <w:spacing w:val="-2"/>
        </w:rPr>
        <w:t>)</w:t>
      </w:r>
      <w:r w:rsidRPr="00A05698">
        <w:rPr>
          <w:spacing w:val="-2"/>
        </w:rPr>
        <w:t xml:space="preserve">, des plans, politiques et programmes. </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 xml:space="preserve">Autorité d’Evaluation Environnementale Compétente (AAAC) </w:t>
      </w:r>
    </w:p>
    <w:p w:rsidR="00B805ED" w:rsidRPr="00A05698" w:rsidRDefault="00B805ED" w:rsidP="00B805ED">
      <w:pPr>
        <w:spacing w:before="120"/>
        <w:ind w:left="-284"/>
        <w:jc w:val="both"/>
        <w:rPr>
          <w:spacing w:val="-2"/>
        </w:rPr>
      </w:pPr>
      <w:r w:rsidRPr="00A05698">
        <w:rPr>
          <w:spacing w:val="-2"/>
        </w:rPr>
        <w:t>L’Autorité d’Evaluation Environnementale Compétente (AAAC) est rattachée au Secrétariat d’Etat à l’Environnement</w:t>
      </w:r>
      <w:r>
        <w:rPr>
          <w:spacing w:val="-2"/>
        </w:rPr>
        <w:t xml:space="preserve"> et aussi </w:t>
      </w:r>
      <w:r w:rsidRPr="00083B97">
        <w:t>de la responsabilité de de donner des licences environnementales (Décret n° 08/2017 du 16 Juin 2017</w:t>
      </w:r>
      <w:r w:rsidRPr="003D6EB1">
        <w:t>)</w:t>
      </w:r>
      <w:r w:rsidRPr="003D6EB1">
        <w:rPr>
          <w:spacing w:val="-2"/>
        </w:rPr>
        <w:t>.</w:t>
      </w:r>
      <w:r w:rsidRPr="00A05698">
        <w:rPr>
          <w:spacing w:val="-2"/>
        </w:rPr>
        <w:t xml:space="preserve"> Elle est chargée de la coordination et du suivi de toute la procédure d’Evaluation Environnementale en Guinée Bissau. L’AAAC dispose de compétences humaines réduites dans le domaine des Evaluations et Etudes d’Impacts sur l’Environnement même si elle s’appuie sur des institutions sectorielles pour mener à bien sa mission. En effet, elle ne dispose pas de points focaux au niveau régional telle que le prévoit les textes juridiques.</w:t>
      </w:r>
      <w:r w:rsidRPr="00A05698" w:rsidDel="00A83F7C">
        <w:rPr>
          <w:spacing w:val="-2"/>
        </w:rPr>
        <w:t xml:space="preserve"> </w:t>
      </w:r>
    </w:p>
    <w:p w:rsidR="00B805ED" w:rsidRPr="00A05698" w:rsidRDefault="00B805ED" w:rsidP="00B805ED">
      <w:pPr>
        <w:spacing w:before="120"/>
        <w:ind w:left="-284"/>
        <w:jc w:val="both"/>
        <w:rPr>
          <w:spacing w:val="-2"/>
        </w:rPr>
      </w:pPr>
      <w:r w:rsidRPr="00A05698">
        <w:rPr>
          <w:spacing w:val="-2"/>
        </w:rPr>
        <w:t xml:space="preserve">Ces Points Focaux devraient </w:t>
      </w:r>
      <w:r>
        <w:rPr>
          <w:spacing w:val="-2"/>
        </w:rPr>
        <w:t xml:space="preserve">être </w:t>
      </w:r>
      <w:r w:rsidRPr="00A05698">
        <w:rPr>
          <w:spacing w:val="-2"/>
        </w:rPr>
        <w:t>représenter (puisqu’ils ne sont pas encore mis en place) leurs ministères respectifs lors des séances d’examen et de validation des EIES. Ils animent au sein de leurs départements respectifs la fonction environnementale et veillent à l’intégration des préoccupations environnementales et sociales dans leurs programmes et projets sectoriels.</w:t>
      </w:r>
    </w:p>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.3.3</w:t>
      </w:r>
      <w:r w:rsidR="00B805ED" w:rsidRPr="00A05698">
        <w:rPr>
          <w:rFonts w:ascii="Times New Roman" w:hAnsi="Times New Roman"/>
          <w:sz w:val="24"/>
          <w:szCs w:val="24"/>
        </w:rPr>
        <w:tab/>
        <w:t xml:space="preserve">Les acteurs non gouvernementaux </w:t>
      </w:r>
    </w:p>
    <w:p w:rsidR="00B805ED" w:rsidRPr="00A05698" w:rsidRDefault="00B805ED" w:rsidP="00B805ED">
      <w:pPr>
        <w:spacing w:before="120"/>
        <w:ind w:left="-284"/>
        <w:jc w:val="both"/>
        <w:rPr>
          <w:spacing w:val="-2"/>
        </w:rPr>
      </w:pPr>
      <w:r w:rsidRPr="00A05698">
        <w:rPr>
          <w:spacing w:val="-2"/>
        </w:rPr>
        <w:t xml:space="preserve">Il existe de nombreuses associations locales, culturelles ou par groupe d’âge, mais les groupements de producteurs sont encore peu nombreux et relativement peu organisés. La plupart des associations et groupements ont été créés sur la base des activités ponctuelles et en tant que préalable aux appuis proposés. </w:t>
      </w:r>
    </w:p>
    <w:p w:rsidR="00B805ED" w:rsidRPr="00A05698" w:rsidRDefault="00B805ED" w:rsidP="00B805ED">
      <w:pPr>
        <w:spacing w:before="120"/>
        <w:ind w:left="-284"/>
        <w:jc w:val="both"/>
        <w:rPr>
          <w:lang w:eastAsia="en-US"/>
        </w:rPr>
      </w:pPr>
      <w:r w:rsidRPr="00A05698">
        <w:rPr>
          <w:spacing w:val="-2"/>
        </w:rPr>
        <w:t>Les principales contraintes qui limitent leur développement sont : (i) la législation mal adaptée aux conditions actuelles de production et de commercialisation des produits agricoles ; (ii) la difficulté à</w:t>
      </w:r>
      <w:r w:rsidRPr="00A05698">
        <w:rPr>
          <w:lang w:eastAsia="en-US"/>
        </w:rPr>
        <w:t xml:space="preserve"> obtenir une reconnaissance légale ; (iii) l’insuffisance de formation des responsables, particulièrement en ce qui concerne la gestion et l’animation ; et (iv) le manque d’accès aux informations techniques et sur les marchés. </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 xml:space="preserve">Association Nationale des Agriculteurs de Guinée Bissau (ANAG) </w:t>
      </w:r>
    </w:p>
    <w:p w:rsidR="00B805ED" w:rsidRDefault="00B805ED" w:rsidP="00B805ED">
      <w:pPr>
        <w:spacing w:before="120"/>
        <w:ind w:left="-284"/>
        <w:jc w:val="both"/>
        <w:rPr>
          <w:spacing w:val="-2"/>
        </w:rPr>
      </w:pPr>
      <w:r w:rsidRPr="00A05698">
        <w:rPr>
          <w:spacing w:val="-2"/>
        </w:rPr>
        <w:t xml:space="preserve">L’association nationale des agriculteurs guinéens (ANAG) a été créée en 1992 dans le but de représenter les intérêts de tous les agriculteurs guinéens, petits et moyens, en vue d’assurer : (i) l’amélioration de leurs conditions de travail ; (ii) la maximisation de leurs revenus ; et (iii) l’utilisation rationnelle des moyens d’investissement. Elle compte 1.245 membres, soit 800 à l’Est, 145 au Nord, 150 au Sud et 150 à Bissau et ses proximités et est représentée dans trois provinces du pays. Elle appuie ses membres dans les domaines de la production, la transformation, la conservation, la commercialisation, la recherche de débouchés surtout pour les exportations et l’élargissement de la connaissance sur les facilités d’investissement telles que le crédit. </w:t>
      </w:r>
    </w:p>
    <w:p w:rsidR="00B805ED" w:rsidRDefault="00B805ED" w:rsidP="00B805ED">
      <w:pPr>
        <w:spacing w:before="120"/>
        <w:ind w:left="-284"/>
        <w:jc w:val="both"/>
        <w:rPr>
          <w:spacing w:val="-2"/>
        </w:rPr>
      </w:pPr>
      <w:r w:rsidRPr="00A05698">
        <w:rPr>
          <w:spacing w:val="-2"/>
        </w:rPr>
        <w:t xml:space="preserve">Faute de moyens, les activités de l’ANAG n’ont eu qu’une faible incidence sur ses membres, en particulier dans le domaine de la formation. </w:t>
      </w:r>
      <w:r>
        <w:rPr>
          <w:spacing w:val="-2"/>
        </w:rPr>
        <w:t>Car</w:t>
      </w:r>
      <w:r w:rsidRPr="00A05698">
        <w:rPr>
          <w:spacing w:val="-2"/>
        </w:rPr>
        <w:t xml:space="preserve">, il n’en demeure pas moins qu’il lui manque des moyens et de l’expérience pour bien conduire sa mission. Elle doit procéder à une profonde restructuration et bénéficier d’un important programme de renforcement de capacités. </w:t>
      </w:r>
    </w:p>
    <w:p w:rsidR="00B805ED" w:rsidRDefault="00B805ED" w:rsidP="00B805ED">
      <w:pPr>
        <w:spacing w:before="120"/>
        <w:ind w:left="-284"/>
        <w:jc w:val="both"/>
        <w:rPr>
          <w:spacing w:val="-2"/>
        </w:rPr>
      </w:pP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 xml:space="preserve">AMAE </w:t>
      </w:r>
    </w:p>
    <w:p w:rsidR="00B805ED" w:rsidRPr="00915332" w:rsidRDefault="00B805ED" w:rsidP="00B805ED">
      <w:pPr>
        <w:spacing w:before="120"/>
        <w:ind w:left="-284"/>
        <w:jc w:val="both"/>
      </w:pPr>
      <w:r w:rsidRPr="00A05698">
        <w:rPr>
          <w:spacing w:val="-2"/>
        </w:rPr>
        <w:t>L’Association des Femmes pour les Activités Economiques (AMAE), créée en 1992, compte sur plus de 8.000 membres provenant du secteur formel et informel, dont 90% de femmes rurales, et 80 associations de base. Les postes de responsabilité à l’AMAE sont occupés surtout par les femmes (entrepreneurs) de Bissau, bien qu’elles ne représentent que 10% des adhérentes. L’AMAE défend les intérêts des femmes menant des activités économiques et fournit un appui substantiel aux différentes organisations de base qu’elle encadre, dans le domaine de la légalisation de leurs organisations, de l’alphabétisation fonctionnelle, du micro-crédit, de la recherche de financement, de la gestion, de la commercialisation</w:t>
      </w:r>
      <w:r>
        <w:rPr>
          <w:spacing w:val="-2"/>
        </w:rPr>
        <w:t xml:space="preserve"> </w:t>
      </w:r>
      <w:r w:rsidRPr="00A05698">
        <w:rPr>
          <w:spacing w:val="-2"/>
        </w:rPr>
        <w:t xml:space="preserve">(Recherche de services, etc.). D’une façon générale, le principal domaine d ́activité des femmes d’AMAE est le petit commerce mais il existe aussi les activités de production, de transformation et de commercialisation des produits agricoles. </w:t>
      </w:r>
    </w:p>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.4 Les Normes environnementales et sociales</w:t>
      </w:r>
      <w:r w:rsidR="00B805ED">
        <w:rPr>
          <w:rFonts w:ascii="Times New Roman" w:hAnsi="Times New Roman"/>
          <w:sz w:val="24"/>
          <w:szCs w:val="24"/>
        </w:rPr>
        <w:t xml:space="preserve"> de la Banque mondiale</w:t>
      </w:r>
    </w:p>
    <w:p w:rsidR="00B805ED" w:rsidRPr="00A05698" w:rsidRDefault="00B805ED" w:rsidP="00B805ED">
      <w:pPr>
        <w:spacing w:before="120"/>
        <w:ind w:left="-284"/>
        <w:jc w:val="both"/>
        <w:rPr>
          <w:spacing w:val="-2"/>
        </w:rPr>
      </w:pPr>
      <w:r w:rsidRPr="00A05698">
        <w:rPr>
          <w:spacing w:val="-2"/>
        </w:rPr>
        <w:t xml:space="preserve">Les Normes environnementales et sociales énoncent les obligations des Emprunteurs en matière d’identification et d’évaluation des risques et effets environnementaux et sociaux des projets appuyés par la Banque au moyen du Financement de projets d’investissement. La Banque estime que l’application de ces normes, en mettant l’accent sur l’identification et la gestion des risques environnementaux et sociaux, permettra aux Emprunteurs de réaliser leur objectif de réduction de la pauvreté et d’accroissement de la prospérité d’une façon durable pour le bien de leurs citoyens et de l’environnement. </w:t>
      </w:r>
    </w:p>
    <w:p w:rsidR="00B805ED" w:rsidRPr="00A05698" w:rsidRDefault="00B805ED" w:rsidP="00B805ED">
      <w:pPr>
        <w:spacing w:before="120"/>
        <w:ind w:left="-284"/>
        <w:jc w:val="both"/>
        <w:rPr>
          <w:spacing w:val="-2"/>
        </w:rPr>
      </w:pPr>
      <w:r w:rsidRPr="00A05698">
        <w:rPr>
          <w:spacing w:val="-2"/>
        </w:rPr>
        <w:t xml:space="preserve">Ces normes vont : </w:t>
      </w:r>
    </w:p>
    <w:p w:rsidR="00B805ED" w:rsidRPr="000D499C" w:rsidRDefault="00B805ED" w:rsidP="00B805ED">
      <w:pPr>
        <w:pStyle w:val="Primeiroavanodecorpodetexto2"/>
        <w:spacing w:after="0" w:line="240" w:lineRule="auto"/>
        <w:ind w:left="426" w:hanging="283"/>
        <w:rPr>
          <w:rFonts w:ascii="Times New Roman" w:hAnsi="Times New Roman"/>
          <w:lang w:eastAsia="en-US"/>
        </w:rPr>
      </w:pPr>
      <w:r w:rsidRPr="00A05698">
        <w:rPr>
          <w:rFonts w:ascii="Times New Roman" w:hAnsi="Times New Roman"/>
          <w:sz w:val="24"/>
          <w:szCs w:val="24"/>
          <w:lang w:eastAsia="en-US"/>
        </w:rPr>
        <w:t xml:space="preserve">a) </w:t>
      </w:r>
      <w:r w:rsidRPr="000D499C">
        <w:rPr>
          <w:rFonts w:ascii="Times New Roman" w:hAnsi="Times New Roman"/>
          <w:lang w:eastAsia="en-US"/>
        </w:rPr>
        <w:t xml:space="preserve">aider les Emprunteurs à appliquer de bonnes pratiques internationales en matière de viabilité environnementale et sociale ; </w:t>
      </w:r>
    </w:p>
    <w:p w:rsidR="00B805ED" w:rsidRPr="000D499C" w:rsidRDefault="00B805ED" w:rsidP="00B805ED">
      <w:pPr>
        <w:pStyle w:val="Primeiroavanodecorpodetexto2"/>
        <w:spacing w:after="0" w:line="240" w:lineRule="auto"/>
        <w:ind w:left="426" w:hanging="283"/>
        <w:rPr>
          <w:rFonts w:ascii="Times New Roman" w:hAnsi="Times New Roman"/>
          <w:lang w:eastAsia="en-US"/>
        </w:rPr>
      </w:pPr>
      <w:r w:rsidRPr="000D499C">
        <w:rPr>
          <w:rFonts w:ascii="Times New Roman" w:hAnsi="Times New Roman"/>
          <w:lang w:eastAsia="en-US"/>
        </w:rPr>
        <w:t xml:space="preserve">b) aider les Emprunteurs à s’acquitter de leurs obligations environnementales et sociales au niveau national et international ; </w:t>
      </w:r>
    </w:p>
    <w:p w:rsidR="00B805ED" w:rsidRPr="000D499C" w:rsidRDefault="00B805ED" w:rsidP="00B805ED">
      <w:pPr>
        <w:pStyle w:val="Primeiroavanodecorpodetexto2"/>
        <w:spacing w:after="0" w:line="240" w:lineRule="auto"/>
        <w:ind w:left="426" w:hanging="283"/>
        <w:rPr>
          <w:rFonts w:ascii="Times New Roman" w:hAnsi="Times New Roman"/>
          <w:lang w:eastAsia="en-US"/>
        </w:rPr>
      </w:pPr>
      <w:r w:rsidRPr="000D499C">
        <w:rPr>
          <w:rFonts w:ascii="Times New Roman" w:hAnsi="Times New Roman"/>
          <w:lang w:eastAsia="en-US"/>
        </w:rPr>
        <w:t xml:space="preserve">c) favoriser la non-discrimination, la transparence, la participation, la responsabilisation et la gouvernance ; et </w:t>
      </w:r>
    </w:p>
    <w:p w:rsidR="00B805ED" w:rsidRPr="000D499C" w:rsidRDefault="00B805ED" w:rsidP="00B805ED">
      <w:pPr>
        <w:pStyle w:val="Primeiroavanodecorpodetexto2"/>
        <w:spacing w:after="0" w:line="240" w:lineRule="auto"/>
        <w:ind w:left="426" w:hanging="283"/>
        <w:rPr>
          <w:rFonts w:ascii="Times New Roman" w:hAnsi="Times New Roman"/>
          <w:lang w:eastAsia="en-US"/>
        </w:rPr>
      </w:pPr>
      <w:r w:rsidRPr="000D499C">
        <w:rPr>
          <w:rFonts w:ascii="Times New Roman" w:hAnsi="Times New Roman"/>
          <w:lang w:eastAsia="en-US"/>
        </w:rPr>
        <w:t xml:space="preserve">d) contribuer à améliorer les résultats des projets en matière de développement durable grâce à l’adhésion permanente des parties prenantes. </w:t>
      </w:r>
    </w:p>
    <w:p w:rsidR="00B805ED" w:rsidRPr="008450CC" w:rsidRDefault="00B805ED" w:rsidP="00B805ED">
      <w:pPr>
        <w:spacing w:before="120"/>
        <w:ind w:left="-284"/>
        <w:jc w:val="both"/>
        <w:rPr>
          <w:lang w:bidi="fr-FR"/>
        </w:rPr>
      </w:pPr>
      <w:r>
        <w:rPr>
          <w:lang w:bidi="fr-FR"/>
        </w:rPr>
        <w:t>Il sied de noter que seront d’application l</w:t>
      </w:r>
      <w:r w:rsidRPr="008450CC">
        <w:rPr>
          <w:lang w:bidi="fr-FR"/>
        </w:rPr>
        <w:t xml:space="preserve">es recommandations </w:t>
      </w:r>
      <w:r w:rsidRPr="00877296">
        <w:t>et bonnes pratiques de la Guide de Ressources sur la Violence avec les Femmes et les Filles recueillent dans la Note Sectorielle de</w:t>
      </w:r>
      <w:r w:rsidRPr="008450CC">
        <w:rPr>
          <w:lang w:bidi="fr-FR"/>
        </w:rPr>
        <w:t xml:space="preserve"> </w:t>
      </w:r>
      <w:r>
        <w:rPr>
          <w:lang w:bidi="fr-FR"/>
        </w:rPr>
        <w:t>Protection Social</w:t>
      </w:r>
      <w:r>
        <w:rPr>
          <w:rStyle w:val="Refdenotaderodap"/>
          <w:lang w:bidi="fr-FR"/>
        </w:rPr>
        <w:footnoteReference w:id="3"/>
      </w:r>
      <w:r>
        <w:rPr>
          <w:lang w:bidi="fr-FR"/>
        </w:rPr>
        <w:t xml:space="preserve">  </w:t>
      </w:r>
      <w:r w:rsidRPr="008450CC">
        <w:rPr>
          <w:lang w:bidi="fr-FR"/>
        </w:rPr>
        <w:t xml:space="preserve">pour l´enrichissement des mesures de prévention, atténuation et réponse aux risques EAS/HS liés au projet. </w:t>
      </w:r>
    </w:p>
    <w:p w:rsidR="00B805ED" w:rsidRPr="00A05698" w:rsidRDefault="00B805ED" w:rsidP="00B805ED">
      <w:pPr>
        <w:pStyle w:val="Primeiroavanodecorpodetexto2"/>
        <w:spacing w:after="0" w:line="240" w:lineRule="auto"/>
        <w:rPr>
          <w:rFonts w:ascii="Times New Roman" w:hAnsi="Times New Roman"/>
          <w:sz w:val="24"/>
          <w:szCs w:val="24"/>
          <w:lang w:eastAsia="en-US"/>
        </w:rPr>
      </w:pPr>
    </w:p>
    <w:p w:rsidR="00B805ED" w:rsidRPr="00A05698" w:rsidRDefault="00B805ED" w:rsidP="00B805ED">
      <w:pPr>
        <w:pStyle w:val="Legenda"/>
        <w:jc w:val="center"/>
      </w:pPr>
      <w:bookmarkStart w:id="132" w:name="_Toc73522613"/>
      <w:r w:rsidRPr="00A05698">
        <w:t xml:space="preserve">Tableau </w:t>
      </w:r>
      <w:r w:rsidR="00D00D1D">
        <w:fldChar w:fldCharType="begin"/>
      </w:r>
      <w:r w:rsidR="00D00D1D">
        <w:instrText xml:space="preserve"> SEQ Tableau \* ARABIC </w:instrText>
      </w:r>
      <w:r w:rsidR="00D00D1D">
        <w:fldChar w:fldCharType="separate"/>
      </w:r>
      <w:r w:rsidR="00BB7875">
        <w:rPr>
          <w:noProof/>
        </w:rPr>
        <w:t>7</w:t>
      </w:r>
      <w:r w:rsidR="00D00D1D">
        <w:rPr>
          <w:noProof/>
        </w:rPr>
        <w:fldChar w:fldCharType="end"/>
      </w:r>
      <w:r w:rsidRPr="00A05698">
        <w:t>: Normes environnementales et sociales de la banque mondiale</w:t>
      </w:r>
      <w:bookmarkEnd w:id="132"/>
    </w:p>
    <w:tbl>
      <w:tblPr>
        <w:tblStyle w:val="Tabelacomgrelha"/>
        <w:tblW w:w="10339" w:type="dxa"/>
        <w:tblInd w:w="-426" w:type="dxa"/>
        <w:tblLook w:val="04A0" w:firstRow="1" w:lastRow="0" w:firstColumn="1" w:lastColumn="0" w:noHBand="0" w:noVBand="1"/>
      </w:tblPr>
      <w:tblGrid>
        <w:gridCol w:w="2934"/>
        <w:gridCol w:w="4353"/>
        <w:gridCol w:w="3052"/>
      </w:tblGrid>
      <w:tr w:rsidR="00B805ED" w:rsidRPr="000D499C" w:rsidTr="008D4CD7">
        <w:trPr>
          <w:trHeight w:val="67"/>
        </w:trPr>
        <w:tc>
          <w:tcPr>
            <w:tcW w:w="2934" w:type="dxa"/>
            <w:shd w:val="clear" w:color="auto" w:fill="FFE599" w:themeFill="accent4" w:themeFillTint="66"/>
            <w:vAlign w:val="center"/>
          </w:tcPr>
          <w:p w:rsidR="00B805ED" w:rsidRPr="00077086" w:rsidRDefault="00B805ED" w:rsidP="008D4CD7">
            <w:pPr>
              <w:widowControl w:val="0"/>
              <w:autoSpaceDE w:val="0"/>
              <w:autoSpaceDN w:val="0"/>
              <w:adjustRightInd w:val="0"/>
              <w:jc w:val="center"/>
              <w:rPr>
                <w:b/>
                <w:bCs/>
                <w:sz w:val="21"/>
                <w:szCs w:val="21"/>
              </w:rPr>
            </w:pPr>
            <w:r w:rsidRPr="00077086">
              <w:rPr>
                <w:b/>
                <w:bCs/>
                <w:sz w:val="21"/>
                <w:szCs w:val="21"/>
              </w:rPr>
              <w:t>NES déclenché</w:t>
            </w:r>
          </w:p>
        </w:tc>
        <w:tc>
          <w:tcPr>
            <w:tcW w:w="4353" w:type="dxa"/>
            <w:shd w:val="clear" w:color="auto" w:fill="FFE599" w:themeFill="accent4" w:themeFillTint="66"/>
            <w:vAlign w:val="center"/>
          </w:tcPr>
          <w:p w:rsidR="00B805ED" w:rsidRPr="000D499C" w:rsidRDefault="00B805ED" w:rsidP="008D4CD7">
            <w:pPr>
              <w:widowControl w:val="0"/>
              <w:autoSpaceDE w:val="0"/>
              <w:autoSpaceDN w:val="0"/>
              <w:adjustRightInd w:val="0"/>
              <w:jc w:val="center"/>
              <w:rPr>
                <w:b/>
                <w:color w:val="000000"/>
                <w:sz w:val="21"/>
                <w:szCs w:val="21"/>
                <w:lang w:eastAsia="en-US"/>
              </w:rPr>
            </w:pPr>
            <w:r w:rsidRPr="000D499C">
              <w:rPr>
                <w:b/>
                <w:bCs/>
                <w:sz w:val="21"/>
                <w:szCs w:val="21"/>
              </w:rPr>
              <w:t>OBJECTIF</w:t>
            </w:r>
          </w:p>
        </w:tc>
        <w:tc>
          <w:tcPr>
            <w:tcW w:w="3052" w:type="dxa"/>
            <w:shd w:val="clear" w:color="auto" w:fill="FFE599" w:themeFill="accent4" w:themeFillTint="66"/>
            <w:vAlign w:val="center"/>
          </w:tcPr>
          <w:p w:rsidR="00B805ED" w:rsidRPr="00724E18" w:rsidRDefault="00B805ED" w:rsidP="008D4CD7">
            <w:pPr>
              <w:widowControl w:val="0"/>
              <w:autoSpaceDE w:val="0"/>
              <w:autoSpaceDN w:val="0"/>
              <w:adjustRightInd w:val="0"/>
              <w:jc w:val="center"/>
              <w:rPr>
                <w:b/>
                <w:bCs/>
                <w:sz w:val="21"/>
                <w:szCs w:val="21"/>
              </w:rPr>
            </w:pPr>
            <w:r w:rsidRPr="00724E18">
              <w:rPr>
                <w:b/>
                <w:bCs/>
                <w:sz w:val="21"/>
                <w:szCs w:val="21"/>
              </w:rPr>
              <w:t>Pertinence</w:t>
            </w:r>
          </w:p>
          <w:p w:rsidR="00B805ED" w:rsidRPr="000D499C" w:rsidRDefault="00B805ED" w:rsidP="008D4CD7">
            <w:pPr>
              <w:widowControl w:val="0"/>
              <w:autoSpaceDE w:val="0"/>
              <w:autoSpaceDN w:val="0"/>
              <w:adjustRightInd w:val="0"/>
              <w:jc w:val="center"/>
              <w:rPr>
                <w:b/>
                <w:bCs/>
                <w:sz w:val="21"/>
                <w:szCs w:val="21"/>
              </w:rPr>
            </w:pPr>
            <w:r w:rsidRPr="00724E18">
              <w:rPr>
                <w:b/>
                <w:bCs/>
                <w:sz w:val="21"/>
                <w:szCs w:val="21"/>
              </w:rPr>
              <w:t>par rapport au projet</w:t>
            </w:r>
          </w:p>
        </w:tc>
      </w:tr>
      <w:tr w:rsidR="00B805ED" w:rsidRPr="000D499C" w:rsidTr="008D4CD7">
        <w:trPr>
          <w:trHeight w:val="1961"/>
        </w:trPr>
        <w:tc>
          <w:tcPr>
            <w:tcW w:w="2934" w:type="dxa"/>
            <w:vAlign w:val="center"/>
          </w:tcPr>
          <w:p w:rsidR="00B805ED" w:rsidRPr="000D499C" w:rsidRDefault="00B805ED" w:rsidP="008D4CD7">
            <w:pPr>
              <w:widowControl w:val="0"/>
              <w:autoSpaceDE w:val="0"/>
              <w:autoSpaceDN w:val="0"/>
              <w:adjustRightInd w:val="0"/>
              <w:jc w:val="center"/>
              <w:rPr>
                <w:b/>
                <w:color w:val="000000"/>
                <w:sz w:val="21"/>
                <w:szCs w:val="21"/>
                <w:lang w:eastAsia="en-US"/>
              </w:rPr>
            </w:pPr>
            <w:r w:rsidRPr="000D499C">
              <w:rPr>
                <w:b/>
                <w:color w:val="000000"/>
                <w:sz w:val="21"/>
                <w:szCs w:val="21"/>
                <w:lang w:eastAsia="en-US"/>
              </w:rPr>
              <w:t>Norme environnementale et sociale n° 1 : Évaluation et gestion des risques et effets environnementaux et sociaux ;</w:t>
            </w:r>
          </w:p>
          <w:p w:rsidR="00B805ED" w:rsidRPr="000D499C" w:rsidRDefault="00B805ED" w:rsidP="008D4CD7">
            <w:pPr>
              <w:widowControl w:val="0"/>
              <w:autoSpaceDE w:val="0"/>
              <w:autoSpaceDN w:val="0"/>
              <w:adjustRightInd w:val="0"/>
              <w:jc w:val="center"/>
              <w:rPr>
                <w:b/>
                <w:color w:val="000000"/>
                <w:sz w:val="21"/>
                <w:szCs w:val="21"/>
                <w:lang w:eastAsia="en-US"/>
              </w:rPr>
            </w:pPr>
          </w:p>
        </w:tc>
        <w:tc>
          <w:tcPr>
            <w:tcW w:w="4353" w:type="dxa"/>
          </w:tcPr>
          <w:p w:rsidR="00B805ED" w:rsidRPr="000D499C" w:rsidRDefault="00B805ED" w:rsidP="008D4CD7">
            <w:pPr>
              <w:widowControl w:val="0"/>
              <w:autoSpaceDE w:val="0"/>
              <w:autoSpaceDN w:val="0"/>
              <w:adjustRightInd w:val="0"/>
              <w:jc w:val="both"/>
              <w:rPr>
                <w:color w:val="000000"/>
                <w:sz w:val="21"/>
                <w:szCs w:val="21"/>
                <w:lang w:eastAsia="en-US"/>
              </w:rPr>
            </w:pPr>
            <w:r w:rsidRPr="000D499C">
              <w:rPr>
                <w:color w:val="000000"/>
                <w:sz w:val="21"/>
                <w:szCs w:val="21"/>
                <w:lang w:eastAsia="en-US"/>
              </w:rPr>
              <w:t xml:space="preserve">- Déterminer, évaluer et gérer les risques et effets environnementaux et sociaux du projet d’une manière compatible avec les NES. </w:t>
            </w:r>
          </w:p>
          <w:p w:rsidR="00B805ED" w:rsidRPr="000D499C" w:rsidRDefault="00B805ED" w:rsidP="008D4CD7">
            <w:pPr>
              <w:widowControl w:val="0"/>
              <w:autoSpaceDE w:val="0"/>
              <w:autoSpaceDN w:val="0"/>
              <w:adjustRightInd w:val="0"/>
              <w:jc w:val="both"/>
              <w:rPr>
                <w:color w:val="000000"/>
                <w:sz w:val="21"/>
                <w:szCs w:val="21"/>
                <w:lang w:eastAsia="en-US"/>
              </w:rPr>
            </w:pPr>
            <w:r w:rsidRPr="000D499C">
              <w:rPr>
                <w:color w:val="000000"/>
                <w:sz w:val="21"/>
                <w:szCs w:val="21"/>
                <w:lang w:eastAsia="en-US"/>
              </w:rPr>
              <w:t xml:space="preserve">- Adopter une approche de hiérarchie d’atténuation consistant à : a) anticiper et éviter les risques et les impacts ; b) lorsqu’il n’est pas possible de les éviter, mini- miser ou réduire les risques et les impacts à des niveaux acceptables ; c) une fois que les risques et les impacts ont été minimisés ou réduits, les atténuer ; et d) lorsque les impacts résiduels sont importants, les compenser ou les neutraliser dans la mesure où cela est techniquement et financièrement faisable. </w:t>
            </w:r>
          </w:p>
          <w:p w:rsidR="00B805ED" w:rsidRPr="000D499C" w:rsidRDefault="00B805ED" w:rsidP="008D4CD7">
            <w:pPr>
              <w:widowControl w:val="0"/>
              <w:autoSpaceDE w:val="0"/>
              <w:autoSpaceDN w:val="0"/>
              <w:adjustRightInd w:val="0"/>
              <w:jc w:val="both"/>
              <w:rPr>
                <w:color w:val="000000"/>
                <w:sz w:val="21"/>
                <w:szCs w:val="21"/>
                <w:lang w:eastAsia="en-US"/>
              </w:rPr>
            </w:pPr>
            <w:r w:rsidRPr="000D499C">
              <w:rPr>
                <w:color w:val="000000"/>
                <w:sz w:val="21"/>
                <w:szCs w:val="21"/>
                <w:lang w:eastAsia="en-US"/>
              </w:rPr>
              <w:t xml:space="preserve">- Adopter des mesures différenciées de sorte que les impacts négatifs ne touchent pas de façon disproportionnée les personnes défavorisées ou vulnérables, et que celles-ci ne soient pas lésées dans le partage des avantages et opportunités de développement qu’offre le projet. </w:t>
            </w:r>
          </w:p>
        </w:tc>
        <w:tc>
          <w:tcPr>
            <w:tcW w:w="3052" w:type="dxa"/>
          </w:tcPr>
          <w:p w:rsidR="00467E72" w:rsidRDefault="00467E72" w:rsidP="008D4CD7">
            <w:pPr>
              <w:widowControl w:val="0"/>
              <w:autoSpaceDE w:val="0"/>
              <w:autoSpaceDN w:val="0"/>
              <w:adjustRightInd w:val="0"/>
              <w:jc w:val="both"/>
              <w:rPr>
                <w:color w:val="000000"/>
                <w:sz w:val="21"/>
                <w:szCs w:val="21"/>
              </w:rPr>
            </w:pPr>
          </w:p>
          <w:p w:rsidR="00DB377B" w:rsidRDefault="00467E72" w:rsidP="008D4CD7">
            <w:pPr>
              <w:widowControl w:val="0"/>
              <w:autoSpaceDE w:val="0"/>
              <w:autoSpaceDN w:val="0"/>
              <w:adjustRightInd w:val="0"/>
              <w:jc w:val="both"/>
              <w:rPr>
                <w:color w:val="000000"/>
                <w:sz w:val="21"/>
                <w:szCs w:val="21"/>
              </w:rPr>
            </w:pPr>
            <w:r>
              <w:rPr>
                <w:color w:val="000000"/>
                <w:sz w:val="21"/>
                <w:szCs w:val="21"/>
              </w:rPr>
              <w:t>Vue les activités du projet PUSA qui pourraient engendrer des risque</w:t>
            </w:r>
            <w:r w:rsidR="00A20FF5">
              <w:rPr>
                <w:color w:val="000000"/>
                <w:sz w:val="21"/>
                <w:szCs w:val="21"/>
              </w:rPr>
              <w:t>s</w:t>
            </w:r>
            <w:r>
              <w:rPr>
                <w:color w:val="000000"/>
                <w:sz w:val="21"/>
                <w:szCs w:val="21"/>
              </w:rPr>
              <w:t xml:space="preserve"> ou des effets négatifs</w:t>
            </w:r>
            <w:r w:rsidR="00A20FF5">
              <w:rPr>
                <w:color w:val="000000"/>
                <w:sz w:val="21"/>
                <w:szCs w:val="21"/>
              </w:rPr>
              <w:t xml:space="preserve"> sur l’environnement et le social </w:t>
            </w:r>
            <w:r w:rsidR="009D7E7B">
              <w:rPr>
                <w:color w:val="000000"/>
                <w:sz w:val="21"/>
                <w:szCs w:val="21"/>
              </w:rPr>
              <w:t>et qui devront</w:t>
            </w:r>
            <w:r w:rsidR="00A20FF5">
              <w:rPr>
                <w:color w:val="000000"/>
                <w:sz w:val="21"/>
                <w:szCs w:val="21"/>
              </w:rPr>
              <w:t xml:space="preserve"> </w:t>
            </w:r>
            <w:r w:rsidR="00DB377B">
              <w:rPr>
                <w:color w:val="000000"/>
                <w:sz w:val="21"/>
                <w:szCs w:val="21"/>
              </w:rPr>
              <w:t>être</w:t>
            </w:r>
            <w:r w:rsidR="00A20FF5">
              <w:rPr>
                <w:color w:val="000000"/>
                <w:sz w:val="21"/>
                <w:szCs w:val="21"/>
              </w:rPr>
              <w:t xml:space="preserve"> </w:t>
            </w:r>
            <w:r w:rsidR="00DB377B">
              <w:rPr>
                <w:color w:val="000000"/>
                <w:sz w:val="21"/>
                <w:szCs w:val="21"/>
              </w:rPr>
              <w:t>gères</w:t>
            </w:r>
            <w:r w:rsidR="00A20FF5">
              <w:rPr>
                <w:color w:val="000000"/>
                <w:sz w:val="21"/>
                <w:szCs w:val="21"/>
              </w:rPr>
              <w:t xml:space="preserve"> durant et </w:t>
            </w:r>
            <w:r w:rsidR="00DB377B">
              <w:rPr>
                <w:color w:val="000000"/>
                <w:sz w:val="21"/>
                <w:szCs w:val="21"/>
              </w:rPr>
              <w:t>après</w:t>
            </w:r>
            <w:r w:rsidR="00A20FF5">
              <w:rPr>
                <w:color w:val="000000"/>
                <w:sz w:val="21"/>
                <w:szCs w:val="21"/>
              </w:rPr>
              <w:t xml:space="preserve"> le projet</w:t>
            </w:r>
            <w:r w:rsidR="00DB377B">
              <w:rPr>
                <w:color w:val="000000"/>
                <w:sz w:val="21"/>
                <w:szCs w:val="21"/>
              </w:rPr>
              <w:t>,</w:t>
            </w:r>
            <w:r w:rsidR="009D7E7B">
              <w:rPr>
                <w:color w:val="000000"/>
                <w:sz w:val="21"/>
                <w:szCs w:val="21"/>
              </w:rPr>
              <w:t xml:space="preserve"> ainsi,</w:t>
            </w:r>
            <w:r w:rsidR="00DB377B">
              <w:rPr>
                <w:color w:val="000000"/>
                <w:sz w:val="21"/>
                <w:szCs w:val="21"/>
              </w:rPr>
              <w:t xml:space="preserve"> il est nécessaire de se conformer par rapport à la NES.</w:t>
            </w:r>
          </w:p>
          <w:p w:rsidR="00DB377B" w:rsidRDefault="00DB377B" w:rsidP="008D4CD7">
            <w:pPr>
              <w:widowControl w:val="0"/>
              <w:autoSpaceDE w:val="0"/>
              <w:autoSpaceDN w:val="0"/>
              <w:adjustRightInd w:val="0"/>
              <w:jc w:val="both"/>
              <w:rPr>
                <w:color w:val="000000"/>
                <w:sz w:val="21"/>
                <w:szCs w:val="21"/>
              </w:rPr>
            </w:pPr>
          </w:p>
          <w:p w:rsidR="00B805ED" w:rsidRPr="000D499C" w:rsidRDefault="00467E72" w:rsidP="008D4CD7">
            <w:pPr>
              <w:widowControl w:val="0"/>
              <w:autoSpaceDE w:val="0"/>
              <w:autoSpaceDN w:val="0"/>
              <w:adjustRightInd w:val="0"/>
              <w:jc w:val="both"/>
              <w:rPr>
                <w:color w:val="000000"/>
                <w:sz w:val="21"/>
                <w:szCs w:val="21"/>
                <w:lang w:eastAsia="en-US"/>
              </w:rPr>
            </w:pPr>
            <w:r>
              <w:rPr>
                <w:color w:val="000000"/>
                <w:sz w:val="21"/>
                <w:szCs w:val="21"/>
              </w:rPr>
              <w:t xml:space="preserve"> </w:t>
            </w:r>
            <w:r w:rsidR="00B805ED" w:rsidRPr="000D499C">
              <w:rPr>
                <w:color w:val="000000"/>
                <w:sz w:val="21"/>
                <w:szCs w:val="21"/>
              </w:rPr>
              <w:t>Compte tenu de la nature des activités du PUSA, une gamme d’instruments peut être utilisée : EIES, audit environnemental, évaluations des dangers ou des risques et plan de gestion environnemental et Social</w:t>
            </w:r>
            <w:r w:rsidR="00B805ED" w:rsidRPr="000D499C">
              <w:rPr>
                <w:color w:val="000000"/>
                <w:sz w:val="21"/>
                <w:szCs w:val="21"/>
              </w:rPr>
              <w:br/>
              <w:t>(PGES)</w:t>
            </w:r>
            <w:r w:rsidR="009D7E7B">
              <w:rPr>
                <w:color w:val="000000"/>
                <w:sz w:val="21"/>
                <w:szCs w:val="21"/>
              </w:rPr>
              <w:t xml:space="preserve"> pour bonifier et atténuer les impacts.</w:t>
            </w:r>
          </w:p>
        </w:tc>
      </w:tr>
      <w:tr w:rsidR="00B805ED" w:rsidRPr="000D499C" w:rsidTr="008D4CD7">
        <w:tc>
          <w:tcPr>
            <w:tcW w:w="2934" w:type="dxa"/>
            <w:vAlign w:val="center"/>
          </w:tcPr>
          <w:p w:rsidR="00B805ED" w:rsidRPr="000D499C" w:rsidRDefault="00B805ED" w:rsidP="008D4CD7">
            <w:pPr>
              <w:widowControl w:val="0"/>
              <w:autoSpaceDE w:val="0"/>
              <w:autoSpaceDN w:val="0"/>
              <w:adjustRightInd w:val="0"/>
              <w:jc w:val="center"/>
              <w:rPr>
                <w:b/>
                <w:color w:val="000000"/>
                <w:sz w:val="21"/>
                <w:szCs w:val="21"/>
                <w:lang w:eastAsia="en-US"/>
              </w:rPr>
            </w:pPr>
            <w:r w:rsidRPr="000D499C">
              <w:rPr>
                <w:b/>
                <w:color w:val="000000"/>
                <w:sz w:val="21"/>
                <w:szCs w:val="21"/>
                <w:lang w:eastAsia="en-US"/>
              </w:rPr>
              <w:t>Norme environnementale et sociale n° 2 : Emploi et conditions de travail ;</w:t>
            </w:r>
          </w:p>
          <w:p w:rsidR="00B805ED" w:rsidRPr="000D499C" w:rsidRDefault="00B805ED" w:rsidP="008D4CD7">
            <w:pPr>
              <w:widowControl w:val="0"/>
              <w:autoSpaceDE w:val="0"/>
              <w:autoSpaceDN w:val="0"/>
              <w:adjustRightInd w:val="0"/>
              <w:jc w:val="center"/>
              <w:rPr>
                <w:b/>
                <w:color w:val="000000"/>
                <w:sz w:val="21"/>
                <w:szCs w:val="21"/>
                <w:lang w:eastAsia="en-US"/>
              </w:rPr>
            </w:pPr>
          </w:p>
        </w:tc>
        <w:tc>
          <w:tcPr>
            <w:tcW w:w="4353" w:type="dxa"/>
          </w:tcPr>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Promouvoir la sécurité et la santé au travail.</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Encourager le traitement équitable, la non- discrimination et l’égalité des chances pour les travailleurs du projet.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Protéger les travailleurs du projet, notamment ceux qui sont vulnérables tels que les femmes, les per- sonnes handicapées, les enfants (en âge de travailler, conformément à cette NES) et les travailleurs migrants, ainsi que les travailleurs contractuels, communautaires et les employés des fournisseurs principaux, le cas échéant.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Empêcher le recours à toute forme de travail forcé et au travail des enfants.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Soutenir les principes de liberté d’association et de conventions collectives des travailleurs du projet en accord avec le droit national.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Fournir aux travailleurs du projet les moyens d’évoquer les problèmes qui se posent sur leur lieu de travail. </w:t>
            </w:r>
          </w:p>
        </w:tc>
        <w:tc>
          <w:tcPr>
            <w:tcW w:w="3052" w:type="dxa"/>
          </w:tcPr>
          <w:p w:rsidR="00B805ED" w:rsidRPr="00345951" w:rsidRDefault="00B805ED" w:rsidP="00345951">
            <w:pPr>
              <w:pStyle w:val="Textodecomentrio"/>
            </w:pPr>
            <w:r w:rsidRPr="000D499C">
              <w:rPr>
                <w:color w:val="000000"/>
                <w:sz w:val="21"/>
                <w:szCs w:val="21"/>
              </w:rPr>
              <w:t xml:space="preserve">La mise en œuvre du projet PUSA nécessitera des interventions des </w:t>
            </w:r>
            <w:r w:rsidR="009D7E7B">
              <w:t>travailleurs de l’UCP, des travailleurs des entreprises et bureaux d’études et des travailleurs communautaires</w:t>
            </w:r>
            <w:r w:rsidRPr="00345951">
              <w:rPr>
                <w:rFonts w:eastAsiaTheme="minorHAnsi"/>
                <w:color w:val="000000"/>
                <w:sz w:val="21"/>
                <w:szCs w:val="21"/>
              </w:rPr>
              <w:t xml:space="preserve"> pour la réalisation des activités</w:t>
            </w:r>
            <w:r w:rsidR="009D7E7B">
              <w:rPr>
                <w:color w:val="000000"/>
                <w:sz w:val="21"/>
                <w:szCs w:val="21"/>
              </w:rPr>
              <w:t xml:space="preserve"> du projet surtout au niveau de la </w:t>
            </w:r>
            <w:r w:rsidR="009D7E7B" w:rsidRPr="009D7E7B">
              <w:rPr>
                <w:color w:val="000000"/>
                <w:sz w:val="21"/>
                <w:szCs w:val="21"/>
              </w:rPr>
              <w:t xml:space="preserve"> composantes 2.</w:t>
            </w:r>
          </w:p>
        </w:tc>
      </w:tr>
      <w:tr w:rsidR="00B805ED" w:rsidRPr="000D499C" w:rsidTr="008D4CD7">
        <w:trPr>
          <w:trHeight w:val="1774"/>
        </w:trPr>
        <w:tc>
          <w:tcPr>
            <w:tcW w:w="2934" w:type="dxa"/>
            <w:vAlign w:val="center"/>
          </w:tcPr>
          <w:p w:rsidR="00B805ED" w:rsidRPr="000D499C" w:rsidRDefault="00B805ED" w:rsidP="008D4CD7">
            <w:pPr>
              <w:widowControl w:val="0"/>
              <w:autoSpaceDE w:val="0"/>
              <w:autoSpaceDN w:val="0"/>
              <w:adjustRightInd w:val="0"/>
              <w:jc w:val="center"/>
              <w:rPr>
                <w:b/>
                <w:color w:val="000000"/>
                <w:sz w:val="21"/>
                <w:szCs w:val="21"/>
                <w:lang w:eastAsia="en-US"/>
              </w:rPr>
            </w:pPr>
            <w:r w:rsidRPr="000D499C">
              <w:rPr>
                <w:b/>
                <w:color w:val="000000"/>
                <w:sz w:val="21"/>
                <w:szCs w:val="21"/>
                <w:lang w:eastAsia="en-US"/>
              </w:rPr>
              <w:t>Norme environnementale et sociale n° 3 : Utilisation rationnelle des ressources et prévention et gestion de la pollution ;</w:t>
            </w:r>
          </w:p>
        </w:tc>
        <w:tc>
          <w:tcPr>
            <w:tcW w:w="4353" w:type="dxa"/>
          </w:tcPr>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Promouvoir l’utilisation durable des ressources, notamment l’énergie, l’eau et les matières premières.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Éviter ou minimiser les impacts négatifs du projet sur la santé humaine et l’environnement en évitant ou en minimisant la pollution provenant des activités du projet.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Éviter ou minimiser les émissions de polluants atmosphériques à courte et longue durée de vie liées au projet.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Éviter ou minimiser la production de déchets dangereux et non dangereux.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Réduire et gérer les risques et effets liés à l’utilisation des pesticides. </w:t>
            </w:r>
          </w:p>
        </w:tc>
        <w:tc>
          <w:tcPr>
            <w:tcW w:w="3052" w:type="dxa"/>
          </w:tcPr>
          <w:p w:rsidR="00B805ED"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rPr>
              <w:t xml:space="preserve">La mise en œuvre du projet PUSA nécessitera des interventions qui pourraient </w:t>
            </w:r>
            <w:r>
              <w:rPr>
                <w:rFonts w:ascii="Times New Roman" w:hAnsi="Times New Roman"/>
                <w:color w:val="000000"/>
                <w:sz w:val="21"/>
                <w:szCs w:val="21"/>
              </w:rPr>
              <w:t>être sources de pollution d</w:t>
            </w:r>
            <w:r w:rsidRPr="000D499C">
              <w:rPr>
                <w:rFonts w:ascii="Times New Roman" w:hAnsi="Times New Roman"/>
                <w:color w:val="000000"/>
                <w:sz w:val="21"/>
                <w:szCs w:val="21"/>
              </w:rPr>
              <w:t xml:space="preserve">es </w:t>
            </w:r>
            <w:r>
              <w:rPr>
                <w:rFonts w:ascii="Times New Roman" w:hAnsi="Times New Roman"/>
                <w:color w:val="000000"/>
                <w:sz w:val="21"/>
                <w:szCs w:val="21"/>
              </w:rPr>
              <w:t xml:space="preserve">sols et des eaux </w:t>
            </w:r>
            <w:r w:rsidRPr="000D499C">
              <w:rPr>
                <w:rFonts w:ascii="Times New Roman" w:hAnsi="Times New Roman"/>
                <w:color w:val="000000"/>
                <w:sz w:val="21"/>
                <w:szCs w:val="21"/>
              </w:rPr>
              <w:t>qui seront évaluées par des EIE</w:t>
            </w:r>
            <w:r>
              <w:rPr>
                <w:rFonts w:ascii="Times New Roman" w:hAnsi="Times New Roman"/>
                <w:color w:val="000000"/>
                <w:sz w:val="21"/>
                <w:szCs w:val="21"/>
              </w:rPr>
              <w:t>S</w:t>
            </w:r>
            <w:r w:rsidRPr="000D499C">
              <w:rPr>
                <w:rFonts w:ascii="Times New Roman" w:hAnsi="Times New Roman"/>
                <w:color w:val="000000"/>
                <w:sz w:val="21"/>
                <w:szCs w:val="21"/>
              </w:rPr>
              <w:t xml:space="preserve"> spécifiques (utilisation des pestes et pesticides</w:t>
            </w:r>
            <w:r>
              <w:rPr>
                <w:rFonts w:ascii="Times New Roman" w:hAnsi="Times New Roman"/>
                <w:color w:val="000000"/>
                <w:sz w:val="21"/>
                <w:szCs w:val="21"/>
              </w:rPr>
              <w:t xml:space="preserve">, </w:t>
            </w:r>
            <w:r>
              <w:rPr>
                <w:rFonts w:ascii="Times New Roman" w:hAnsi="Times New Roman"/>
                <w:color w:val="000000"/>
                <w:sz w:val="21"/>
                <w:szCs w:val="21"/>
                <w:lang w:eastAsia="en-US"/>
              </w:rPr>
              <w:t>etc.,)</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5A3E02">
              <w:rPr>
                <w:rFonts w:ascii="Times New Roman" w:hAnsi="Times New Roman"/>
                <w:color w:val="000000"/>
                <w:sz w:val="21"/>
                <w:szCs w:val="21"/>
              </w:rPr>
              <w:t>Certaines activités pourraient nécessiter le recours aux pesticides p</w:t>
            </w:r>
            <w:r w:rsidRPr="0084051C">
              <w:rPr>
                <w:rFonts w:ascii="Times New Roman" w:hAnsi="Times New Roman"/>
                <w:color w:val="000000"/>
                <w:sz w:val="21"/>
                <w:szCs w:val="21"/>
              </w:rPr>
              <w:t xml:space="preserve">our lutter contre les </w:t>
            </w:r>
            <w:r w:rsidRPr="00995079">
              <w:rPr>
                <w:rFonts w:ascii="Times New Roman" w:hAnsi="Times New Roman"/>
                <w:color w:val="000000"/>
                <w:sz w:val="21"/>
                <w:szCs w:val="21"/>
              </w:rPr>
              <w:t>ennemies</w:t>
            </w:r>
            <w:r w:rsidRPr="00E078F1">
              <w:rPr>
                <w:rFonts w:ascii="Times New Roman" w:hAnsi="Times New Roman"/>
                <w:color w:val="000000"/>
                <w:sz w:val="21"/>
                <w:szCs w:val="21"/>
              </w:rPr>
              <w:t xml:space="preserve"> des </w:t>
            </w:r>
            <w:r w:rsidRPr="009B08CF">
              <w:rPr>
                <w:rFonts w:ascii="Times New Roman" w:hAnsi="Times New Roman"/>
                <w:color w:val="000000"/>
                <w:sz w:val="21"/>
                <w:szCs w:val="21"/>
              </w:rPr>
              <w:t xml:space="preserve">cultures. Le présent CGES inclut une annexe sur la gestion des pestes et des pesticides, y compris un </w:t>
            </w:r>
            <w:r w:rsidRPr="005A3E02">
              <w:rPr>
                <w:rFonts w:ascii="Times New Roman" w:hAnsi="Times New Roman"/>
                <w:color w:val="000000"/>
                <w:sz w:val="21"/>
                <w:szCs w:val="21"/>
              </w:rPr>
              <w:t>Guide de bonnes pratiques et Mesures requises pour la réduction des risques liés aux pesticides</w:t>
            </w:r>
            <w:r w:rsidRPr="000D499C">
              <w:rPr>
                <w:rFonts w:ascii="Times New Roman" w:hAnsi="Times New Roman"/>
                <w:color w:val="000000"/>
                <w:sz w:val="21"/>
                <w:szCs w:val="21"/>
              </w:rPr>
              <w:t>.</w:t>
            </w:r>
          </w:p>
        </w:tc>
      </w:tr>
      <w:tr w:rsidR="00B805ED" w:rsidRPr="000D499C" w:rsidTr="008D4CD7">
        <w:tc>
          <w:tcPr>
            <w:tcW w:w="2934" w:type="dxa"/>
            <w:vAlign w:val="center"/>
          </w:tcPr>
          <w:p w:rsidR="00B805ED" w:rsidRPr="000D499C" w:rsidRDefault="00B805ED" w:rsidP="008D4CD7">
            <w:pPr>
              <w:widowControl w:val="0"/>
              <w:autoSpaceDE w:val="0"/>
              <w:autoSpaceDN w:val="0"/>
              <w:adjustRightInd w:val="0"/>
              <w:jc w:val="center"/>
              <w:rPr>
                <w:b/>
                <w:color w:val="000000"/>
                <w:sz w:val="21"/>
                <w:szCs w:val="21"/>
                <w:lang w:eastAsia="en-US"/>
              </w:rPr>
            </w:pPr>
            <w:r w:rsidRPr="000D499C">
              <w:rPr>
                <w:b/>
                <w:color w:val="000000"/>
                <w:sz w:val="21"/>
                <w:szCs w:val="21"/>
                <w:lang w:eastAsia="en-US"/>
              </w:rPr>
              <w:t>Norme environnementale et sociale n° 4 : Santé et sécurité des populations ;</w:t>
            </w:r>
          </w:p>
          <w:p w:rsidR="00B805ED" w:rsidRPr="000D499C" w:rsidRDefault="00B805ED" w:rsidP="008D4CD7">
            <w:pPr>
              <w:widowControl w:val="0"/>
              <w:autoSpaceDE w:val="0"/>
              <w:autoSpaceDN w:val="0"/>
              <w:adjustRightInd w:val="0"/>
              <w:jc w:val="center"/>
              <w:rPr>
                <w:b/>
                <w:color w:val="000000"/>
                <w:sz w:val="21"/>
                <w:szCs w:val="21"/>
                <w:lang w:eastAsia="en-US"/>
              </w:rPr>
            </w:pPr>
          </w:p>
        </w:tc>
        <w:tc>
          <w:tcPr>
            <w:tcW w:w="4353" w:type="dxa"/>
          </w:tcPr>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Anticiper ou éviter les impacts néfastes sur la santé et la sécurité des populations touchées par le projet tout au long de celui-ci, que ce soit en temps normal ou dans des circonstances exceptionnelles.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Encourager la prise en compte de considérations de qualité et de sécurité, et des questions de changement climatique dans la conception et la construction des infrastructures.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Éviter ou minimiser l’exposition de la communauté aux risques liés à la circulation dans le cadre du projet et à la sécurité routière, aux maladies et aux matières dangereuses.</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Mettre en place des mesures efficaces pour faire face aux situations d’urgence. </w:t>
            </w:r>
            <w:r w:rsidRPr="000D499C">
              <w:rPr>
                <w:rFonts w:ascii="Times New Roman" w:eastAsia="MS Mincho" w:hAnsi="Times New Roman"/>
                <w:color w:val="000000"/>
                <w:sz w:val="21"/>
                <w:szCs w:val="21"/>
                <w:lang w:eastAsia="en-US"/>
              </w:rPr>
              <w:t>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eastAsia="MS Mincho" w:hAnsi="Times New Roman"/>
                <w:color w:val="000000"/>
                <w:sz w:val="21"/>
                <w:szCs w:val="21"/>
                <w:lang w:eastAsia="en-US"/>
              </w:rPr>
            </w:pPr>
            <w:r w:rsidRPr="000D499C">
              <w:rPr>
                <w:rFonts w:ascii="Times New Roman" w:hAnsi="Times New Roman"/>
                <w:color w:val="000000"/>
                <w:sz w:val="21"/>
                <w:szCs w:val="21"/>
                <w:lang w:eastAsia="en-US"/>
              </w:rPr>
              <w:t xml:space="preserve">Veiller à ce que la protection du personnel et des biens permette d’éviter ou de minimiser les risques pour les communautés touchées par le projet. </w:t>
            </w:r>
          </w:p>
        </w:tc>
        <w:tc>
          <w:tcPr>
            <w:tcW w:w="3052" w:type="dxa"/>
          </w:tcPr>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rPr>
              <w:t>La mise en œuvre du projet PUSA nécessitera des interventions des ouvriers pour la réalisation des activités dans la composante 2 ;</w:t>
            </w:r>
            <w:r w:rsidR="00BD1EE4">
              <w:rPr>
                <w:rFonts w:ascii="Times New Roman" w:hAnsi="Times New Roman"/>
                <w:color w:val="000000"/>
                <w:sz w:val="21"/>
                <w:szCs w:val="21"/>
              </w:rPr>
              <w:t xml:space="preserve"> Ainsi, ces </w:t>
            </w:r>
            <w:r w:rsidR="00C343EE">
              <w:rPr>
                <w:rFonts w:ascii="Times New Roman" w:hAnsi="Times New Roman"/>
                <w:color w:val="000000"/>
                <w:sz w:val="21"/>
                <w:szCs w:val="21"/>
              </w:rPr>
              <w:t>travaux pourraient</w:t>
            </w:r>
            <w:r w:rsidR="00BD1EE4">
              <w:rPr>
                <w:rFonts w:ascii="Times New Roman" w:hAnsi="Times New Roman"/>
                <w:color w:val="000000"/>
                <w:sz w:val="21"/>
                <w:szCs w:val="21"/>
              </w:rPr>
              <w:t xml:space="preserve"> engendre</w:t>
            </w:r>
            <w:r w:rsidR="00C343EE">
              <w:rPr>
                <w:rFonts w:ascii="Times New Roman" w:hAnsi="Times New Roman"/>
                <w:color w:val="000000"/>
                <w:sz w:val="21"/>
                <w:szCs w:val="21"/>
              </w:rPr>
              <w:t>r</w:t>
            </w:r>
            <w:r w:rsidR="00BD1EE4">
              <w:rPr>
                <w:rFonts w:ascii="Times New Roman" w:hAnsi="Times New Roman"/>
                <w:color w:val="000000"/>
                <w:sz w:val="21"/>
                <w:szCs w:val="21"/>
              </w:rPr>
              <w:t xml:space="preserve"> des risques d’accident professionnel</w:t>
            </w:r>
            <w:r w:rsidR="00C343EE">
              <w:rPr>
                <w:rFonts w:ascii="Times New Roman" w:hAnsi="Times New Roman"/>
                <w:color w:val="000000"/>
                <w:sz w:val="21"/>
                <w:szCs w:val="21"/>
              </w:rPr>
              <w:t xml:space="preserve"> due au chute de matériaux, d’accident de circulation, d’accident due à l’utilisation des engins, etc..</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rPr>
              <w:t>Des positions sanitaires</w:t>
            </w:r>
            <w:r>
              <w:rPr>
                <w:rFonts w:ascii="Times New Roman" w:hAnsi="Times New Roman"/>
                <w:color w:val="000000"/>
                <w:sz w:val="21"/>
                <w:szCs w:val="21"/>
              </w:rPr>
              <w:t xml:space="preserve"> et sécurité au travail</w:t>
            </w:r>
            <w:r w:rsidRPr="000D499C">
              <w:rPr>
                <w:rFonts w:ascii="Times New Roman" w:hAnsi="Times New Roman"/>
                <w:color w:val="000000"/>
                <w:sz w:val="21"/>
                <w:szCs w:val="21"/>
              </w:rPr>
              <w:t xml:space="preserve"> devront être mise en œuvre au niveau des bases de chantier, des bases vies ou dans les zones d’intervention du projet pour éviter des accidents ou des propagations des maladies ;</w:t>
            </w:r>
          </w:p>
        </w:tc>
      </w:tr>
      <w:tr w:rsidR="00B805ED" w:rsidRPr="000D499C" w:rsidTr="008D4CD7">
        <w:tc>
          <w:tcPr>
            <w:tcW w:w="2934" w:type="dxa"/>
            <w:vAlign w:val="center"/>
          </w:tcPr>
          <w:p w:rsidR="00B805ED" w:rsidRPr="000D499C" w:rsidRDefault="00B805ED" w:rsidP="008D4CD7">
            <w:pPr>
              <w:widowControl w:val="0"/>
              <w:autoSpaceDE w:val="0"/>
              <w:autoSpaceDN w:val="0"/>
              <w:adjustRightInd w:val="0"/>
              <w:jc w:val="center"/>
              <w:rPr>
                <w:b/>
                <w:color w:val="000000"/>
                <w:sz w:val="21"/>
                <w:szCs w:val="21"/>
                <w:lang w:eastAsia="en-US"/>
              </w:rPr>
            </w:pPr>
            <w:r w:rsidRPr="000D499C">
              <w:rPr>
                <w:b/>
                <w:color w:val="000000"/>
                <w:sz w:val="21"/>
                <w:szCs w:val="21"/>
                <w:lang w:eastAsia="en-US"/>
              </w:rPr>
              <w:t>Norme environnementale et sociale n° 5 : Acquisition de terres, restrictions à l’utilisation de terres et réinstallation involontaire ;</w:t>
            </w:r>
          </w:p>
          <w:p w:rsidR="00B805ED" w:rsidRPr="000D499C" w:rsidRDefault="00B805ED" w:rsidP="008D4CD7">
            <w:pPr>
              <w:widowControl w:val="0"/>
              <w:autoSpaceDE w:val="0"/>
              <w:autoSpaceDN w:val="0"/>
              <w:adjustRightInd w:val="0"/>
              <w:jc w:val="center"/>
              <w:rPr>
                <w:b/>
                <w:color w:val="000000"/>
                <w:sz w:val="21"/>
                <w:szCs w:val="21"/>
                <w:lang w:eastAsia="en-US"/>
              </w:rPr>
            </w:pPr>
          </w:p>
        </w:tc>
        <w:tc>
          <w:tcPr>
            <w:tcW w:w="4353" w:type="dxa"/>
          </w:tcPr>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Éviter la réinstallation involontaire ou, lorsqu’elle est inévitable, la minimiser en envisageant des solutions de rechange lors de la conception du projet.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Éviter l’expulsion forcée.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Atténuer les effets sociaux et économiques néfastes de l’acquisition de terres ou des restrictions à l’utilisation qui en est faite, grâce aux mesures ci-après : a) assurer une indemnisation rapide au coût de remplacement des personnes spoliées de leurs biens et b) aider les personnes déplacées à améliorer, ou au moins rétablir en termes réels, leurs moyens de subsistance et leur niveau de vie d’avant leur déplacement ou celui d’avant le démarrage de la mise en œuvre du projet, l’option la plus avantageuse étant à retenir .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Améliorer les conditions de vie des personnes pauvres ou vulnérables qui sont déplacées physiquement en leur garantissant un logement adéquat, l’accès aux services et aux équipements, et le maintien dans les lieux.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Concevoir et mettre en œuvre les activités de la réinstallation involontaire comme un programme de développement durable, en fournissant suffisamment de ressources d’investissement pour permettre aux personnes déplacées de tirer directement parti du projet, selon la nature de celui-ci. </w:t>
            </w:r>
          </w:p>
          <w:p w:rsidR="00CD3B88" w:rsidRPr="00345951" w:rsidRDefault="00B805ED" w:rsidP="00CD3B88">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Veiller à ce que l’information soit bien disséminée, que de réelles consultations aient lieu, et que les personnes touchées participent de manière éclairée à la planification et la mise en œuvre des activités de réinstallation. </w:t>
            </w:r>
          </w:p>
        </w:tc>
        <w:tc>
          <w:tcPr>
            <w:tcW w:w="3052" w:type="dxa"/>
          </w:tcPr>
          <w:p w:rsidR="00CD3B88" w:rsidRDefault="00CD3B88"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Pr>
                <w:rFonts w:ascii="Times New Roman" w:hAnsi="Times New Roman"/>
                <w:color w:val="000000"/>
                <w:sz w:val="21"/>
                <w:szCs w:val="21"/>
                <w:lang w:eastAsia="en-US"/>
              </w:rPr>
              <w:t xml:space="preserve">Le projet PUSA a exclu la compensation d’indemnisation au profit de la donation volontaire. </w:t>
            </w:r>
          </w:p>
          <w:p w:rsidR="00B805ED" w:rsidRPr="000D499C" w:rsidRDefault="00CD3B88" w:rsidP="00F459F0">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Pr>
                <w:rFonts w:ascii="Times New Roman" w:hAnsi="Times New Roman"/>
                <w:color w:val="000000"/>
                <w:sz w:val="21"/>
                <w:szCs w:val="21"/>
                <w:lang w:eastAsia="en-US"/>
              </w:rPr>
              <w:t xml:space="preserve">Mais vue la situation du pays dans certain endroit du pays, pour la réalisation des activités de la composante </w:t>
            </w:r>
            <w:r w:rsidR="00F459F0">
              <w:rPr>
                <w:rFonts w:ascii="Times New Roman" w:hAnsi="Times New Roman"/>
                <w:color w:val="000000"/>
                <w:sz w:val="21"/>
                <w:szCs w:val="21"/>
                <w:lang w:eastAsia="en-US"/>
              </w:rPr>
              <w:t xml:space="preserve">2, </w:t>
            </w:r>
            <w:r w:rsidR="00B805ED" w:rsidRPr="000D499C">
              <w:rPr>
                <w:rFonts w:ascii="Times New Roman" w:hAnsi="Times New Roman"/>
                <w:color w:val="000000"/>
                <w:sz w:val="21"/>
                <w:szCs w:val="21"/>
                <w:lang w:eastAsia="en-US"/>
              </w:rPr>
              <w:t>Si des acquisitions de terre ou restriction à l’utilisation de terre se déroulera</w:t>
            </w:r>
            <w:r w:rsidR="00F459F0">
              <w:rPr>
                <w:rFonts w:ascii="Times New Roman" w:hAnsi="Times New Roman"/>
                <w:color w:val="000000"/>
                <w:sz w:val="21"/>
                <w:szCs w:val="21"/>
                <w:lang w:eastAsia="en-US"/>
              </w:rPr>
              <w:t xml:space="preserve"> sans donation volontaire</w:t>
            </w:r>
            <w:r w:rsidR="00B805ED" w:rsidRPr="000D499C">
              <w:rPr>
                <w:rFonts w:ascii="Times New Roman" w:hAnsi="Times New Roman"/>
                <w:color w:val="000000"/>
                <w:sz w:val="21"/>
                <w:szCs w:val="21"/>
                <w:lang w:eastAsia="en-US"/>
              </w:rPr>
              <w:t>, des dispositions règlementaires et des mesures de compensation et d’indemnisation devront être établi ;</w:t>
            </w:r>
          </w:p>
        </w:tc>
      </w:tr>
      <w:tr w:rsidR="00B805ED" w:rsidRPr="000D499C" w:rsidTr="008D4CD7">
        <w:tc>
          <w:tcPr>
            <w:tcW w:w="2934" w:type="dxa"/>
            <w:vAlign w:val="center"/>
          </w:tcPr>
          <w:p w:rsidR="00B805ED" w:rsidRPr="000D499C" w:rsidRDefault="00B805ED" w:rsidP="008D4CD7">
            <w:pPr>
              <w:widowControl w:val="0"/>
              <w:autoSpaceDE w:val="0"/>
              <w:autoSpaceDN w:val="0"/>
              <w:adjustRightInd w:val="0"/>
              <w:jc w:val="center"/>
              <w:rPr>
                <w:b/>
                <w:color w:val="000000"/>
                <w:sz w:val="21"/>
                <w:szCs w:val="21"/>
                <w:lang w:eastAsia="en-US"/>
              </w:rPr>
            </w:pPr>
            <w:r w:rsidRPr="000D499C">
              <w:rPr>
                <w:b/>
                <w:color w:val="000000"/>
                <w:sz w:val="21"/>
                <w:szCs w:val="21"/>
                <w:lang w:eastAsia="en-US"/>
              </w:rPr>
              <w:t xml:space="preserve">Norme environnementale et sociale n° 6 : Préservation de la biodiversité et gestion durable des ressources naturelles biologiques </w:t>
            </w:r>
          </w:p>
        </w:tc>
        <w:tc>
          <w:tcPr>
            <w:tcW w:w="4353" w:type="dxa"/>
          </w:tcPr>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Protéger et préserver la biodiversité et les habitats.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Appliquer l’approche de la hiérarchie d’atténuation et le principe de précaution dans la conception et la mise en œuvre de projets susceptibles d’avoir un impact sur la biodiversité.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Promouvoir la gestion durable des ressources naturelles biologiques.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Développer les moyens de subsistance des communautés locales, notamment des peuples autochtones, et assurer un développement économique solidaire par l’adoption de pratiques qui intègrent les besoins de conservation et les priorités en matière de développement. </w:t>
            </w:r>
          </w:p>
        </w:tc>
        <w:tc>
          <w:tcPr>
            <w:tcW w:w="3052" w:type="dxa"/>
          </w:tcPr>
          <w:p w:rsidR="00B805ED" w:rsidRPr="00345951" w:rsidRDefault="00F459F0" w:rsidP="00345951">
            <w:pPr>
              <w:pStyle w:val="PargrafodaLista"/>
              <w:widowControl w:val="0"/>
              <w:numPr>
                <w:ilvl w:val="0"/>
                <w:numId w:val="44"/>
              </w:numPr>
              <w:autoSpaceDE w:val="0"/>
              <w:autoSpaceDN w:val="0"/>
              <w:adjustRightInd w:val="0"/>
              <w:spacing w:after="0" w:line="240" w:lineRule="auto"/>
              <w:ind w:left="66" w:hanging="142"/>
              <w:jc w:val="both"/>
              <w:rPr>
                <w:color w:val="000000"/>
                <w:sz w:val="21"/>
                <w:szCs w:val="21"/>
                <w:lang w:eastAsia="en-US"/>
              </w:rPr>
            </w:pPr>
            <w:r>
              <w:rPr>
                <w:rFonts w:ascii="Times New Roman" w:hAnsi="Times New Roman"/>
                <w:color w:val="000000"/>
                <w:sz w:val="21"/>
                <w:szCs w:val="21"/>
              </w:rPr>
              <w:t xml:space="preserve">Le déroulement des activités du projet </w:t>
            </w:r>
            <w:r w:rsidR="004711FB">
              <w:rPr>
                <w:rFonts w:ascii="Times New Roman" w:hAnsi="Times New Roman"/>
                <w:color w:val="000000"/>
                <w:sz w:val="21"/>
                <w:szCs w:val="21"/>
              </w:rPr>
              <w:t>sur</w:t>
            </w:r>
            <w:r>
              <w:rPr>
                <w:rFonts w:ascii="Times New Roman" w:hAnsi="Times New Roman"/>
                <w:color w:val="000000"/>
                <w:sz w:val="21"/>
                <w:szCs w:val="21"/>
              </w:rPr>
              <w:t xml:space="preserve">tout au niveau de la composante 2 avec l’extension des terres </w:t>
            </w:r>
            <w:r w:rsidR="004711FB">
              <w:rPr>
                <w:rFonts w:ascii="Times New Roman" w:hAnsi="Times New Roman"/>
                <w:color w:val="000000"/>
                <w:sz w:val="21"/>
                <w:szCs w:val="21"/>
              </w:rPr>
              <w:t xml:space="preserve">de </w:t>
            </w:r>
            <w:r>
              <w:rPr>
                <w:rFonts w:ascii="Times New Roman" w:hAnsi="Times New Roman"/>
                <w:color w:val="000000"/>
                <w:sz w:val="21"/>
                <w:szCs w:val="21"/>
              </w:rPr>
              <w:t xml:space="preserve">culture, les </w:t>
            </w:r>
            <w:r w:rsidR="004711FB">
              <w:rPr>
                <w:rFonts w:ascii="Times New Roman" w:hAnsi="Times New Roman"/>
                <w:color w:val="000000"/>
                <w:sz w:val="21"/>
                <w:szCs w:val="21"/>
              </w:rPr>
              <w:t>réhabilitations</w:t>
            </w:r>
            <w:r>
              <w:rPr>
                <w:rFonts w:ascii="Times New Roman" w:hAnsi="Times New Roman"/>
                <w:color w:val="000000"/>
                <w:sz w:val="21"/>
                <w:szCs w:val="21"/>
              </w:rPr>
              <w:t xml:space="preserve"> des pistes d’accès,</w:t>
            </w:r>
            <w:r w:rsidR="00C069FE">
              <w:rPr>
                <w:rFonts w:ascii="Times New Roman" w:hAnsi="Times New Roman"/>
                <w:color w:val="000000"/>
                <w:sz w:val="21"/>
                <w:szCs w:val="21"/>
              </w:rPr>
              <w:t xml:space="preserve"> pourraient</w:t>
            </w:r>
            <w:r w:rsidR="004711FB">
              <w:rPr>
                <w:rFonts w:ascii="Times New Roman" w:hAnsi="Times New Roman"/>
                <w:color w:val="000000"/>
                <w:sz w:val="21"/>
                <w:szCs w:val="21"/>
              </w:rPr>
              <w:t xml:space="preserve"> induire à</w:t>
            </w:r>
            <w:r>
              <w:rPr>
                <w:rFonts w:ascii="Times New Roman" w:hAnsi="Times New Roman"/>
                <w:color w:val="000000"/>
                <w:sz w:val="21"/>
                <w:szCs w:val="21"/>
              </w:rPr>
              <w:t xml:space="preserve"> des risques sur </w:t>
            </w:r>
            <w:r w:rsidR="004711FB">
              <w:rPr>
                <w:rFonts w:ascii="Times New Roman" w:hAnsi="Times New Roman"/>
                <w:color w:val="000000"/>
                <w:sz w:val="21"/>
                <w:szCs w:val="21"/>
              </w:rPr>
              <w:t xml:space="preserve">la </w:t>
            </w:r>
            <w:r>
              <w:rPr>
                <w:rFonts w:ascii="Times New Roman" w:hAnsi="Times New Roman"/>
                <w:color w:val="000000"/>
                <w:sz w:val="21"/>
                <w:szCs w:val="21"/>
              </w:rPr>
              <w:t xml:space="preserve">biodiversité </w:t>
            </w:r>
            <w:r w:rsidR="004711FB">
              <w:rPr>
                <w:rFonts w:ascii="Times New Roman" w:hAnsi="Times New Roman"/>
                <w:color w:val="000000"/>
                <w:sz w:val="21"/>
                <w:szCs w:val="21"/>
              </w:rPr>
              <w:t xml:space="preserve">dans les zones d’intervention. </w:t>
            </w:r>
          </w:p>
        </w:tc>
      </w:tr>
      <w:tr w:rsidR="00024F6F" w:rsidRPr="000D499C" w:rsidTr="008D4CD7">
        <w:tc>
          <w:tcPr>
            <w:tcW w:w="2934" w:type="dxa"/>
            <w:vAlign w:val="center"/>
          </w:tcPr>
          <w:p w:rsidR="00024F6F" w:rsidRPr="000D499C" w:rsidRDefault="005D666E" w:rsidP="008D4CD7">
            <w:pPr>
              <w:widowControl w:val="0"/>
              <w:autoSpaceDE w:val="0"/>
              <w:autoSpaceDN w:val="0"/>
              <w:adjustRightInd w:val="0"/>
              <w:jc w:val="center"/>
              <w:rPr>
                <w:b/>
                <w:color w:val="000000"/>
                <w:sz w:val="21"/>
                <w:szCs w:val="21"/>
                <w:lang w:eastAsia="en-US"/>
              </w:rPr>
            </w:pPr>
            <w:r w:rsidRPr="000D499C">
              <w:rPr>
                <w:b/>
                <w:color w:val="000000"/>
                <w:sz w:val="21"/>
                <w:szCs w:val="21"/>
                <w:lang w:eastAsia="en-US"/>
              </w:rPr>
              <w:t xml:space="preserve">Norme </w:t>
            </w:r>
            <w:r>
              <w:rPr>
                <w:b/>
                <w:color w:val="000000"/>
                <w:sz w:val="21"/>
                <w:szCs w:val="21"/>
                <w:lang w:eastAsia="en-US"/>
              </w:rPr>
              <w:t>environnementale et sociale n° 8</w:t>
            </w:r>
            <w:r w:rsidRPr="000D499C">
              <w:rPr>
                <w:b/>
                <w:color w:val="000000"/>
                <w:sz w:val="21"/>
                <w:szCs w:val="21"/>
                <w:lang w:eastAsia="en-US"/>
              </w:rPr>
              <w:t xml:space="preserve"> : </w:t>
            </w:r>
            <w:r w:rsidRPr="005D666E">
              <w:rPr>
                <w:b/>
                <w:color w:val="000000"/>
                <w:sz w:val="21"/>
                <w:szCs w:val="21"/>
                <w:lang w:eastAsia="en-US"/>
              </w:rPr>
              <w:t>Patrimoine culturel</w:t>
            </w:r>
          </w:p>
        </w:tc>
        <w:tc>
          <w:tcPr>
            <w:tcW w:w="4353" w:type="dxa"/>
          </w:tcPr>
          <w:p w:rsidR="005D666E" w:rsidRDefault="005D666E"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5D666E">
              <w:rPr>
                <w:rFonts w:ascii="Times New Roman" w:hAnsi="Times New Roman"/>
                <w:color w:val="000000"/>
                <w:sz w:val="21"/>
                <w:szCs w:val="21"/>
                <w:lang w:eastAsia="en-US"/>
              </w:rPr>
              <w:t xml:space="preserve"> Protéger le patrimoine culturel des impacts négatifs des activités du projet et en soutenir la préservation. • Considérer le patrimoine culturel comme un aspect à part enti</w:t>
            </w:r>
            <w:r>
              <w:rPr>
                <w:rFonts w:ascii="Times New Roman" w:hAnsi="Times New Roman"/>
                <w:color w:val="000000"/>
                <w:sz w:val="21"/>
                <w:szCs w:val="21"/>
                <w:lang w:eastAsia="en-US"/>
              </w:rPr>
              <w:t xml:space="preserve">ère du développement durable. </w:t>
            </w:r>
          </w:p>
          <w:p w:rsidR="005D666E" w:rsidRDefault="005D666E"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5D666E">
              <w:rPr>
                <w:rFonts w:ascii="Times New Roman" w:hAnsi="Times New Roman"/>
                <w:color w:val="000000"/>
                <w:sz w:val="21"/>
                <w:szCs w:val="21"/>
                <w:lang w:eastAsia="en-US"/>
              </w:rPr>
              <w:t xml:space="preserve">Encourager l’organisation de consultations approfondies avec les parties prenantes au </w:t>
            </w:r>
            <w:r>
              <w:rPr>
                <w:rFonts w:ascii="Times New Roman" w:hAnsi="Times New Roman"/>
                <w:color w:val="000000"/>
                <w:sz w:val="21"/>
                <w:szCs w:val="21"/>
                <w:lang w:eastAsia="en-US"/>
              </w:rPr>
              <w:t>sujet du patrimoine culturel</w:t>
            </w:r>
          </w:p>
          <w:p w:rsidR="00024F6F" w:rsidRPr="000D499C" w:rsidRDefault="005D666E"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5D666E">
              <w:rPr>
                <w:rFonts w:ascii="Times New Roman" w:hAnsi="Times New Roman"/>
                <w:color w:val="000000"/>
                <w:sz w:val="21"/>
                <w:szCs w:val="21"/>
                <w:lang w:eastAsia="en-US"/>
              </w:rPr>
              <w:t>Promouvoir le partage équitable des avantages découlant de l’utilisation du patrimoine culturel.</w:t>
            </w:r>
          </w:p>
        </w:tc>
        <w:tc>
          <w:tcPr>
            <w:tcW w:w="3052" w:type="dxa"/>
          </w:tcPr>
          <w:p w:rsidR="00024F6F" w:rsidRDefault="005D666E" w:rsidP="00C069FE">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345951">
              <w:rPr>
                <w:rFonts w:ascii="Times New Roman" w:hAnsi="Times New Roman"/>
                <w:color w:val="000000"/>
                <w:sz w:val="21"/>
                <w:szCs w:val="21"/>
                <w:lang w:eastAsia="en-US"/>
              </w:rPr>
              <w:t>S’il existe, aux niveau des sites des patrimoines</w:t>
            </w:r>
            <w:r>
              <w:rPr>
                <w:rFonts w:ascii="Times New Roman" w:hAnsi="Times New Roman"/>
                <w:color w:val="000000"/>
                <w:sz w:val="21"/>
                <w:szCs w:val="21"/>
                <w:lang w:eastAsia="en-US"/>
              </w:rPr>
              <w:t xml:space="preserve"> culturel</w:t>
            </w:r>
            <w:r w:rsidRPr="00345951">
              <w:rPr>
                <w:rFonts w:ascii="Times New Roman" w:hAnsi="Times New Roman"/>
                <w:color w:val="000000"/>
                <w:sz w:val="21"/>
                <w:szCs w:val="21"/>
                <w:lang w:eastAsia="en-US"/>
              </w:rPr>
              <w:t>, avec ouvertures des routes d’accès ou des emplacements des infrastructures prévus, des risques de destruction ou de dégradation pourrait être noter si des dispositions ne seront pas mise en œuvre</w:t>
            </w:r>
          </w:p>
        </w:tc>
      </w:tr>
      <w:tr w:rsidR="00B805ED" w:rsidRPr="000D499C" w:rsidTr="008D4CD7">
        <w:tc>
          <w:tcPr>
            <w:tcW w:w="2934" w:type="dxa"/>
            <w:vAlign w:val="center"/>
          </w:tcPr>
          <w:p w:rsidR="00B805ED" w:rsidRPr="000D499C" w:rsidRDefault="00B805ED" w:rsidP="008D4CD7">
            <w:pPr>
              <w:widowControl w:val="0"/>
              <w:autoSpaceDE w:val="0"/>
              <w:autoSpaceDN w:val="0"/>
              <w:adjustRightInd w:val="0"/>
              <w:jc w:val="center"/>
              <w:rPr>
                <w:b/>
                <w:color w:val="000000"/>
                <w:sz w:val="21"/>
                <w:szCs w:val="21"/>
                <w:lang w:eastAsia="en-US"/>
              </w:rPr>
            </w:pPr>
            <w:r w:rsidRPr="000D499C">
              <w:rPr>
                <w:b/>
                <w:color w:val="000000"/>
                <w:sz w:val="21"/>
                <w:szCs w:val="21"/>
                <w:lang w:eastAsia="en-US"/>
              </w:rPr>
              <w:t>Norme environnementale et sociale n°10 : Mobilisation des parties prenantes et information.</w:t>
            </w:r>
          </w:p>
          <w:p w:rsidR="00B805ED" w:rsidRPr="000D499C" w:rsidRDefault="00B805ED" w:rsidP="008D4CD7">
            <w:pPr>
              <w:widowControl w:val="0"/>
              <w:autoSpaceDE w:val="0"/>
              <w:autoSpaceDN w:val="0"/>
              <w:adjustRightInd w:val="0"/>
              <w:jc w:val="center"/>
              <w:rPr>
                <w:b/>
                <w:color w:val="000000"/>
                <w:sz w:val="21"/>
                <w:szCs w:val="21"/>
                <w:lang w:eastAsia="en-US"/>
              </w:rPr>
            </w:pPr>
          </w:p>
        </w:tc>
        <w:tc>
          <w:tcPr>
            <w:tcW w:w="4353" w:type="dxa"/>
          </w:tcPr>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Établir une approche systématique de mobilisation des parties prenantes qui permettra aux Emprunteurs de bien identifier ces dernières et de nouer et maintenir avec elles, en particulier les parties touchées par le projet, une relation constructive.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Évaluer le niveau d’intérêt et d’adhésion des parties prenantes et permettre que leurs opinions soient prises en compte dans la conception du projet et sa performance environnementale et sociale.</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Encourager la mobilisation effective de toutes les parties touchées par le projet pendant toute sa durée de vie sur les questions qui pourraient éventuellement avoir une incidence sur elles et fournir les moyens d’y parvenir.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S’assurer que les parties prenantes reçoivent en temps voulu et de manière compréhensible, accessible et appropriée l’information relative aux risques et effets environnementaux et sociaux du projet. </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Doter les parties touchées par le projet de moyens permettant aisément à toutes d’évoquer leurs préoccupations et de porter plainte, et aux Emprunteurs d’y répondre et de les gérer. </w:t>
            </w:r>
          </w:p>
        </w:tc>
        <w:tc>
          <w:tcPr>
            <w:tcW w:w="3052" w:type="dxa"/>
          </w:tcPr>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Implication des tous les acteurs au tour du projet PUSA est très important pour la bonne mise en œuvre des activités.</w:t>
            </w:r>
          </w:p>
          <w:p w:rsidR="00B805ED" w:rsidRPr="000D499C"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1"/>
                <w:szCs w:val="21"/>
                <w:lang w:eastAsia="en-US"/>
              </w:rPr>
            </w:pPr>
            <w:r w:rsidRPr="000D499C">
              <w:rPr>
                <w:rFonts w:ascii="Times New Roman" w:hAnsi="Times New Roman"/>
                <w:color w:val="000000"/>
                <w:sz w:val="21"/>
                <w:szCs w:val="21"/>
                <w:lang w:eastAsia="en-US"/>
              </w:rPr>
              <w:t xml:space="preserve">C’est ainsi, un plan de mobilisation des prenantes et la consultation des autorités ; services techniques et de la population concernée pour reçoivent en temps et de manière compréhensible, accessible et appropriée l’information relative aux risques et effets environnementaux et sociaux du projet. Enfin de recueillir leur position par au projet. </w:t>
            </w:r>
          </w:p>
          <w:p w:rsidR="00B805ED" w:rsidRPr="000D499C" w:rsidRDefault="00B805ED" w:rsidP="008D4CD7">
            <w:pPr>
              <w:pStyle w:val="PargrafodaLista"/>
              <w:widowControl w:val="0"/>
              <w:autoSpaceDE w:val="0"/>
              <w:autoSpaceDN w:val="0"/>
              <w:adjustRightInd w:val="0"/>
              <w:spacing w:after="0" w:line="240" w:lineRule="auto"/>
              <w:ind w:left="66"/>
              <w:jc w:val="both"/>
              <w:rPr>
                <w:rFonts w:ascii="Times New Roman" w:hAnsi="Times New Roman"/>
                <w:color w:val="000000"/>
                <w:sz w:val="21"/>
                <w:szCs w:val="21"/>
                <w:lang w:eastAsia="en-US"/>
              </w:rPr>
            </w:pPr>
          </w:p>
        </w:tc>
      </w:tr>
    </w:tbl>
    <w:p w:rsidR="00B805ED" w:rsidRDefault="00B805ED" w:rsidP="00B805ED"/>
    <w:p w:rsidR="007B79DF" w:rsidRDefault="00BB7875" w:rsidP="007B79DF">
      <w:pPr>
        <w:pStyle w:val="PargrafodaLista"/>
        <w:keepNext/>
        <w:spacing w:before="240" w:after="240"/>
        <w:ind w:left="450" w:right="284" w:hanging="450"/>
        <w:jc w:val="both"/>
        <w:outlineLvl w:val="1"/>
        <w:rPr>
          <w:rFonts w:ascii="Times New Roman" w:hAnsi="Times New Roman"/>
          <w:b/>
          <w:sz w:val="24"/>
          <w:szCs w:val="24"/>
        </w:rPr>
      </w:pPr>
      <w:bookmarkStart w:id="133" w:name="_Toc51084422"/>
      <w:bookmarkStart w:id="134" w:name="_Toc73459731"/>
      <w:r>
        <w:rPr>
          <w:rFonts w:ascii="Times New Roman" w:hAnsi="Times New Roman"/>
          <w:b/>
          <w:sz w:val="24"/>
          <w:szCs w:val="24"/>
        </w:rPr>
        <w:t>3</w:t>
      </w:r>
      <w:r w:rsidR="007B79DF">
        <w:rPr>
          <w:rFonts w:ascii="Times New Roman" w:hAnsi="Times New Roman"/>
          <w:b/>
          <w:sz w:val="24"/>
          <w:szCs w:val="24"/>
        </w:rPr>
        <w:t>.5</w:t>
      </w:r>
      <w:r w:rsidR="007B79DF" w:rsidRPr="00206F59">
        <w:rPr>
          <w:rFonts w:ascii="Times New Roman" w:hAnsi="Times New Roman"/>
          <w:b/>
          <w:sz w:val="24"/>
          <w:szCs w:val="24"/>
        </w:rPr>
        <w:t xml:space="preserve">. </w:t>
      </w:r>
      <w:r w:rsidR="007B79DF" w:rsidRPr="00852F67">
        <w:rPr>
          <w:rFonts w:ascii="Times New Roman" w:hAnsi="Times New Roman"/>
          <w:b/>
          <w:sz w:val="24"/>
          <w:szCs w:val="24"/>
        </w:rPr>
        <w:t>LES DIRECTIVES ENVIRONNEMENTALES, SANITAIRES ET SECURITAIRES (EHS) GENERALES ET SPECIFIQUES DE LA BANQUE MONDIALE</w:t>
      </w:r>
      <w:bookmarkEnd w:id="133"/>
      <w:bookmarkEnd w:id="134"/>
    </w:p>
    <w:p w:rsidR="007B79DF" w:rsidRPr="00FA0380" w:rsidRDefault="007B79DF" w:rsidP="007B79DF">
      <w:pPr>
        <w:pStyle w:val="PargrafodaLista"/>
        <w:keepNext/>
        <w:spacing w:before="240" w:after="240"/>
        <w:ind w:left="450" w:right="284" w:hanging="450"/>
        <w:jc w:val="both"/>
        <w:rPr>
          <w:rFonts w:ascii="Times New Roman" w:hAnsi="Times New Roman"/>
          <w:b/>
          <w:sz w:val="24"/>
          <w:szCs w:val="24"/>
        </w:rPr>
      </w:pPr>
    </w:p>
    <w:p w:rsidR="007B79DF" w:rsidRPr="006B2E9E" w:rsidRDefault="007B79DF" w:rsidP="007B79DF">
      <w:pPr>
        <w:pStyle w:val="PargrafodaLista"/>
        <w:numPr>
          <w:ilvl w:val="0"/>
          <w:numId w:val="183"/>
        </w:numPr>
        <w:spacing w:after="0"/>
        <w:jc w:val="both"/>
        <w:rPr>
          <w:rFonts w:ascii="Times New Roman" w:hAnsi="Times New Roman"/>
          <w:b/>
          <w:sz w:val="24"/>
          <w:szCs w:val="24"/>
        </w:rPr>
      </w:pPr>
      <w:r w:rsidRPr="006B2E9E">
        <w:rPr>
          <w:rFonts w:ascii="Times New Roman" w:hAnsi="Times New Roman"/>
          <w:b/>
          <w:sz w:val="24"/>
          <w:szCs w:val="24"/>
        </w:rPr>
        <w:t xml:space="preserve">Qualité́ de l’air ambiant </w:t>
      </w:r>
    </w:p>
    <w:p w:rsidR="007B79DF" w:rsidRPr="00A1510A" w:rsidRDefault="007B79DF" w:rsidP="007B79DF">
      <w:pPr>
        <w:jc w:val="both"/>
      </w:pPr>
      <w:r w:rsidRPr="00A1510A">
        <w:t>Les projets ayant des sources notables d’émissions</w:t>
      </w:r>
      <w:r>
        <w:t xml:space="preserve"> atmosphériques</w:t>
      </w:r>
      <w:r w:rsidRPr="00A1510A">
        <w:t xml:space="preserve"> et pouvant avoir des impacts notables sur la qualité́ de l’air ambiant, doivent prévenir ou réduire au minimum ces impacts en veillant à ce que : </w:t>
      </w:r>
    </w:p>
    <w:p w:rsidR="007B79DF" w:rsidRPr="00042DF4" w:rsidRDefault="007B79DF" w:rsidP="007B79DF">
      <w:pPr>
        <w:numPr>
          <w:ilvl w:val="0"/>
          <w:numId w:val="182"/>
        </w:numPr>
        <w:spacing w:line="259" w:lineRule="auto"/>
        <w:jc w:val="both"/>
      </w:pPr>
      <w:r w:rsidRPr="00042DF4">
        <w:t>Les émissions ne génèrent pas des concentrations de polluants qui atteignent ou dépassent les valeurs recommandées et les normes pour la qualité́ de l’air ambiant requises par la législation nationale en vigueur. En l’absence d’une telle législation, les Directives de l’OMS concernant la qualité́ de l’air (voir Tableau</w:t>
      </w:r>
      <w:r>
        <w:t xml:space="preserve"> 11</w:t>
      </w:r>
      <w:r w:rsidRPr="00042DF4">
        <w:t xml:space="preserve">) ou autres sources internationales s’appliquent. </w:t>
      </w:r>
    </w:p>
    <w:p w:rsidR="007B79DF" w:rsidRDefault="007B79DF" w:rsidP="007B79DF">
      <w:pPr>
        <w:numPr>
          <w:ilvl w:val="0"/>
          <w:numId w:val="182"/>
        </w:numPr>
        <w:spacing w:line="259" w:lineRule="auto"/>
        <w:jc w:val="both"/>
      </w:pPr>
      <w:r w:rsidRPr="00042DF4">
        <w:t xml:space="preserve">Les émissions ne contribuent pas de manière significative à l’atteinte des seuils indiques par les directives ou normes pour la qualité́ de l’air ambiant. En règle générale, la présente Directive préconise de retenir un niveau représentant 25 % des normes applicables pour permettre la poursuite d’un développement durable dans un même bassin atmosphérique. </w:t>
      </w:r>
    </w:p>
    <w:p w:rsidR="007B79DF" w:rsidRPr="0057150A" w:rsidRDefault="007B79DF" w:rsidP="00345951">
      <w:pPr>
        <w:jc w:val="both"/>
      </w:pPr>
    </w:p>
    <w:p w:rsidR="007B79DF" w:rsidRPr="006B2E9E" w:rsidRDefault="007B79DF" w:rsidP="007B79DF">
      <w:pPr>
        <w:pStyle w:val="PargrafodaLista"/>
        <w:numPr>
          <w:ilvl w:val="0"/>
          <w:numId w:val="183"/>
        </w:numPr>
        <w:spacing w:after="0"/>
        <w:jc w:val="both"/>
        <w:rPr>
          <w:rFonts w:ascii="Times New Roman" w:hAnsi="Times New Roman"/>
          <w:b/>
          <w:sz w:val="24"/>
          <w:szCs w:val="24"/>
        </w:rPr>
      </w:pPr>
      <w:r w:rsidRPr="006B2E9E">
        <w:rPr>
          <w:rFonts w:ascii="Times New Roman" w:hAnsi="Times New Roman"/>
          <w:b/>
          <w:sz w:val="24"/>
          <w:szCs w:val="24"/>
        </w:rPr>
        <w:t xml:space="preserve">Matières particulaires </w:t>
      </w:r>
    </w:p>
    <w:p w:rsidR="007B79DF" w:rsidRDefault="007B79DF" w:rsidP="007B79DF">
      <w:pPr>
        <w:jc w:val="both"/>
      </w:pPr>
      <w:r w:rsidRPr="00FA166C">
        <w:t xml:space="preserve">Les polluants les plus couramment présents dans les émissions diffuses sont les poussières ou matières particulaires. Celles-ci sont rejetées lors de certaines opérations, telles que le transport et le stockage à l’air libre de matériaux solides. Elles proviennent également des sols exposés (routes non revêtues). Les méthodes recommandées pour prévenir et maîtriser ces émissions consistent, notamment, à : </w:t>
      </w:r>
    </w:p>
    <w:p w:rsidR="007B79DF" w:rsidRPr="00FA166C" w:rsidRDefault="007B79DF" w:rsidP="007B79DF">
      <w:pPr>
        <w:jc w:val="both"/>
      </w:pPr>
    </w:p>
    <w:p w:rsidR="007B79DF" w:rsidRPr="00FA166C" w:rsidRDefault="007B79DF" w:rsidP="007B79DF">
      <w:pPr>
        <w:numPr>
          <w:ilvl w:val="0"/>
          <w:numId w:val="182"/>
        </w:numPr>
        <w:spacing w:line="259" w:lineRule="auto"/>
        <w:jc w:val="both"/>
      </w:pPr>
      <w:r w:rsidRPr="00FA166C">
        <w:t xml:space="preserve">Utiliser des techniques de dépoussiérage telles que la couverture des matériaux, l’aspersion d’eau ou l’augmentation du degré́ hygrométrique des stocks de produits à l’air libre. Recourir à des systèmes d’extraction et de traitement de l’air au moyen de filtres ou cyclones aux sources du circuit de manutention des matériaux (convoyeurs, trémies). </w:t>
      </w:r>
    </w:p>
    <w:p w:rsidR="007B79DF" w:rsidRPr="005B2001" w:rsidRDefault="007B79DF" w:rsidP="007B79DF">
      <w:pPr>
        <w:numPr>
          <w:ilvl w:val="0"/>
          <w:numId w:val="182"/>
        </w:numPr>
        <w:spacing w:line="259" w:lineRule="auto"/>
        <w:jc w:val="both"/>
      </w:pPr>
      <w:r w:rsidRPr="002A6794">
        <w:t xml:space="preserve">Procéder à la pulvérisation d’eau pour réduire les matières meubles sur les routes revêtues et non revêtues. </w:t>
      </w:r>
    </w:p>
    <w:p w:rsidR="007B79DF" w:rsidRPr="005B2001" w:rsidRDefault="007B79DF" w:rsidP="007B79DF">
      <w:pPr>
        <w:numPr>
          <w:ilvl w:val="0"/>
          <w:numId w:val="182"/>
        </w:numPr>
        <w:spacing w:line="259" w:lineRule="auto"/>
        <w:jc w:val="both"/>
      </w:pPr>
      <w:r w:rsidRPr="005B2001">
        <w:t xml:space="preserve">Comme les autres procèdent de combustion, les moteurs des véhicules produisent des émissions comprenant, notamment du CO, du NOx, du SO2, de matières particulaires et des COV. Les émissions des véhicules routiers et tout terrain doivent être conformes aux normes nationales ou régionales. En l’absence de telles normes, il convient de procéder comme suit : </w:t>
      </w:r>
    </w:p>
    <w:p w:rsidR="007B79DF" w:rsidRPr="005B2001" w:rsidRDefault="007B79DF" w:rsidP="007B79DF">
      <w:pPr>
        <w:numPr>
          <w:ilvl w:val="0"/>
          <w:numId w:val="182"/>
        </w:numPr>
        <w:spacing w:line="259" w:lineRule="auto"/>
        <w:jc w:val="both"/>
      </w:pPr>
      <w:r w:rsidRPr="005B2001">
        <w:t xml:space="preserve">Quels que soient la taille ou le type des véhicules, les opérateurs ou propriétaires doivent suivre le programme d’entretien des moteurs recommandé par les fabricants. </w:t>
      </w:r>
    </w:p>
    <w:p w:rsidR="007B79DF" w:rsidRPr="005B2001" w:rsidRDefault="007B79DF" w:rsidP="007B79DF">
      <w:pPr>
        <w:numPr>
          <w:ilvl w:val="0"/>
          <w:numId w:val="182"/>
        </w:numPr>
        <w:spacing w:line="259" w:lineRule="auto"/>
        <w:jc w:val="both"/>
      </w:pPr>
      <w:r w:rsidRPr="005B2001">
        <w:t xml:space="preserve">Les conducteurs doivent être informés des avantages d’un mode de conduite propice à une réduction des risques d’accidents et de la consommation de carburant (ex. accélérations progressives et respect des limitations de vitesse). </w:t>
      </w:r>
    </w:p>
    <w:p w:rsidR="007B79DF" w:rsidRPr="005B2001" w:rsidRDefault="007B79DF" w:rsidP="007B79DF">
      <w:pPr>
        <w:numPr>
          <w:ilvl w:val="0"/>
          <w:numId w:val="182"/>
        </w:numPr>
        <w:spacing w:line="259" w:lineRule="auto"/>
        <w:jc w:val="both"/>
      </w:pPr>
      <w:r>
        <w:t xml:space="preserve">Les </w:t>
      </w:r>
      <w:r w:rsidRPr="005B2001">
        <w:t>propriétaires</w:t>
      </w:r>
      <w:r>
        <w:t xml:space="preserve"> de parcs ne comptant pas moins de </w:t>
      </w:r>
      <w:r w:rsidRPr="005B2001">
        <w:t>120 véhicules lourds (</w:t>
      </w:r>
      <w:r>
        <w:t xml:space="preserve">bus et camions) ou pas moins de </w:t>
      </w:r>
      <w:r w:rsidRPr="005B2001">
        <w:t xml:space="preserve">540 véhicules utilitaires légers (voitures et camionnettes) dans un bassin atmosphérique donné doivent prendre en considération des mesures complémentaires pour réduire les impacts éventuels de leurs véhicules, qui consistent notamment à : </w:t>
      </w:r>
    </w:p>
    <w:p w:rsidR="007B79DF" w:rsidRPr="005B2001" w:rsidRDefault="007B79DF" w:rsidP="007B79DF">
      <w:pPr>
        <w:numPr>
          <w:ilvl w:val="1"/>
          <w:numId w:val="182"/>
        </w:numPr>
        <w:spacing w:line="259" w:lineRule="auto"/>
        <w:jc w:val="both"/>
      </w:pPr>
      <w:r w:rsidRPr="005B2001">
        <w:t xml:space="preserve">Remplacer les véhicules les plus anciens par des véhicules plus récents, plus économes en carburant ; </w:t>
      </w:r>
    </w:p>
    <w:p w:rsidR="007B79DF" w:rsidRPr="005B2001" w:rsidRDefault="007B79DF" w:rsidP="007B79DF">
      <w:pPr>
        <w:numPr>
          <w:ilvl w:val="1"/>
          <w:numId w:val="182"/>
        </w:numPr>
        <w:spacing w:line="259" w:lineRule="auto"/>
        <w:jc w:val="both"/>
      </w:pPr>
      <w:r w:rsidRPr="005B2001">
        <w:t xml:space="preserve">Convertir les véhicules à grande utilisation pour pouvoir utiliser des carburants plus propres ; </w:t>
      </w:r>
    </w:p>
    <w:p w:rsidR="007B79DF" w:rsidRPr="005B2001" w:rsidRDefault="007B79DF" w:rsidP="007B79DF">
      <w:pPr>
        <w:numPr>
          <w:ilvl w:val="1"/>
          <w:numId w:val="182"/>
        </w:numPr>
        <w:spacing w:line="259" w:lineRule="auto"/>
        <w:jc w:val="both"/>
      </w:pPr>
      <w:r w:rsidRPr="005B2001">
        <w:t xml:space="preserve">Installer et entretenir les dispositifs de maitrise des émissions, comme les convertisseurs catalytiques ; </w:t>
      </w:r>
    </w:p>
    <w:p w:rsidR="007B79DF" w:rsidRPr="005B2001" w:rsidRDefault="007B79DF" w:rsidP="007B79DF">
      <w:pPr>
        <w:ind w:left="720"/>
        <w:jc w:val="both"/>
      </w:pPr>
    </w:p>
    <w:p w:rsidR="007B79DF" w:rsidRPr="003F3270" w:rsidRDefault="00345951" w:rsidP="007B79DF">
      <w:pPr>
        <w:pStyle w:val="PargrafodaLista"/>
        <w:numPr>
          <w:ilvl w:val="0"/>
          <w:numId w:val="183"/>
        </w:numPr>
        <w:spacing w:after="0"/>
        <w:jc w:val="both"/>
        <w:rPr>
          <w:rFonts w:ascii="Times New Roman" w:hAnsi="Times New Roman"/>
          <w:b/>
          <w:sz w:val="24"/>
          <w:szCs w:val="24"/>
        </w:rPr>
      </w:pPr>
      <w:r w:rsidRPr="003F3270">
        <w:rPr>
          <w:rFonts w:ascii="Times New Roman" w:hAnsi="Times New Roman"/>
          <w:b/>
          <w:sz w:val="24"/>
          <w:szCs w:val="24"/>
        </w:rPr>
        <w:t>La</w:t>
      </w:r>
      <w:r w:rsidR="007B79DF" w:rsidRPr="003F3270">
        <w:rPr>
          <w:rFonts w:ascii="Times New Roman" w:hAnsi="Times New Roman"/>
          <w:b/>
          <w:sz w:val="24"/>
          <w:szCs w:val="24"/>
        </w:rPr>
        <w:t xml:space="preserve"> gestion des eaux usées</w:t>
      </w:r>
    </w:p>
    <w:p w:rsidR="007B79DF" w:rsidRDefault="007B79DF" w:rsidP="007B79DF">
      <w:pPr>
        <w:jc w:val="both"/>
      </w:pPr>
      <w:r w:rsidRPr="005F03EB">
        <w:t>Ces directives fournissent des informations sur des techniques couramment employées pour la gestion des eaux usées, la réalisation d’économies d’eau et la réutilisation de l’eau, dans de nombreuses branches d’activité́. Elles doivent être appliquées en même temps que les directives relatives aux effluents présentées dans les Directives EHS spécifiques aux différentes branches d’activité́. Les projets qui peuvent produire</w:t>
      </w:r>
      <w:r>
        <w:t xml:space="preserve"> </w:t>
      </w:r>
      <w:r w:rsidRPr="005F03EB">
        <w:t xml:space="preserve">des eaux d’égout (eaux usées domestiques) ou des eaux de ruissellement doivent prendre toutes les mesures visant à éviter, réduire et maitrise les impacts négatifs qui peuvent s’exercer au plan de la santé, de la sécurité́ et de l’environnement. </w:t>
      </w:r>
    </w:p>
    <w:p w:rsidR="007B79DF" w:rsidRPr="00271F23" w:rsidRDefault="007B79DF" w:rsidP="007B79DF">
      <w:pPr>
        <w:spacing w:before="100" w:beforeAutospacing="1" w:after="100" w:afterAutospacing="1"/>
      </w:pPr>
      <w:r w:rsidRPr="00271F23">
        <w:t xml:space="preserve">Par ailleurs, la production et le rejet d’eaux usées doivent être gères par un ensemble de mesures qui consistent à : </w:t>
      </w:r>
    </w:p>
    <w:p w:rsidR="007B79DF" w:rsidRPr="000E2131" w:rsidRDefault="007B79DF" w:rsidP="007B79DF">
      <w:pPr>
        <w:pStyle w:val="PargrafodaLista"/>
        <w:numPr>
          <w:ilvl w:val="2"/>
          <w:numId w:val="184"/>
        </w:numPr>
        <w:spacing w:before="100" w:beforeAutospacing="1" w:after="100" w:afterAutospacing="1" w:line="240" w:lineRule="auto"/>
        <w:ind w:left="709"/>
        <w:rPr>
          <w:rFonts w:ascii="Times New Roman" w:eastAsiaTheme="minorHAnsi" w:hAnsi="Times New Roman"/>
          <w:sz w:val="22"/>
          <w:szCs w:val="22"/>
          <w:lang w:eastAsia="en-US"/>
        </w:rPr>
      </w:pPr>
      <w:r w:rsidRPr="000E2131">
        <w:rPr>
          <w:rFonts w:ascii="Times New Roman" w:eastAsiaTheme="minorHAnsi" w:hAnsi="Times New Roman"/>
          <w:sz w:val="22"/>
          <w:szCs w:val="22"/>
          <w:lang w:eastAsia="en-US"/>
        </w:rPr>
        <w:t xml:space="preserve">Utiliser l’eau de manière rationnelle pour réduire le volume d’eaux usées produites. </w:t>
      </w:r>
    </w:p>
    <w:p w:rsidR="007B79DF" w:rsidRPr="00ED24CA"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2"/>
          <w:szCs w:val="22"/>
          <w:lang w:eastAsia="en-US"/>
        </w:rPr>
      </w:pPr>
      <w:r w:rsidRPr="00ED24CA">
        <w:rPr>
          <w:rFonts w:ascii="Times New Roman" w:eastAsiaTheme="minorHAnsi" w:hAnsi="Times New Roman"/>
          <w:sz w:val="22"/>
          <w:szCs w:val="22"/>
          <w:lang w:eastAsia="en-US"/>
        </w:rPr>
        <w:t xml:space="preserve">Modifier les procède, notamment en limitant les déchets et l’utilisation de matières dangereuses pour réduire la charge de polluants nécessitant un traitement. </w:t>
      </w:r>
    </w:p>
    <w:p w:rsidR="007B79DF"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2"/>
          <w:szCs w:val="22"/>
          <w:lang w:eastAsia="en-US"/>
        </w:rPr>
      </w:pPr>
      <w:r w:rsidRPr="00ED24CA">
        <w:rPr>
          <w:rFonts w:ascii="Times New Roman" w:eastAsiaTheme="minorHAnsi" w:hAnsi="Times New Roman"/>
          <w:sz w:val="22"/>
          <w:szCs w:val="22"/>
          <w:lang w:eastAsia="en-US"/>
        </w:rPr>
        <w:t xml:space="preserve">Si nécessaire, procéder à un traitement des eaux usées pour réduire la charge de contaminants avant de les rejeter, compte tenu des possibilités de contaminations croisées durant les traitements (par exemple, un transfert de polluants de l’eau dans l’atmosphère ou dans les sols). </w:t>
      </w:r>
    </w:p>
    <w:p w:rsidR="007B79DF" w:rsidRPr="00ED24CA" w:rsidRDefault="007B79DF" w:rsidP="007B79DF">
      <w:pPr>
        <w:pStyle w:val="PargrafodaLista"/>
        <w:spacing w:before="100" w:beforeAutospacing="1" w:after="100" w:afterAutospacing="1" w:line="240" w:lineRule="auto"/>
        <w:ind w:left="1276"/>
        <w:jc w:val="both"/>
        <w:rPr>
          <w:rFonts w:ascii="Times New Roman" w:eastAsiaTheme="minorHAnsi" w:hAnsi="Times New Roman"/>
          <w:sz w:val="22"/>
          <w:szCs w:val="22"/>
          <w:lang w:eastAsia="en-US"/>
        </w:rPr>
      </w:pPr>
    </w:p>
    <w:p w:rsidR="007B79DF" w:rsidRPr="001242CE" w:rsidRDefault="007B79DF" w:rsidP="007B79DF">
      <w:pPr>
        <w:pStyle w:val="PargrafodaLista"/>
        <w:numPr>
          <w:ilvl w:val="2"/>
          <w:numId w:val="184"/>
        </w:numPr>
        <w:spacing w:before="100" w:beforeAutospacing="1" w:after="100" w:afterAutospacing="1" w:line="240" w:lineRule="auto"/>
        <w:ind w:left="709"/>
        <w:rPr>
          <w:rFonts w:ascii="Times New Roman" w:eastAsiaTheme="minorHAnsi" w:hAnsi="Times New Roman"/>
          <w:sz w:val="22"/>
          <w:szCs w:val="22"/>
          <w:lang w:eastAsia="en-US"/>
        </w:rPr>
      </w:pPr>
      <w:r w:rsidRPr="001242CE">
        <w:rPr>
          <w:rFonts w:ascii="Times New Roman" w:eastAsiaTheme="minorHAnsi" w:hAnsi="Times New Roman"/>
          <w:sz w:val="22"/>
          <w:szCs w:val="22"/>
          <w:lang w:eastAsia="en-US"/>
        </w:rPr>
        <w:t xml:space="preserve">Si les eaux usées doivent être traitées avant leur rejet, l’intensité́ </w:t>
      </w:r>
      <w:r>
        <w:rPr>
          <w:rFonts w:ascii="Times New Roman" w:eastAsiaTheme="minorHAnsi" w:hAnsi="Times New Roman"/>
          <w:sz w:val="22"/>
          <w:szCs w:val="22"/>
          <w:lang w:eastAsia="en-US"/>
        </w:rPr>
        <w:t xml:space="preserve">du traitement requis doit être </w:t>
      </w:r>
      <w:r w:rsidRPr="001242CE">
        <w:rPr>
          <w:rFonts w:ascii="Times New Roman" w:eastAsiaTheme="minorHAnsi" w:hAnsi="Times New Roman"/>
          <w:sz w:val="22"/>
          <w:szCs w:val="22"/>
          <w:lang w:eastAsia="en-US"/>
        </w:rPr>
        <w:t xml:space="preserve">déterminée sur les bases suivantes : </w:t>
      </w:r>
    </w:p>
    <w:p w:rsidR="007B79DF" w:rsidRPr="001242C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2"/>
          <w:szCs w:val="22"/>
          <w:lang w:eastAsia="en-US"/>
        </w:rPr>
      </w:pPr>
      <w:r w:rsidRPr="001242CE">
        <w:rPr>
          <w:rFonts w:ascii="Times New Roman" w:eastAsiaTheme="minorHAnsi" w:hAnsi="Times New Roman"/>
          <w:sz w:val="22"/>
          <w:szCs w:val="22"/>
          <w:lang w:eastAsia="en-US"/>
        </w:rPr>
        <w:t xml:space="preserve">Si les eaux usées sont rejetées dans les égouts ou dans les eaux de surfaces. </w:t>
      </w:r>
    </w:p>
    <w:p w:rsidR="007B79DF" w:rsidRPr="001242C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2"/>
          <w:szCs w:val="22"/>
          <w:lang w:eastAsia="en-US"/>
        </w:rPr>
      </w:pPr>
      <w:r w:rsidRPr="001242CE">
        <w:rPr>
          <w:rFonts w:ascii="Times New Roman" w:eastAsiaTheme="minorHAnsi" w:hAnsi="Times New Roman"/>
          <w:sz w:val="22"/>
          <w:szCs w:val="22"/>
          <w:lang w:eastAsia="en-US"/>
        </w:rPr>
        <w:t xml:space="preserve">Si les eaux usées sont rejetées dans les égouts : les normes nationales et locales établies pour l’octroi de permis et la capacité́ des égouts pour le transport et le traitement les eaux usées. </w:t>
      </w:r>
    </w:p>
    <w:p w:rsidR="007B79DF" w:rsidRPr="001242C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2"/>
          <w:szCs w:val="22"/>
          <w:lang w:eastAsia="en-US"/>
        </w:rPr>
      </w:pPr>
      <w:r w:rsidRPr="001242CE">
        <w:rPr>
          <w:rFonts w:ascii="Times New Roman" w:eastAsiaTheme="minorHAnsi" w:hAnsi="Times New Roman"/>
          <w:sz w:val="22"/>
          <w:szCs w:val="22"/>
          <w:lang w:eastAsia="en-US"/>
        </w:rPr>
        <w:t xml:space="preserve">Si les eaux usées sont rejetées dans les eaux de surfaces : la capacité́ d’assimilation de la charge de contaminants par les eaux réceptrices. </w:t>
      </w:r>
    </w:p>
    <w:p w:rsidR="007B79DF" w:rsidRPr="001242C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2"/>
          <w:szCs w:val="22"/>
          <w:lang w:eastAsia="en-US"/>
        </w:rPr>
      </w:pPr>
      <w:r w:rsidRPr="001242CE">
        <w:rPr>
          <w:rFonts w:ascii="Times New Roman" w:eastAsiaTheme="minorHAnsi" w:hAnsi="Times New Roman"/>
          <w:sz w:val="22"/>
          <w:szCs w:val="22"/>
          <w:lang w:eastAsia="en-US"/>
        </w:rPr>
        <w:t xml:space="preserve">L’usage qui doit être fait des ressources en eaux réceptrices (par ex. sources d’eau potable, loisirs, irrigation, navigation ou autres). </w:t>
      </w:r>
    </w:p>
    <w:p w:rsidR="007B79DF" w:rsidRPr="001242C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2"/>
          <w:szCs w:val="22"/>
          <w:lang w:eastAsia="en-US"/>
        </w:rPr>
      </w:pPr>
      <w:r w:rsidRPr="001242CE">
        <w:rPr>
          <w:rFonts w:ascii="Times New Roman" w:eastAsiaTheme="minorHAnsi" w:hAnsi="Times New Roman"/>
          <w:sz w:val="22"/>
          <w:szCs w:val="22"/>
          <w:lang w:eastAsia="en-US"/>
        </w:rPr>
        <w:t xml:space="preserve">La présence de récepteurs (comme les espèces menacées d’extinction) ou d’habitats sensibles. </w:t>
      </w:r>
    </w:p>
    <w:p w:rsidR="007B79DF"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2"/>
          <w:szCs w:val="22"/>
          <w:lang w:eastAsia="en-US"/>
        </w:rPr>
      </w:pPr>
      <w:r w:rsidRPr="001242CE">
        <w:rPr>
          <w:rFonts w:ascii="Times New Roman" w:eastAsiaTheme="minorHAnsi" w:hAnsi="Times New Roman"/>
          <w:sz w:val="22"/>
          <w:szCs w:val="22"/>
          <w:lang w:eastAsia="en-US"/>
        </w:rPr>
        <w:t xml:space="preserve">Les bonnes pratiques industrielles (BPI) applicables dans la branche d’activité́ considérée. </w:t>
      </w:r>
    </w:p>
    <w:p w:rsidR="007B79DF" w:rsidRPr="001242CE" w:rsidRDefault="007B79DF" w:rsidP="007B79DF">
      <w:pPr>
        <w:pStyle w:val="PargrafodaLista"/>
        <w:spacing w:before="100" w:beforeAutospacing="1" w:after="100" w:afterAutospacing="1" w:line="240" w:lineRule="auto"/>
        <w:ind w:left="1276"/>
        <w:jc w:val="both"/>
        <w:rPr>
          <w:rFonts w:ascii="Times New Roman" w:eastAsiaTheme="minorHAnsi" w:hAnsi="Times New Roman"/>
          <w:sz w:val="22"/>
          <w:szCs w:val="22"/>
          <w:lang w:eastAsia="en-US"/>
        </w:rPr>
      </w:pPr>
    </w:p>
    <w:p w:rsidR="007B79DF" w:rsidRPr="001D7066" w:rsidRDefault="007B79DF" w:rsidP="007B79DF">
      <w:pPr>
        <w:pStyle w:val="PargrafodaLista"/>
        <w:numPr>
          <w:ilvl w:val="0"/>
          <w:numId w:val="183"/>
        </w:numPr>
        <w:spacing w:after="0"/>
        <w:jc w:val="both"/>
        <w:rPr>
          <w:rFonts w:ascii="Times New Roman" w:hAnsi="Times New Roman"/>
          <w:b/>
          <w:sz w:val="24"/>
          <w:szCs w:val="24"/>
        </w:rPr>
      </w:pPr>
      <w:r w:rsidRPr="001D7066">
        <w:rPr>
          <w:rFonts w:ascii="Times New Roman" w:hAnsi="Times New Roman"/>
          <w:b/>
          <w:sz w:val="24"/>
          <w:szCs w:val="24"/>
        </w:rPr>
        <w:t xml:space="preserve">Qualité́ de l’eau </w:t>
      </w:r>
    </w:p>
    <w:p w:rsidR="007B79DF" w:rsidRPr="00852F67" w:rsidRDefault="007B79DF" w:rsidP="007B79DF">
      <w:pPr>
        <w:spacing w:before="100" w:beforeAutospacing="1" w:after="100" w:afterAutospacing="1"/>
        <w:jc w:val="both"/>
      </w:pPr>
      <w:r w:rsidRPr="00852F67">
        <w:t xml:space="preserve">On doit protéger en permanence les sources d’eau potable, publiques ou privées, de façon qu’elles soient conformes ou supérieures aux normes d’acceptabilité́ nationale applicables, ou, en leur absence, à l’édition en vigueur des directives de l’OMS sur la qualité́ de l’eau potable. Les émissions d’air, les effluents d’eaux usées, l’huile et les matières dangereuses, ainsi que les déchets, doivent être gères conformément aux lignes directrices fournies dans les sections correspondantes des Directives Générales sur la santé, la sécurité́ et l’environnement, dans le but de protéger le sol et les ressources en eau. </w:t>
      </w:r>
    </w:p>
    <w:p w:rsidR="007B79DF" w:rsidRPr="00852F67" w:rsidRDefault="007B79DF" w:rsidP="007B79DF">
      <w:pPr>
        <w:spacing w:before="100" w:beforeAutospacing="1" w:after="100" w:afterAutospacing="1"/>
        <w:jc w:val="both"/>
      </w:pPr>
      <w:r w:rsidRPr="00852F67">
        <w:t xml:space="preserve">Lorsque le projet comprend la fourniture d’eau à la communauté́ ou aux usagers d’infrastructures d’installations (clients d’hôtels et patients dans les hôpitaux), où l’eau peut entrer utilisée pour boire, cuisiner, laver et se laver, la qualité́ de l’eau doit être conforme aux normes d’acceptabilité́ nationales, ou, en leur absence, à l’édition en cours des directives de l’OMS sur la qualité́ de l’eau potable. La qualité́ de l’eau pour des exigences plus sensibles de bien-être, par exemple l’eau utilisée dans des installations de services de santé ou la production de denrées alimentaires, pourra nécessiter des directives ou des normes plus sévères spécifiques au secteur, selon les cas. Tout facteur de dépendance se rapportant à la fourniture d’eau à la communauté́ locale doit être programmée et gérée de façon à assurer la soutenabilité́ des fournitures d’eau en assurant la participation de la communauté́ </w:t>
      </w:r>
      <w:r w:rsidRPr="003C6482">
        <w:t xml:space="preserve">dans sa gestion, de façon à minimiser la dépendance à long terme. </w:t>
      </w:r>
    </w:p>
    <w:p w:rsidR="007B79DF" w:rsidRPr="00F2190B" w:rsidRDefault="007B79DF" w:rsidP="007B79DF">
      <w:pPr>
        <w:pStyle w:val="PargrafodaLista"/>
        <w:numPr>
          <w:ilvl w:val="0"/>
          <w:numId w:val="183"/>
        </w:numPr>
        <w:spacing w:after="0" w:line="240" w:lineRule="auto"/>
        <w:rPr>
          <w:rFonts w:ascii="Times New Roman" w:hAnsi="Times New Roman"/>
          <w:b/>
          <w:sz w:val="24"/>
          <w:szCs w:val="24"/>
        </w:rPr>
      </w:pPr>
      <w:r w:rsidRPr="00F2190B">
        <w:rPr>
          <w:rFonts w:ascii="Times New Roman" w:hAnsi="Times New Roman"/>
          <w:b/>
          <w:sz w:val="24"/>
          <w:szCs w:val="24"/>
        </w:rPr>
        <w:t xml:space="preserve">Hygiène et sécurité́ au travail </w:t>
      </w:r>
    </w:p>
    <w:p w:rsidR="007B79DF" w:rsidRPr="00852F67" w:rsidRDefault="007B79DF" w:rsidP="007B79DF">
      <w:pPr>
        <w:jc w:val="both"/>
      </w:pPr>
      <w:r w:rsidRPr="00852F67">
        <w:t xml:space="preserve">Les employeurs et les agents de maitrise sont tenus de prendre toutes les précautions raisonnables pour assurer la protection de la santé et la sécurité́ des travailleurs. La présente section fournit des conseils et des exemples de précautions raisonnables relativement à la gestion des principaux risques pour la santé et la sécurité́ au travail. Bien que l’on mette l’accent sur la phase opérationnelle des projets, une grande partie des conseils est également applicable aux activités de construction et de démantèlement. Il est conseillé́ aux entreprises d’utiliser des fournisseurs disposant des moyens techniques de gérer les problèmes de santé et sécurité́ du travail de leurs employés, en développant l’application des activités de gestion des risques par le biais d’accords de fourniture officiels. </w:t>
      </w:r>
    </w:p>
    <w:p w:rsidR="007B79DF" w:rsidRPr="00852F67" w:rsidRDefault="007B79DF" w:rsidP="007B79DF">
      <w:pPr>
        <w:jc w:val="both"/>
      </w:pPr>
      <w:r w:rsidRPr="00852F67">
        <w:t xml:space="preserve">On doit introduire des mesures de prévention et de protection conformément à l’ordre de priorité́ suivant : </w:t>
      </w:r>
    </w:p>
    <w:p w:rsidR="007B79DF" w:rsidRPr="0062409F"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r w:rsidRPr="0062409F">
        <w:rPr>
          <w:rFonts w:ascii="Times New Roman" w:eastAsiaTheme="minorHAnsi" w:hAnsi="Times New Roman"/>
          <w:sz w:val="22"/>
          <w:szCs w:val="22"/>
          <w:lang w:eastAsia="en-US"/>
        </w:rPr>
        <w:t xml:space="preserve">Elimination des risques par la suppression de l’activité́ du procèdé de travail. Parmi les exemples pertinents, on indiquera le remplacement par des produits chimiques moins dangereux, faisant usage de méthodes de fabrication diverses etc. </w:t>
      </w:r>
    </w:p>
    <w:p w:rsidR="007B79DF" w:rsidRPr="0062409F"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r w:rsidRPr="0062409F">
        <w:rPr>
          <w:rFonts w:ascii="Times New Roman" w:eastAsiaTheme="minorHAnsi" w:hAnsi="Times New Roman"/>
          <w:sz w:val="22"/>
          <w:szCs w:val="22"/>
          <w:lang w:eastAsia="en-US"/>
        </w:rPr>
        <w:t xml:space="preserve">Maitrise du risque à la source par le biais de contrôles techniques. Parmi les exemples, on indiquera les systèmes de ventilation locaux, les salles protégées, les dispositifs de protection des machines, les enceintes acoustiques etc. </w:t>
      </w:r>
    </w:p>
    <w:p w:rsidR="007B79DF" w:rsidRPr="00511F40"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r w:rsidRPr="0062409F">
        <w:rPr>
          <w:rFonts w:ascii="Times New Roman" w:eastAsiaTheme="minorHAnsi" w:hAnsi="Times New Roman"/>
          <w:sz w:val="22"/>
          <w:szCs w:val="22"/>
          <w:lang w:eastAsia="en-US"/>
        </w:rPr>
        <w:t xml:space="preserve">Minimisation des risques par l’étude de systèmes de travail sans danger et de mesures de contrôle administratives ou institutionnelles. A titre d’exemple, on indiquera la rotation </w:t>
      </w:r>
      <w:r w:rsidRPr="00792DEB">
        <w:rPr>
          <w:rFonts w:ascii="Times New Roman" w:hAnsi="Times New Roman"/>
          <w:sz w:val="24"/>
          <w:szCs w:val="24"/>
        </w:rPr>
        <w:t xml:space="preserve">des tâches, la formation dans des procédures de travail sans danger, les « lock-out » et « tag-out », le contrôle du lieu de travail, la limite de l’exposition ou de la durée du travail, etc. </w:t>
      </w:r>
    </w:p>
    <w:p w:rsidR="007B79DF" w:rsidRPr="00511F40" w:rsidRDefault="007B79DF" w:rsidP="007B79DF">
      <w:pPr>
        <w:pStyle w:val="PargrafodaLista"/>
        <w:spacing w:after="100" w:afterAutospacing="1" w:line="240" w:lineRule="auto"/>
        <w:ind w:left="709"/>
        <w:jc w:val="both"/>
        <w:rPr>
          <w:rFonts w:ascii="Times New Roman" w:eastAsiaTheme="minorHAnsi" w:hAnsi="Times New Roman"/>
          <w:sz w:val="22"/>
          <w:szCs w:val="22"/>
          <w:lang w:eastAsia="en-US"/>
        </w:rPr>
      </w:pPr>
    </w:p>
    <w:p w:rsidR="007B79DF" w:rsidRPr="00511F40" w:rsidRDefault="007B79DF" w:rsidP="007B79DF">
      <w:pPr>
        <w:pStyle w:val="PargrafodaLista"/>
        <w:numPr>
          <w:ilvl w:val="0"/>
          <w:numId w:val="185"/>
        </w:numPr>
        <w:spacing w:before="100" w:beforeAutospacing="1" w:after="100" w:afterAutospacing="1" w:line="240" w:lineRule="auto"/>
        <w:rPr>
          <w:rFonts w:ascii="Times New Roman" w:hAnsi="Times New Roman"/>
          <w:sz w:val="24"/>
          <w:szCs w:val="24"/>
        </w:rPr>
      </w:pPr>
      <w:r w:rsidRPr="00511F40">
        <w:rPr>
          <w:rFonts w:ascii="Times New Roman" w:hAnsi="Times New Roman"/>
          <w:i/>
          <w:iCs/>
          <w:sz w:val="24"/>
          <w:szCs w:val="24"/>
        </w:rPr>
        <w:t xml:space="preserve">Fourniture d’équipements de protection personnelle (PPE) appropries </w:t>
      </w:r>
      <w:r w:rsidRPr="00511F40">
        <w:rPr>
          <w:rFonts w:ascii="Times New Roman" w:hAnsi="Times New Roman"/>
          <w:sz w:val="24"/>
          <w:szCs w:val="24"/>
        </w:rPr>
        <w:t xml:space="preserve">conjointement avec la formation, l’utilisation et l’entretien des PPE. </w:t>
      </w:r>
    </w:p>
    <w:p w:rsidR="007B79DF" w:rsidRPr="00852F67" w:rsidRDefault="007B79DF" w:rsidP="007B79DF">
      <w:pPr>
        <w:spacing w:before="100" w:beforeAutospacing="1" w:after="100" w:afterAutospacing="1"/>
        <w:jc w:val="both"/>
      </w:pPr>
      <w:r w:rsidRPr="00852F67">
        <w:t xml:space="preserve">L’application de mesures de prévention et de limitation des risques au travail doit être basée sur des analyses globales de la sécurité́ ou des risques sur le lieu de travail. Les résultats de ces analyses devront être prioritaires dans le cadre d’un plan d’action basé sur la probabilité́ et la gravité des conséquences de l’exposition à des risques identifies </w:t>
      </w:r>
    </w:p>
    <w:p w:rsidR="007B79DF" w:rsidRPr="008F18A4" w:rsidRDefault="007B79DF" w:rsidP="007B79DF">
      <w:pPr>
        <w:pStyle w:val="PargrafodaLista"/>
        <w:numPr>
          <w:ilvl w:val="0"/>
          <w:numId w:val="185"/>
        </w:numPr>
        <w:spacing w:before="100" w:beforeAutospacing="1" w:after="100" w:afterAutospacing="1" w:line="240" w:lineRule="auto"/>
        <w:rPr>
          <w:rFonts w:ascii="Times New Roman" w:hAnsi="Times New Roman"/>
          <w:i/>
          <w:iCs/>
          <w:sz w:val="24"/>
          <w:szCs w:val="24"/>
        </w:rPr>
      </w:pPr>
      <w:r w:rsidRPr="008F18A4">
        <w:rPr>
          <w:rFonts w:ascii="Times New Roman" w:hAnsi="Times New Roman"/>
          <w:i/>
          <w:iCs/>
          <w:sz w:val="24"/>
          <w:szCs w:val="24"/>
        </w:rPr>
        <w:t xml:space="preserve">Les installations produisant et stockant des déchets doivent appliquer les modalités suivantes : </w:t>
      </w:r>
    </w:p>
    <w:p w:rsidR="007B79DF" w:rsidRPr="00852F67" w:rsidRDefault="007B79DF" w:rsidP="007B79DF">
      <w:pPr>
        <w:spacing w:before="100" w:beforeAutospacing="1" w:after="100" w:afterAutospacing="1"/>
        <w:jc w:val="both"/>
      </w:pPr>
      <w:r w:rsidRPr="00852F67">
        <w:t xml:space="preserve">Définition des priorités de gestion des déchets dès le début des activités, sur la base des connaissances sur les risques et impacts potentiels sur l’environnement, la santé et la sécurité́, et examen de la production de déchets et ses conséquences ; </w:t>
      </w:r>
    </w:p>
    <w:p w:rsidR="007B79DF" w:rsidRPr="00044B81"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r w:rsidRPr="00044B81">
        <w:rPr>
          <w:rFonts w:ascii="Times New Roman" w:eastAsiaTheme="minorHAnsi" w:hAnsi="Times New Roman"/>
          <w:sz w:val="22"/>
          <w:szCs w:val="22"/>
          <w:lang w:eastAsia="en-US"/>
        </w:rPr>
        <w:t xml:space="preserve">Etablissement d’une hiérarchie dans la gestion des déchets examinant la prévention, la réduction, la réutilisation, la récupération, le recyclage, l’enlèvement et, enfin, l’élimination des déchets ; </w:t>
      </w:r>
    </w:p>
    <w:p w:rsidR="007B79DF" w:rsidRPr="00044B81"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r w:rsidRPr="00044B81">
        <w:rPr>
          <w:rFonts w:ascii="Times New Roman" w:eastAsiaTheme="minorHAnsi" w:hAnsi="Times New Roman"/>
          <w:sz w:val="22"/>
          <w:szCs w:val="22"/>
          <w:lang w:eastAsia="en-US"/>
        </w:rPr>
        <w:t xml:space="preserve">Prévention ou minimisation de la production de déchets, dans la mesure du possible ; </w:t>
      </w:r>
    </w:p>
    <w:p w:rsidR="007B79DF" w:rsidRPr="00044B81"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r w:rsidRPr="00044B81">
        <w:rPr>
          <w:rFonts w:ascii="Times New Roman" w:eastAsiaTheme="minorHAnsi" w:hAnsi="Times New Roman"/>
          <w:sz w:val="22"/>
          <w:szCs w:val="22"/>
          <w:lang w:eastAsia="en-US"/>
        </w:rPr>
        <w:t xml:space="preserve">Lorsqu’on ne peut éviter la production de déchets, mais que l’on est parvenu à la minimiser, avec la récupération et la réutilisation de déchets ; </w:t>
      </w:r>
    </w:p>
    <w:p w:rsidR="007B79DF"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r w:rsidRPr="00044B81">
        <w:rPr>
          <w:rFonts w:ascii="Times New Roman" w:eastAsiaTheme="minorHAnsi" w:hAnsi="Times New Roman"/>
          <w:sz w:val="22"/>
          <w:szCs w:val="22"/>
          <w:lang w:eastAsia="en-US"/>
        </w:rPr>
        <w:t xml:space="preserve">Lorsqu’on ne peut récupérer ou réutiliser des déchets : traitement, destruction et élimination de ces mêmes déchets d’une façon qui ne nuise pas à l’environnement. </w:t>
      </w:r>
    </w:p>
    <w:p w:rsidR="00345951" w:rsidRDefault="00345951"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p>
    <w:p w:rsidR="00B805ED" w:rsidRPr="00345951" w:rsidRDefault="00BB7875" w:rsidP="00345951">
      <w:pPr>
        <w:pStyle w:val="PargrafodaLista"/>
        <w:keepNext/>
        <w:spacing w:before="240" w:after="240"/>
        <w:ind w:left="450" w:right="284" w:hanging="450"/>
        <w:jc w:val="both"/>
        <w:outlineLvl w:val="1"/>
        <w:rPr>
          <w:rFonts w:ascii="Times New Roman" w:hAnsi="Times New Roman"/>
          <w:b/>
          <w:sz w:val="24"/>
          <w:szCs w:val="24"/>
        </w:rPr>
      </w:pPr>
      <w:bookmarkStart w:id="135" w:name="_Toc73459732"/>
      <w:r>
        <w:rPr>
          <w:rFonts w:ascii="Times New Roman" w:hAnsi="Times New Roman"/>
          <w:b/>
          <w:sz w:val="24"/>
          <w:szCs w:val="24"/>
        </w:rPr>
        <w:t>3</w:t>
      </w:r>
      <w:r w:rsidR="00345951">
        <w:rPr>
          <w:rFonts w:ascii="Times New Roman" w:hAnsi="Times New Roman"/>
          <w:b/>
          <w:sz w:val="24"/>
          <w:szCs w:val="24"/>
        </w:rPr>
        <w:t xml:space="preserve">.6 </w:t>
      </w:r>
      <w:r w:rsidR="00C069FE" w:rsidRPr="00345951">
        <w:rPr>
          <w:rFonts w:ascii="Times New Roman" w:hAnsi="Times New Roman"/>
          <w:b/>
          <w:sz w:val="24"/>
          <w:szCs w:val="24"/>
        </w:rPr>
        <w:t>L’ANALYSE COMPARATIVE</w:t>
      </w:r>
      <w:bookmarkEnd w:id="135"/>
    </w:p>
    <w:p w:rsidR="007B79DF" w:rsidRPr="008D3328" w:rsidRDefault="007B79DF"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45951">
        <w:t>De l’analyse comparative des textes nationaux et des politiques de la Banque</w:t>
      </w:r>
      <w:r w:rsidR="00C069FE" w:rsidRPr="008D3328">
        <w:t xml:space="preserve"> </w:t>
      </w:r>
      <w:r w:rsidRPr="00345951">
        <w:t>Mondiale, il ressort des convergences entre la législation Bissau Guinéennes en</w:t>
      </w:r>
      <w:r w:rsidR="00C069FE" w:rsidRPr="008D3328">
        <w:t xml:space="preserve"> </w:t>
      </w:r>
      <w:r w:rsidRPr="00345951">
        <w:t xml:space="preserve">matière d’évaluation environnementale et sociale et les </w:t>
      </w:r>
      <w:r w:rsidR="00C069FE" w:rsidRPr="008D3328">
        <w:t>normes environnementales et sociales</w:t>
      </w:r>
      <w:r w:rsidRPr="00345951">
        <w:t xml:space="preserve"> de la</w:t>
      </w:r>
      <w:r w:rsidR="00C069FE" w:rsidRPr="008D3328">
        <w:t xml:space="preserve"> </w:t>
      </w:r>
      <w:r w:rsidRPr="00345951">
        <w:t>Banque Mondiale. En effet,</w:t>
      </w:r>
    </w:p>
    <w:p w:rsidR="008D3328" w:rsidRPr="00345951" w:rsidRDefault="008D3328"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B79DF" w:rsidRPr="00345951" w:rsidRDefault="007B79DF" w:rsidP="00345951">
      <w:pPr>
        <w:pStyle w:val="PargrafodaLista"/>
        <w:numPr>
          <w:ilvl w:val="0"/>
          <w:numId w:val="1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45951">
        <w:rPr>
          <w:rFonts w:ascii="Times New Roman" w:hAnsi="Times New Roman"/>
          <w:sz w:val="24"/>
          <w:szCs w:val="24"/>
        </w:rPr>
        <w:t>La loi n° 10/2010 sur l’évaluation environnementale en République de Guinée-Bissau institue l’évaluation environnementale en préalable à tout politique,</w:t>
      </w:r>
      <w:r w:rsidR="00C069FE" w:rsidRPr="00345951">
        <w:rPr>
          <w:rFonts w:ascii="Times New Roman" w:hAnsi="Times New Roman"/>
          <w:sz w:val="24"/>
          <w:szCs w:val="24"/>
        </w:rPr>
        <w:t xml:space="preserve"> </w:t>
      </w:r>
      <w:r w:rsidRPr="00345951">
        <w:rPr>
          <w:rFonts w:ascii="Times New Roman" w:hAnsi="Times New Roman"/>
          <w:sz w:val="24"/>
          <w:szCs w:val="24"/>
        </w:rPr>
        <w:t xml:space="preserve">programme, plan et projet tout </w:t>
      </w:r>
      <w:r w:rsidR="00C069FE" w:rsidRPr="00345951">
        <w:rPr>
          <w:rFonts w:ascii="Times New Roman" w:hAnsi="Times New Roman"/>
          <w:sz w:val="24"/>
          <w:szCs w:val="24"/>
        </w:rPr>
        <w:t>comme la normes NES n°1 ;</w:t>
      </w:r>
    </w:p>
    <w:p w:rsidR="007B79DF" w:rsidRDefault="007B79DF" w:rsidP="00345951">
      <w:pPr>
        <w:pStyle w:val="PargrafodaLista"/>
        <w:numPr>
          <w:ilvl w:val="0"/>
          <w:numId w:val="1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45951">
        <w:rPr>
          <w:rFonts w:ascii="Times New Roman" w:hAnsi="Times New Roman"/>
          <w:sz w:val="24"/>
          <w:szCs w:val="24"/>
        </w:rPr>
        <w:t>La loi n°2/98 qui réglemente le foncier reconnait le droit coutumier et accorde à la communauté locale le pouvoir de la gestion des terres située dans leur limite territoriale historique ainsi que les ressources y afférentes. Dans cet</w:t>
      </w:r>
      <w:r w:rsidR="00C069FE" w:rsidRPr="00345951">
        <w:rPr>
          <w:rFonts w:ascii="Times New Roman" w:hAnsi="Times New Roman"/>
          <w:sz w:val="24"/>
          <w:szCs w:val="24"/>
        </w:rPr>
        <w:t xml:space="preserve"> </w:t>
      </w:r>
      <w:r w:rsidRPr="00345951">
        <w:rPr>
          <w:rFonts w:ascii="Times New Roman" w:hAnsi="Times New Roman"/>
          <w:sz w:val="24"/>
          <w:szCs w:val="24"/>
        </w:rPr>
        <w:t>esprit, le dédommagement est envisageable en cas de restriction d’accès ou de</w:t>
      </w:r>
      <w:r w:rsidR="00C069FE" w:rsidRPr="00345951">
        <w:rPr>
          <w:rFonts w:ascii="Times New Roman" w:hAnsi="Times New Roman"/>
          <w:sz w:val="24"/>
          <w:szCs w:val="24"/>
        </w:rPr>
        <w:t xml:space="preserve"> </w:t>
      </w:r>
      <w:r w:rsidRPr="00345951">
        <w:rPr>
          <w:rFonts w:ascii="Times New Roman" w:hAnsi="Times New Roman"/>
          <w:sz w:val="24"/>
          <w:szCs w:val="24"/>
        </w:rPr>
        <w:t>perte de biens</w:t>
      </w:r>
      <w:r w:rsidR="00C069FE" w:rsidRPr="00345951">
        <w:rPr>
          <w:rFonts w:ascii="Times New Roman" w:hAnsi="Times New Roman"/>
          <w:sz w:val="24"/>
          <w:szCs w:val="24"/>
        </w:rPr>
        <w:t>. Cette loi cadre avec la norme NES n°5</w:t>
      </w:r>
      <w:r w:rsidRPr="00345951">
        <w:rPr>
          <w:rFonts w:ascii="Times New Roman" w:hAnsi="Times New Roman"/>
          <w:sz w:val="24"/>
          <w:szCs w:val="24"/>
        </w:rPr>
        <w:t xml:space="preserve"> ;</w:t>
      </w:r>
    </w:p>
    <w:p w:rsidR="00345951" w:rsidRPr="00345951" w:rsidRDefault="00345951" w:rsidP="00345951">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7B79DF" w:rsidRPr="00345951" w:rsidRDefault="007B79DF" w:rsidP="00345951">
      <w:pPr>
        <w:pStyle w:val="PargrafodaLista"/>
        <w:numPr>
          <w:ilvl w:val="0"/>
          <w:numId w:val="1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45951">
        <w:rPr>
          <w:rFonts w:ascii="Times New Roman" w:hAnsi="Times New Roman"/>
          <w:sz w:val="24"/>
          <w:szCs w:val="24"/>
        </w:rPr>
        <w:t>La loi n°5/2011 portant régime des forêts statue que la classification sous le</w:t>
      </w:r>
      <w:r w:rsidR="00C069FE" w:rsidRPr="00345951">
        <w:rPr>
          <w:rFonts w:ascii="Times New Roman" w:hAnsi="Times New Roman"/>
          <w:sz w:val="24"/>
          <w:szCs w:val="24"/>
        </w:rPr>
        <w:t xml:space="preserve"> </w:t>
      </w:r>
      <w:r w:rsidRPr="00345951">
        <w:rPr>
          <w:rFonts w:ascii="Times New Roman" w:hAnsi="Times New Roman"/>
          <w:sz w:val="24"/>
          <w:szCs w:val="24"/>
        </w:rPr>
        <w:t>régime de forêt est motivée par la nécessité de conservation des ressources forestières et ceci tout le temps que l’Etat estime nécessaire pour protéger l’intérêt général ou la sauvegarde de certaines formations végétales. Cette</w:t>
      </w:r>
      <w:r w:rsidR="008D3328" w:rsidRPr="00345951">
        <w:rPr>
          <w:rFonts w:ascii="Times New Roman" w:hAnsi="Times New Roman"/>
          <w:sz w:val="24"/>
          <w:szCs w:val="24"/>
        </w:rPr>
        <w:t xml:space="preserve"> </w:t>
      </w:r>
      <w:r w:rsidRPr="00345951">
        <w:rPr>
          <w:rFonts w:ascii="Times New Roman" w:hAnsi="Times New Roman"/>
          <w:sz w:val="24"/>
          <w:szCs w:val="24"/>
        </w:rPr>
        <w:t>disposition</w:t>
      </w:r>
      <w:r w:rsidR="008D3328" w:rsidRPr="00345951">
        <w:rPr>
          <w:rFonts w:ascii="Times New Roman" w:hAnsi="Times New Roman"/>
          <w:sz w:val="24"/>
          <w:szCs w:val="24"/>
        </w:rPr>
        <w:t xml:space="preserve"> est en synergie avec la norme NES n°6</w:t>
      </w:r>
    </w:p>
    <w:p w:rsidR="007B79DF" w:rsidRPr="00345951" w:rsidRDefault="007B79DF"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45951">
        <w:t xml:space="preserve">Toutefois, des insuffisances ont été constatées notamment concernant les limites réglementaires environnementales, comme par exemple le bruit, </w:t>
      </w:r>
      <w:r w:rsidR="008D3328" w:rsidRPr="008D3328">
        <w:t>la turbidité</w:t>
      </w:r>
      <w:r w:rsidRPr="00345951">
        <w:t>, la qualité de l'eau. Dans ces cas précis, il sera fait référence aux</w:t>
      </w:r>
      <w:r w:rsidR="008D3328" w:rsidRPr="008D3328">
        <w:t xml:space="preserve"> </w:t>
      </w:r>
      <w:r w:rsidRPr="00345951">
        <w:t xml:space="preserve">Directives EHS </w:t>
      </w:r>
      <w:r w:rsidR="008D3328" w:rsidRPr="008D3328">
        <w:t xml:space="preserve">générales de la </w:t>
      </w:r>
      <w:r w:rsidRPr="00345951">
        <w:t>B</w:t>
      </w:r>
      <w:r w:rsidR="008D3328" w:rsidRPr="008D3328">
        <w:t xml:space="preserve">anque </w:t>
      </w:r>
      <w:r w:rsidRPr="00345951">
        <w:t>M</w:t>
      </w:r>
      <w:r w:rsidR="008D3328" w:rsidRPr="008D3328">
        <w:t xml:space="preserve">ondiale pour la mise en œuvre du projet. </w:t>
      </w:r>
    </w:p>
    <w:p w:rsidR="007B79DF" w:rsidRPr="00345951" w:rsidRDefault="007B79DF"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B79DF" w:rsidRPr="00345951" w:rsidRDefault="007B79DF"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45951">
        <w:t xml:space="preserve"> Sur la base des dispositions ci-dessus préconisées, on peut affirmer que le</w:t>
      </w:r>
      <w:r w:rsidR="008D3328" w:rsidRPr="008D3328">
        <w:t xml:space="preserve"> projet PUSA</w:t>
      </w:r>
      <w:r w:rsidRPr="00345951">
        <w:t xml:space="preserve"> est en conformité avec les </w:t>
      </w:r>
      <w:r w:rsidR="008D3328" w:rsidRPr="008D3328">
        <w:t xml:space="preserve">normes environnementales et socials de la </w:t>
      </w:r>
      <w:r w:rsidRPr="00345951">
        <w:t>Banque Mondiale. Toutefois, la mise en œuvre des prescriptions décrites</w:t>
      </w:r>
      <w:r w:rsidR="008D3328" w:rsidRPr="008D3328">
        <w:t xml:space="preserve"> </w:t>
      </w:r>
      <w:r w:rsidRPr="00345951">
        <w:t>dans le Plan Cadre de Gestion Environnementale et Sociale du présen</w:t>
      </w:r>
      <w:r w:rsidR="008D3328" w:rsidRPr="008D3328">
        <w:t>t</w:t>
      </w:r>
      <w:r w:rsidRPr="00345951">
        <w:t xml:space="preserve"> rapport s’avère nécessaire.</w:t>
      </w:r>
    </w:p>
    <w:p w:rsidR="00B805ED" w:rsidRDefault="00B805ED" w:rsidP="008E6ECB">
      <w:pPr>
        <w:spacing w:before="120" w:after="120"/>
        <w:ind w:left="-284" w:right="-142"/>
        <w:jc w:val="both"/>
      </w:pPr>
    </w:p>
    <w:p w:rsidR="00A91974" w:rsidRPr="00A05698" w:rsidRDefault="00634D7F" w:rsidP="00157035">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right="-995"/>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6" w:name="_Toc73459733"/>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DESCRIPTION DU MILIEU RECEPTEUR</w:t>
      </w:r>
      <w:bookmarkEnd w:id="136"/>
    </w:p>
    <w:p w:rsidR="008B5BDA" w:rsidRPr="00A05698" w:rsidRDefault="008B5BDA" w:rsidP="004F4212">
      <w:pPr>
        <w:tabs>
          <w:tab w:val="left" w:pos="945"/>
        </w:tabs>
        <w:jc w:val="both"/>
        <w:rPr>
          <w:b/>
        </w:rPr>
      </w:pPr>
    </w:p>
    <w:p w:rsidR="007C0EBB" w:rsidRPr="00A05698" w:rsidRDefault="007C0EBB" w:rsidP="000C144F">
      <w:pPr>
        <w:spacing w:before="120" w:after="120"/>
        <w:ind w:left="-284" w:right="-142"/>
        <w:jc w:val="both"/>
      </w:pPr>
      <w:r w:rsidRPr="00A05698">
        <w:t xml:space="preserve">Le champ d’étude définit de façon globale toutes les composantes naturelles et humaines de l’environnement susceptibles d’être touchées </w:t>
      </w:r>
      <w:r w:rsidR="00C41628" w:rsidRPr="00A05698">
        <w:t xml:space="preserve">lors de la mise en œuvre </w:t>
      </w:r>
      <w:r w:rsidRPr="00A05698">
        <w:t>du projet</w:t>
      </w:r>
      <w:r w:rsidR="00C41628" w:rsidRPr="00A05698">
        <w:t xml:space="preserve"> PUSA</w:t>
      </w:r>
      <w:r w:rsidRPr="00A05698">
        <w:t xml:space="preserve"> et l’exploitation des </w:t>
      </w:r>
      <w:r w:rsidR="00C41628" w:rsidRPr="00A05698">
        <w:t>infrastructures prévus pour atteindre la sécuritaire alimentaire.</w:t>
      </w:r>
    </w:p>
    <w:p w:rsidR="009E776A" w:rsidRPr="00A05698" w:rsidRDefault="009E776A" w:rsidP="009E776A">
      <w:pPr>
        <w:spacing w:before="120" w:after="120"/>
        <w:ind w:left="-284"/>
        <w:jc w:val="both"/>
        <w:sectPr w:rsidR="009E776A" w:rsidRPr="00A05698" w:rsidSect="00242A77">
          <w:headerReference w:type="default" r:id="rId29"/>
          <w:footerReference w:type="default" r:id="rId30"/>
          <w:headerReference w:type="first" r:id="rId31"/>
          <w:pgSz w:w="11906" w:h="16838"/>
          <w:pgMar w:top="851" w:right="566" w:bottom="1134" w:left="1417" w:header="426" w:footer="0" w:gutter="0"/>
          <w:cols w:space="708"/>
          <w:titlePg/>
          <w:docGrid w:linePitch="360"/>
        </w:sectPr>
      </w:pPr>
    </w:p>
    <w:p w:rsidR="008D25FA" w:rsidRDefault="00F91B57" w:rsidP="00F91B57">
      <w:pPr>
        <w:pStyle w:val="Cabealho6"/>
        <w:numPr>
          <w:ilvl w:val="0"/>
          <w:numId w:val="0"/>
        </w:numPr>
        <w:spacing w:line="240" w:lineRule="auto"/>
        <w:ind w:left="1135"/>
        <w:jc w:val="center"/>
        <w:rPr>
          <w:b/>
        </w:rPr>
      </w:pPr>
      <w:r w:rsidRPr="00083B97">
        <w:rPr>
          <w:rFonts w:ascii="Times New Roman" w:hAnsi="Times New Roman"/>
          <w:noProof/>
          <w:u w:val="single"/>
          <w:lang w:val="pt-PT" w:eastAsia="pt-PT"/>
        </w:rPr>
        <mc:AlternateContent>
          <mc:Choice Requires="wps">
            <w:drawing>
              <wp:anchor distT="0" distB="0" distL="114300" distR="114300" simplePos="0" relativeHeight="251658276" behindDoc="0" locked="0" layoutInCell="1" allowOverlap="1" wp14:anchorId="3AA7CED7" wp14:editId="52B6D98F">
                <wp:simplePos x="0" y="0"/>
                <wp:positionH relativeFrom="column">
                  <wp:posOffset>2495712</wp:posOffset>
                </wp:positionH>
                <wp:positionV relativeFrom="paragraph">
                  <wp:posOffset>5353951</wp:posOffset>
                </wp:positionV>
                <wp:extent cx="7162800" cy="307975"/>
                <wp:effectExtent l="0" t="0" r="0" b="0"/>
                <wp:wrapSquare wrapText="bothSides"/>
                <wp:docPr id="28" name="Zone de texte 28"/>
                <wp:cNvGraphicFramePr/>
                <a:graphic xmlns:a="http://schemas.openxmlformats.org/drawingml/2006/main">
                  <a:graphicData uri="http://schemas.microsoft.com/office/word/2010/wordprocessingShape">
                    <wps:wsp>
                      <wps:cNvSpPr txBox="1"/>
                      <wps:spPr>
                        <a:xfrm>
                          <a:off x="0" y="0"/>
                          <a:ext cx="7162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851EB" w:rsidRPr="00A05698" w:rsidRDefault="005851EB" w:rsidP="00AB2B9F">
                            <w:pPr>
                              <w:pStyle w:val="Cabealho6"/>
                              <w:numPr>
                                <w:ilvl w:val="0"/>
                                <w:numId w:val="0"/>
                              </w:numPr>
                              <w:spacing w:before="0" w:line="240" w:lineRule="auto"/>
                              <w:ind w:left="1135"/>
                              <w:jc w:val="center"/>
                              <w:rPr>
                                <w:rFonts w:ascii="Times New Roman" w:hAnsi="Times New Roman"/>
                              </w:rPr>
                            </w:pPr>
                            <w:bookmarkStart w:id="137" w:name="_Toc73522785"/>
                            <w:r w:rsidRPr="00A05698">
                              <w:rPr>
                                <w:b/>
                              </w:rPr>
                              <w:t xml:space="preserve">Figure </w:t>
                            </w:r>
                            <w:r w:rsidRPr="00A05698">
                              <w:rPr>
                                <w:b/>
                              </w:rPr>
                              <w:fldChar w:fldCharType="begin"/>
                            </w:r>
                            <w:r w:rsidRPr="00A05698">
                              <w:rPr>
                                <w:b/>
                              </w:rPr>
                              <w:instrText xml:space="preserve"> </w:instrText>
                            </w:r>
                            <w:r>
                              <w:rPr>
                                <w:b/>
                              </w:rPr>
                              <w:instrText>SEQ</w:instrText>
                            </w:r>
                            <w:r w:rsidRPr="00A05698">
                              <w:rPr>
                                <w:b/>
                              </w:rPr>
                              <w:instrText xml:space="preserve"> Figure \* ARABIC </w:instrText>
                            </w:r>
                            <w:r w:rsidRPr="00A05698">
                              <w:rPr>
                                <w:b/>
                              </w:rPr>
                              <w:fldChar w:fldCharType="separate"/>
                            </w:r>
                            <w:r>
                              <w:rPr>
                                <w:b/>
                                <w:noProof/>
                              </w:rPr>
                              <w:t>3</w:t>
                            </w:r>
                            <w:r w:rsidRPr="00A05698">
                              <w:rPr>
                                <w:b/>
                                <w:noProof/>
                              </w:rPr>
                              <w:fldChar w:fldCharType="end"/>
                            </w:r>
                            <w:r w:rsidRPr="00A05698">
                              <w:rPr>
                                <w:rFonts w:ascii="Times New Roman" w:hAnsi="Times New Roman"/>
                              </w:rPr>
                              <w:t xml:space="preserve"> : Carte géographique de la république de Guinée Bissau</w:t>
                            </w:r>
                            <w:bookmarkEnd w:id="137"/>
                          </w:p>
                          <w:p w:rsidR="005851EB" w:rsidRDefault="00585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3AA7CED7" id="Zone de texte 28" o:spid="_x0000_s1035" type="#_x0000_t202" style="position:absolute;left:0;text-align:left;margin-left:196.5pt;margin-top:421.55pt;width:564pt;height:24.2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" filled="f" stroked="f">
                <v:textbox>
                  <w:txbxContent>
                    <w:p w14:paraId="0D76F555" w14:textId="5EED21E1" w:rsidR="005851EB" w:rsidRPr="00A05698" w:rsidRDefault="005851EB" w:rsidP="00AB2B9F">
                      <w:pPr>
                        <w:pStyle w:val="Titre6"/>
                        <w:numPr>
                          <w:ilvl w:val="0"/>
                          <w:numId w:val="0"/>
                        </w:numPr>
                        <w:spacing w:before="0" w:line="240" w:lineRule="auto"/>
                        <w:ind w:left="1135"/>
                        <w:jc w:val="center"/>
                        <w:rPr>
                          <w:rFonts w:ascii="Times New Roman" w:hAnsi="Times New Roman"/>
                        </w:rPr>
                      </w:pPr>
                      <w:bookmarkStart w:id="138" w:name="_Toc73522785"/>
                      <w:r w:rsidRPr="00A05698">
                        <w:rPr>
                          <w:b/>
                        </w:rPr>
                        <w:t xml:space="preserve">Figure </w:t>
                      </w:r>
                      <w:r w:rsidRPr="00A05698">
                        <w:rPr>
                          <w:b/>
                        </w:rPr>
                        <w:fldChar w:fldCharType="begin"/>
                      </w:r>
                      <w:r w:rsidRPr="00A05698">
                        <w:rPr>
                          <w:b/>
                        </w:rPr>
                        <w:instrText xml:space="preserve"> </w:instrText>
                      </w:r>
                      <w:r>
                        <w:rPr>
                          <w:b/>
                        </w:rPr>
                        <w:instrText>SEQ</w:instrText>
                      </w:r>
                      <w:r w:rsidRPr="00A05698">
                        <w:rPr>
                          <w:b/>
                        </w:rPr>
                        <w:instrText xml:space="preserve"> Figure \* ARABIC </w:instrText>
                      </w:r>
                      <w:r w:rsidRPr="00A05698">
                        <w:rPr>
                          <w:b/>
                        </w:rPr>
                        <w:fldChar w:fldCharType="separate"/>
                      </w:r>
                      <w:r>
                        <w:rPr>
                          <w:b/>
                          <w:noProof/>
                        </w:rPr>
                        <w:t>3</w:t>
                      </w:r>
                      <w:r w:rsidRPr="00A05698">
                        <w:rPr>
                          <w:b/>
                          <w:noProof/>
                        </w:rPr>
                        <w:fldChar w:fldCharType="end"/>
                      </w:r>
                      <w:r w:rsidRPr="00A05698">
                        <w:rPr>
                          <w:rFonts w:ascii="Times New Roman" w:hAnsi="Times New Roman"/>
                        </w:rPr>
                        <w:t xml:space="preserve"> : Carte géographique de la république de Guinée Bissau</w:t>
                      </w:r>
                      <w:bookmarkEnd w:id="138"/>
                    </w:p>
                    <w:p w14:paraId="27AE7A6C" w14:textId="77777777" w:rsidR="005851EB" w:rsidRDefault="005851EB"/>
                  </w:txbxContent>
                </v:textbox>
                <w10:wrap type="square"/>
              </v:shape>
            </w:pict>
          </mc:Fallback>
        </mc:AlternateContent>
      </w:r>
      <w:r w:rsidR="00AB2B9F" w:rsidRPr="00A05698">
        <w:rPr>
          <w:rFonts w:ascii="Times New Roman" w:hAnsi="Times New Roman"/>
          <w:noProof/>
          <w:u w:val="single"/>
          <w:lang w:val="pt-PT" w:eastAsia="pt-PT"/>
        </w:rPr>
        <w:drawing>
          <wp:anchor distT="0" distB="0" distL="114300" distR="114300" simplePos="0" relativeHeight="251658263" behindDoc="1" locked="0" layoutInCell="1" allowOverlap="1" wp14:anchorId="4BC5196B" wp14:editId="636CE8DF">
            <wp:simplePos x="0" y="0"/>
            <wp:positionH relativeFrom="page">
              <wp:posOffset>2902585</wp:posOffset>
            </wp:positionH>
            <wp:positionV relativeFrom="margin">
              <wp:posOffset>24130</wp:posOffset>
            </wp:positionV>
            <wp:extent cx="7397115" cy="5249545"/>
            <wp:effectExtent l="25400" t="25400" r="19685" b="33655"/>
            <wp:wrapTight wrapText="bothSides">
              <wp:wrapPolygon edited="0">
                <wp:start x="-74" y="-105"/>
                <wp:lineTo x="-74" y="21634"/>
                <wp:lineTo x="21583" y="21634"/>
                <wp:lineTo x="21583" y="-105"/>
                <wp:lineTo x="-74" y="-105"/>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uinee-bissau_detail_5.jpg"/>
                    <pic:cNvPicPr/>
                  </pic:nvPicPr>
                  <pic:blipFill>
                    <a:blip r:embed="rId32" cstate="email">
                      <a:extLst>
                        <a:ext uri="{28A0092B-C50C-407E-A947-70E740481C1C}">
                          <a14:useLocalDpi xmlns:a14="http://schemas.microsoft.com/office/drawing/2010/main"/>
                        </a:ext>
                      </a:extLst>
                    </a:blip>
                    <a:stretch>
                      <a:fillRect/>
                    </a:stretch>
                  </pic:blipFill>
                  <pic:spPr>
                    <a:xfrm>
                      <a:off x="0" y="0"/>
                      <a:ext cx="7397115" cy="5249545"/>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002C6200" w:rsidRPr="00083B97">
        <w:rPr>
          <w:b/>
          <w:noProof/>
          <w:lang w:val="pt-PT" w:eastAsia="pt-PT"/>
        </w:rPr>
        <mc:AlternateContent>
          <mc:Choice Requires="wps">
            <w:drawing>
              <wp:anchor distT="0" distB="0" distL="114300" distR="114300" simplePos="0" relativeHeight="251658275" behindDoc="0" locked="0" layoutInCell="1" allowOverlap="1" wp14:anchorId="642EAC65" wp14:editId="6D98826B">
                <wp:simplePos x="0" y="0"/>
                <wp:positionH relativeFrom="column">
                  <wp:posOffset>-327025</wp:posOffset>
                </wp:positionH>
                <wp:positionV relativeFrom="paragraph">
                  <wp:posOffset>0</wp:posOffset>
                </wp:positionV>
                <wp:extent cx="2515235" cy="5727700"/>
                <wp:effectExtent l="0" t="0" r="0" b="12700"/>
                <wp:wrapSquare wrapText="bothSides"/>
                <wp:docPr id="26" name="Zone de texte 26"/>
                <wp:cNvGraphicFramePr/>
                <a:graphic xmlns:a="http://schemas.openxmlformats.org/drawingml/2006/main">
                  <a:graphicData uri="http://schemas.microsoft.com/office/word/2010/wordprocessingShape">
                    <wps:wsp>
                      <wps:cNvSpPr txBox="1"/>
                      <wps:spPr>
                        <a:xfrm>
                          <a:off x="0" y="0"/>
                          <a:ext cx="2515235" cy="572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851EB" w:rsidRPr="00A05698" w:rsidRDefault="005851EB" w:rsidP="00093A98">
                            <w:pPr>
                              <w:pStyle w:val="PargrafodaLista"/>
                              <w:spacing w:after="120" w:line="240" w:lineRule="auto"/>
                              <w:ind w:left="0" w:right="-35"/>
                              <w:outlineLvl w:val="1"/>
                              <w:rPr>
                                <w:rFonts w:ascii="Times New Roman" w:hAnsi="Times New Roman"/>
                                <w:b/>
                                <w:bCs/>
                                <w:sz w:val="24"/>
                                <w:szCs w:val="24"/>
                              </w:rPr>
                            </w:pPr>
                            <w:bookmarkStart w:id="138" w:name="_Toc69918365"/>
                            <w:bookmarkStart w:id="139" w:name="_Toc69918517"/>
                            <w:bookmarkStart w:id="140" w:name="_Toc73459734"/>
                            <w:r w:rsidRPr="00A05698">
                              <w:rPr>
                                <w:rFonts w:ascii="Times New Roman" w:hAnsi="Times New Roman"/>
                                <w:b/>
                                <w:bCs/>
                                <w:sz w:val="24"/>
                                <w:szCs w:val="24"/>
                              </w:rPr>
                              <w:t>4.1. SITUATION GEOGRAPHIQUE</w:t>
                            </w:r>
                            <w:bookmarkEnd w:id="138"/>
                            <w:bookmarkEnd w:id="139"/>
                            <w:bookmarkEnd w:id="140"/>
                            <w:r w:rsidRPr="00A05698">
                              <w:rPr>
                                <w:rFonts w:ascii="Times New Roman" w:hAnsi="Times New Roman"/>
                                <w:b/>
                                <w:bCs/>
                                <w:sz w:val="24"/>
                                <w:szCs w:val="24"/>
                              </w:rPr>
                              <w:t xml:space="preserve">  </w:t>
                            </w:r>
                          </w:p>
                          <w:p w:rsidR="005851EB" w:rsidRPr="00083B97" w:rsidRDefault="005851EB" w:rsidP="00093A98">
                            <w:pPr>
                              <w:spacing w:before="120" w:after="120"/>
                              <w:ind w:left="-142" w:right="-35"/>
                              <w:jc w:val="both"/>
                              <w:rPr>
                                <w:sz w:val="22"/>
                                <w:szCs w:val="22"/>
                              </w:rPr>
                            </w:pPr>
                            <w:r w:rsidRPr="00083B97">
                              <w:rPr>
                                <w:sz w:val="22"/>
                                <w:szCs w:val="22"/>
                              </w:rPr>
                              <w:t xml:space="preserve">Située sur la côte Occidentale de l’Afrique, la République de Guinée-Bissau est localisée entre les parallèles 10º 59´ et 12º 20´ Nord et les méridiens 13º 40´ et 13º 43´ Ouest. La Guinée Bissau est un pays lusophone qui s’étend sur un territoire de 36.125 km2.  </w:t>
                            </w:r>
                          </w:p>
                          <w:p w:rsidR="005851EB" w:rsidRPr="00083B97" w:rsidRDefault="005851EB" w:rsidP="00093A98">
                            <w:pPr>
                              <w:spacing w:before="120" w:after="120"/>
                              <w:ind w:left="-142" w:right="-35"/>
                              <w:jc w:val="both"/>
                              <w:rPr>
                                <w:sz w:val="22"/>
                                <w:szCs w:val="22"/>
                              </w:rPr>
                            </w:pPr>
                            <w:r w:rsidRPr="00083B97">
                              <w:rPr>
                                <w:sz w:val="22"/>
                                <w:szCs w:val="22"/>
                              </w:rPr>
                              <w:t xml:space="preserve">Elle est limitée par le Sénégal au Nord, la Guinée Conakry à l’Est et au Sud, et l’Océan Atlantique à L’Ouest.  D’après les résultats préliminaires du RGPH, mené en mars 2009 par l’Institut National de la Statistique et du Recensement (INEC), la population totale du pays est estimée à 1.548.159 habitants, dont 755.859 sont de sexe masculin et 792.300 féminins. Le taux de croissance est de 2,54%, en augmentation par rapport aux données du recensement de l’année 1991 qui était de 2,03%, avec une population totale à l’époque de 979.203.  </w:t>
                            </w:r>
                          </w:p>
                          <w:p w:rsidR="005851EB" w:rsidRPr="00083B97" w:rsidRDefault="005851EB" w:rsidP="00093A98">
                            <w:pPr>
                              <w:spacing w:before="120" w:after="120"/>
                              <w:ind w:left="-142" w:right="-35"/>
                              <w:jc w:val="both"/>
                              <w:rPr>
                                <w:sz w:val="22"/>
                                <w:szCs w:val="22"/>
                              </w:rPr>
                            </w:pPr>
                            <w:r w:rsidRPr="00083B97">
                              <w:rPr>
                                <w:sz w:val="22"/>
                                <w:szCs w:val="22"/>
                              </w:rPr>
                              <w:t>Au plan administratif, le pays est divisé en huit régions et un secteur autonome (</w:t>
                            </w:r>
                            <w:r w:rsidRPr="00083B97">
                              <w:rPr>
                                <w:i/>
                                <w:iCs/>
                                <w:sz w:val="22"/>
                                <w:szCs w:val="22"/>
                              </w:rPr>
                              <w:t xml:space="preserve">Fig. </w:t>
                            </w:r>
                            <w:r>
                              <w:rPr>
                                <w:i/>
                                <w:iCs/>
                                <w:sz w:val="22"/>
                                <w:szCs w:val="22"/>
                              </w:rPr>
                              <w:t>4</w:t>
                            </w:r>
                            <w:r w:rsidRPr="00083B97">
                              <w:rPr>
                                <w:i/>
                                <w:iCs/>
                                <w:sz w:val="22"/>
                                <w:szCs w:val="22"/>
                              </w:rPr>
                              <w:t xml:space="preserve"> ci-dessous</w:t>
                            </w:r>
                            <w:r w:rsidRPr="00083B97">
                              <w:rPr>
                                <w:sz w:val="22"/>
                                <w:szCs w:val="22"/>
                              </w:rPr>
                              <w:t>) : Bafata, Biombo, Bolama/Bijagos, Cacheu, Gabu, Oio, Quinara, Tombali et le Secteur Autonome de Bissau. Les régions sont chacune divisée en secteurs (trente-six au total) et les secteurs sont quant à eux divisés en sections qui à leur tour sont composées de « Tabankas » (villages).</w:t>
                            </w:r>
                          </w:p>
                          <w:p w:rsidR="005851EB" w:rsidRDefault="005851EB" w:rsidP="00093A98">
                            <w:pPr>
                              <w:ind w:right="-3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42EAC65" id="Zone de texte 26" o:spid="_x0000_s1036" type="#_x0000_t202" style="position:absolute;left:0;text-align:left;margin-left:-25.75pt;margin-top:0;width:198.05pt;height:45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" filled="f" stroked="f">
                <v:textbox>
                  <w:txbxContent>
                    <w:p w14:paraId="40A8C918" w14:textId="77777777" w:rsidR="005851EB" w:rsidRPr="00A05698" w:rsidRDefault="005851EB" w:rsidP="00093A98">
                      <w:pPr>
                        <w:pStyle w:val="Pardeliste"/>
                        <w:spacing w:after="120" w:line="240" w:lineRule="auto"/>
                        <w:ind w:left="0" w:right="-35"/>
                        <w:outlineLvl w:val="1"/>
                        <w:rPr>
                          <w:rFonts w:ascii="Times New Roman" w:hAnsi="Times New Roman"/>
                          <w:b/>
                          <w:bCs/>
                          <w:sz w:val="24"/>
                          <w:szCs w:val="24"/>
                        </w:rPr>
                      </w:pPr>
                      <w:bookmarkStart w:id="142" w:name="_Toc69918365"/>
                      <w:bookmarkStart w:id="143" w:name="_Toc69918517"/>
                      <w:bookmarkStart w:id="144" w:name="_Toc73459734"/>
                      <w:r w:rsidRPr="00A05698">
                        <w:rPr>
                          <w:rFonts w:ascii="Times New Roman" w:hAnsi="Times New Roman"/>
                          <w:b/>
                          <w:bCs/>
                          <w:sz w:val="24"/>
                          <w:szCs w:val="24"/>
                        </w:rPr>
                        <w:t>4.1. SITUATION GEOGRAPHIQUE</w:t>
                      </w:r>
                      <w:bookmarkEnd w:id="142"/>
                      <w:bookmarkEnd w:id="143"/>
                      <w:bookmarkEnd w:id="144"/>
                      <w:r w:rsidRPr="00A05698">
                        <w:rPr>
                          <w:rFonts w:ascii="Times New Roman" w:hAnsi="Times New Roman"/>
                          <w:b/>
                          <w:bCs/>
                          <w:sz w:val="24"/>
                          <w:szCs w:val="24"/>
                        </w:rPr>
                        <w:t xml:space="preserve">  </w:t>
                      </w:r>
                    </w:p>
                    <w:p w14:paraId="26377310" w14:textId="77777777" w:rsidR="005851EB" w:rsidRPr="00083B97" w:rsidRDefault="005851EB" w:rsidP="00093A98">
                      <w:pPr>
                        <w:spacing w:before="120" w:after="120"/>
                        <w:ind w:left="-142" w:right="-35"/>
                        <w:jc w:val="both"/>
                        <w:rPr>
                          <w:sz w:val="22"/>
                          <w:szCs w:val="22"/>
                        </w:rPr>
                      </w:pPr>
                      <w:r w:rsidRPr="00083B97">
                        <w:rPr>
                          <w:sz w:val="22"/>
                          <w:szCs w:val="22"/>
                        </w:rPr>
                        <w:t xml:space="preserve">Située sur la côte Occidentale de l’Afrique, la République de Guinée-Bissau est localisée entre les parallèles 10º 59´ et 12º 20´ Nord et les méridiens 13º 40´ et 13º 43´ Ouest. La Guinée Bissau est un pays lusophone qui s’étend sur un territoire de 36.125 km2.  </w:t>
                      </w:r>
                    </w:p>
                    <w:p w14:paraId="38460262" w14:textId="77777777" w:rsidR="005851EB" w:rsidRPr="00083B97" w:rsidRDefault="005851EB" w:rsidP="00093A98">
                      <w:pPr>
                        <w:spacing w:before="120" w:after="120"/>
                        <w:ind w:left="-142" w:right="-35"/>
                        <w:jc w:val="both"/>
                        <w:rPr>
                          <w:sz w:val="22"/>
                          <w:szCs w:val="22"/>
                        </w:rPr>
                      </w:pPr>
                      <w:r w:rsidRPr="00083B97">
                        <w:rPr>
                          <w:sz w:val="22"/>
                          <w:szCs w:val="22"/>
                        </w:rPr>
                        <w:t xml:space="preserve">Elle est limitée par le Sénégal au Nord, la Guinée Conakry à l’Est et au Sud, et l’Océan Atlantique à L’Ouest.  D’après les résultats préliminaires du RGPH, mené en mars 2009 par l’Institut National de la Statistique et du Recensement (INEC), la population totale du pays est estimée à 1.548.159 habitants, dont 755.859 sont de sexe masculin et 792.300 féminins. Le taux de croissance est de 2,54%, en augmentation par rapport aux données du recensement de l’année 1991 qui était de 2,03%, avec une population totale à l’époque de 979.203.  </w:t>
                      </w:r>
                    </w:p>
                    <w:p w14:paraId="70D62DB5" w14:textId="77777777" w:rsidR="005851EB" w:rsidRPr="00083B97" w:rsidRDefault="005851EB" w:rsidP="00093A98">
                      <w:pPr>
                        <w:spacing w:before="120" w:after="120"/>
                        <w:ind w:left="-142" w:right="-35"/>
                        <w:jc w:val="both"/>
                        <w:rPr>
                          <w:sz w:val="22"/>
                          <w:szCs w:val="22"/>
                        </w:rPr>
                      </w:pPr>
                      <w:r w:rsidRPr="00083B97">
                        <w:rPr>
                          <w:sz w:val="22"/>
                          <w:szCs w:val="22"/>
                        </w:rPr>
                        <w:t>Au plan administratif, le pays est divisé en huit régions et un secteur autonome (</w:t>
                      </w:r>
                      <w:r w:rsidRPr="00083B97">
                        <w:rPr>
                          <w:i/>
                          <w:iCs/>
                          <w:sz w:val="22"/>
                          <w:szCs w:val="22"/>
                        </w:rPr>
                        <w:t xml:space="preserve">Fig. </w:t>
                      </w:r>
                      <w:r>
                        <w:rPr>
                          <w:i/>
                          <w:iCs/>
                          <w:sz w:val="22"/>
                          <w:szCs w:val="22"/>
                        </w:rPr>
                        <w:t>4</w:t>
                      </w:r>
                      <w:r w:rsidRPr="00083B97">
                        <w:rPr>
                          <w:i/>
                          <w:iCs/>
                          <w:sz w:val="22"/>
                          <w:szCs w:val="22"/>
                        </w:rPr>
                        <w:t xml:space="preserve"> ci-dessous</w:t>
                      </w:r>
                      <w:r w:rsidRPr="00083B97">
                        <w:rPr>
                          <w:sz w:val="22"/>
                          <w:szCs w:val="22"/>
                        </w:rPr>
                        <w:t>) : Bafata, Biombo, Bolama/Bijagos, Cacheu, Gabu, Oio, Quinara, Tombali et le Secteur Autonome de Bissau. Les régions sont chacune divisée en secteurs (trente-six au total) et les secteurs sont quant à eux divisés en sections qui à leur tour sont composées de « Tabankas » (villages).</w:t>
                      </w:r>
                    </w:p>
                    <w:p w14:paraId="63A47D3A" w14:textId="77777777" w:rsidR="005851EB" w:rsidRDefault="005851EB" w:rsidP="00093A98">
                      <w:pPr>
                        <w:ind w:right="-35"/>
                      </w:pPr>
                    </w:p>
                  </w:txbxContent>
                </v:textbox>
                <w10:wrap type="square"/>
              </v:shape>
            </w:pict>
          </mc:Fallback>
        </mc:AlternateContent>
      </w:r>
    </w:p>
    <w:p w:rsidR="007C0EBB" w:rsidRPr="00A05698" w:rsidRDefault="007C0EBB" w:rsidP="004F4212">
      <w:pPr>
        <w:pStyle w:val="Primeiroavanodecorpodetexto2"/>
        <w:spacing w:line="240" w:lineRule="auto"/>
        <w:rPr>
          <w:rFonts w:ascii="Times New Roman" w:hAnsi="Times New Roman"/>
        </w:rPr>
        <w:sectPr w:rsidR="007C0EBB" w:rsidRPr="00A05698" w:rsidSect="00242A77">
          <w:pgSz w:w="16838" w:h="11906" w:orient="landscape"/>
          <w:pgMar w:top="1418" w:right="851" w:bottom="567" w:left="1134" w:header="284" w:footer="709" w:gutter="0"/>
          <w:cols w:space="708"/>
          <w:docGrid w:linePitch="360"/>
        </w:sectPr>
      </w:pPr>
      <w:bookmarkStart w:id="141" w:name="_Toc4770147"/>
    </w:p>
    <w:p w:rsidR="00A02BDD" w:rsidRPr="00A05698" w:rsidRDefault="009E776A" w:rsidP="008B5FD6">
      <w:pPr>
        <w:pStyle w:val="PargrafodaLista"/>
        <w:spacing w:after="0" w:line="240" w:lineRule="auto"/>
        <w:ind w:left="1068"/>
        <w:jc w:val="center"/>
        <w:outlineLvl w:val="1"/>
        <w:rPr>
          <w:rFonts w:ascii="Times New Roman" w:hAnsi="Times New Roman"/>
          <w:b/>
          <w:bCs/>
          <w:sz w:val="24"/>
          <w:szCs w:val="24"/>
        </w:rPr>
      </w:pPr>
      <w:bookmarkStart w:id="142" w:name="_Toc51084432"/>
      <w:bookmarkStart w:id="143" w:name="_Toc535396919"/>
      <w:bookmarkStart w:id="144" w:name="_Toc6310457"/>
      <w:bookmarkStart w:id="145" w:name="_Toc73459735"/>
      <w:bookmarkEnd w:id="141"/>
      <w:r w:rsidRPr="00A05698">
        <w:rPr>
          <w:rFonts w:ascii="Times New Roman" w:hAnsi="Times New Roman"/>
          <w:b/>
          <w:bCs/>
          <w:sz w:val="24"/>
          <w:szCs w:val="24"/>
        </w:rPr>
        <w:t>4.2</w:t>
      </w:r>
      <w:r w:rsidR="007C0EBB" w:rsidRPr="00A05698">
        <w:rPr>
          <w:rFonts w:ascii="Times New Roman" w:hAnsi="Times New Roman"/>
          <w:b/>
          <w:bCs/>
          <w:sz w:val="24"/>
          <w:szCs w:val="24"/>
        </w:rPr>
        <w:t>. ENVIRONNEMENT PHYSIQUE ET BIOPHYSIQUE DE LA ZONE D’INFLUENCE</w:t>
      </w:r>
      <w:bookmarkEnd w:id="142"/>
      <w:bookmarkEnd w:id="143"/>
      <w:bookmarkEnd w:id="144"/>
      <w:bookmarkEnd w:id="145"/>
    </w:p>
    <w:p w:rsidR="007C0EBB" w:rsidRPr="00A05698" w:rsidRDefault="00A02BDD"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46" w:name="_Toc535396922"/>
      <w:bookmarkStart w:id="147" w:name="_Toc6310460"/>
      <w:bookmarkStart w:id="148" w:name="_Toc51084433"/>
      <w:r w:rsidRPr="00A05698">
        <w:rPr>
          <w:rFonts w:ascii="Times New Roman" w:hAnsi="Times New Roman"/>
          <w:b/>
          <w:sz w:val="24"/>
          <w:szCs w:val="24"/>
        </w:rPr>
        <w:t>4.2</w:t>
      </w:r>
      <w:r w:rsidR="007C0EBB" w:rsidRPr="00A05698">
        <w:rPr>
          <w:rFonts w:ascii="Times New Roman" w:hAnsi="Times New Roman"/>
          <w:b/>
          <w:sz w:val="24"/>
          <w:szCs w:val="24"/>
        </w:rPr>
        <w:t>.1. Le Climat</w:t>
      </w:r>
      <w:bookmarkEnd w:id="146"/>
      <w:bookmarkEnd w:id="147"/>
      <w:bookmarkEnd w:id="148"/>
    </w:p>
    <w:p w:rsidR="007C0EBB" w:rsidRPr="00A05698" w:rsidRDefault="007C0EBB" w:rsidP="00A30571">
      <w:pPr>
        <w:spacing w:before="120" w:after="120"/>
        <w:ind w:left="-284" w:right="-851"/>
        <w:jc w:val="both"/>
      </w:pPr>
      <w:r w:rsidRPr="00A05698">
        <w:t xml:space="preserve">Les caractéristiques climatiques de la Guinée-Bissau résultent de </w:t>
      </w:r>
      <w:r w:rsidR="00445E1B" w:rsidRPr="00A05698">
        <w:t>sa</w:t>
      </w:r>
      <w:r w:rsidRPr="00A05698">
        <w:t xml:space="preserve"> position géographique. La Guinée-Bissau est située à la même distance entre l</w:t>
      </w:r>
      <w:r w:rsidR="00A05714" w:rsidRPr="00A05698">
        <w:t>’</w:t>
      </w:r>
      <w:r w:rsidRPr="00A05698">
        <w:t>équateur et le tropique du cancer et sur l</w:t>
      </w:r>
      <w:r w:rsidR="00A05714" w:rsidRPr="00A05698">
        <w:t>’</w:t>
      </w:r>
      <w:r w:rsidRPr="00A05698">
        <w:t>océan Atlantique, entre la vaste masse maritime de l</w:t>
      </w:r>
      <w:r w:rsidR="00A05714" w:rsidRPr="00A05698">
        <w:t>’</w:t>
      </w:r>
      <w:r w:rsidRPr="00A05698">
        <w:t>Atlantique Sud et le grand bloc continental du Sahara.</w:t>
      </w:r>
    </w:p>
    <w:p w:rsidR="007C0EBB" w:rsidRPr="00A05698" w:rsidRDefault="007C0EBB" w:rsidP="00A30571">
      <w:pPr>
        <w:spacing w:before="120" w:after="120"/>
        <w:ind w:left="-284" w:right="-851"/>
        <w:jc w:val="both"/>
      </w:pPr>
      <w:r w:rsidRPr="00A05698">
        <w:t>La zone du projet appartient à la zone Nord-Ouest (Bissau, Biombo, Cacheu et Oio) caractérisée par une moyenne annuelle de 1 400 à 1 800 mm.  Les températures oscillent entre 22°C et 38°C (moyenne mensuelle : 30°C) en avril et en mai (avant la période des pluies), entre 22°C et 30°C (moyenne mensuelle : 26°C) en août et septembre et entre 16°C et 32°C (moyenne mensuelle : 24°C) en décembre. Le climat de la Guinée Bissau est humide (humidité relative comprise entre 75 et 90%) dans le littoral du centre et du sud du territoire.</w:t>
      </w:r>
    </w:p>
    <w:p w:rsidR="007C0EBB" w:rsidRPr="00A05698" w:rsidRDefault="00042C78" w:rsidP="00A30571">
      <w:pPr>
        <w:spacing w:before="120" w:after="120"/>
        <w:ind w:left="-284" w:right="-851"/>
        <w:jc w:val="both"/>
      </w:pPr>
      <w:r w:rsidRPr="00A05698">
        <w:rPr>
          <w:rFonts w:eastAsia="Times New Roman"/>
          <w:noProof/>
          <w:color w:val="000000"/>
          <w:lang w:val="pt-PT" w:eastAsia="pt-PT"/>
        </w:rPr>
        <w:drawing>
          <wp:anchor distT="0" distB="0" distL="114300" distR="114300" simplePos="0" relativeHeight="251658253" behindDoc="1" locked="0" layoutInCell="1" allowOverlap="1" wp14:anchorId="0ED03A03" wp14:editId="654E315F">
            <wp:simplePos x="0" y="0"/>
            <wp:positionH relativeFrom="column">
              <wp:posOffset>-125095</wp:posOffset>
            </wp:positionH>
            <wp:positionV relativeFrom="paragraph">
              <wp:posOffset>243205</wp:posOffset>
            </wp:positionV>
            <wp:extent cx="6245860" cy="2809875"/>
            <wp:effectExtent l="25400" t="25400" r="27940" b="34925"/>
            <wp:wrapTight wrapText="bothSides">
              <wp:wrapPolygon edited="0">
                <wp:start x="-88" y="-195"/>
                <wp:lineTo x="-88" y="21673"/>
                <wp:lineTo x="21609" y="21673"/>
                <wp:lineTo x="21609" y="-195"/>
                <wp:lineTo x="-88" y="-195"/>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NG"/>
                    <pic:cNvPicPr/>
                  </pic:nvPicPr>
                  <pic:blipFill>
                    <a:blip r:embed="rId33" cstate="email">
                      <a:extLst>
                        <a:ext uri="{28A0092B-C50C-407E-A947-70E740481C1C}">
                          <a14:useLocalDpi xmlns:a14="http://schemas.microsoft.com/office/drawing/2010/main"/>
                        </a:ext>
                      </a:extLst>
                    </a:blip>
                    <a:stretch>
                      <a:fillRect/>
                    </a:stretch>
                  </pic:blipFill>
                  <pic:spPr>
                    <a:xfrm>
                      <a:off x="0" y="0"/>
                      <a:ext cx="6245860" cy="28098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C0EBB" w:rsidRPr="00A05698">
        <w:t xml:space="preserve">Le diagramme 1 ci-dessous donne les températures et précipitations moyennes, </w:t>
      </w:r>
    </w:p>
    <w:p w:rsidR="007C0EBB" w:rsidRPr="00A05698" w:rsidRDefault="002E421A" w:rsidP="008B5FD6">
      <w:pPr>
        <w:rPr>
          <w:i/>
          <w:iCs/>
          <w:color w:val="000000"/>
          <w:sz w:val="20"/>
          <w:szCs w:val="20"/>
        </w:rPr>
      </w:pPr>
      <w:r w:rsidRPr="00A05698">
        <w:rPr>
          <w:i/>
          <w:iCs/>
          <w:color w:val="2E2E2E"/>
          <w:sz w:val="20"/>
          <w:szCs w:val="20"/>
          <w:shd w:val="clear" w:color="auto" w:fill="F8F8F8"/>
        </w:rPr>
        <w:t xml:space="preserve">Source </w:t>
      </w:r>
      <w:r w:rsidR="007C0EBB" w:rsidRPr="00A05698">
        <w:rPr>
          <w:i/>
          <w:iCs/>
          <w:color w:val="2E2E2E"/>
          <w:sz w:val="20"/>
          <w:szCs w:val="20"/>
          <w:shd w:val="clear" w:color="auto" w:fill="F8F8F8"/>
        </w:rPr>
        <w:t xml:space="preserve">: </w:t>
      </w:r>
      <w:hyperlink r:id="rId34" w:history="1">
        <w:r w:rsidR="007C0EBB" w:rsidRPr="00A05698">
          <w:rPr>
            <w:rStyle w:val="Hiperligao"/>
            <w:i/>
            <w:iCs/>
            <w:sz w:val="20"/>
            <w:szCs w:val="20"/>
            <w:shd w:val="clear" w:color="auto" w:fill="F8F8F8"/>
          </w:rPr>
          <w:t>www.meteoblue.com/fr/meteo/prevision/modelclimate/bissau_guinée-bissau</w:t>
        </w:r>
      </w:hyperlink>
      <w:r w:rsidR="00076239" w:rsidRPr="00A05698">
        <w:rPr>
          <w:i/>
          <w:iCs/>
          <w:color w:val="2E2E2E"/>
          <w:sz w:val="20"/>
          <w:szCs w:val="20"/>
          <w:shd w:val="clear" w:color="auto" w:fill="F8F8F8"/>
        </w:rPr>
        <w:t xml:space="preserve"> (2021</w:t>
      </w:r>
      <w:r w:rsidR="007C0EBB" w:rsidRPr="00A05698">
        <w:rPr>
          <w:i/>
          <w:iCs/>
          <w:color w:val="2E2E2E"/>
          <w:sz w:val="20"/>
          <w:szCs w:val="20"/>
          <w:shd w:val="clear" w:color="auto" w:fill="F8F8F8"/>
        </w:rPr>
        <w:t>)</w:t>
      </w:r>
    </w:p>
    <w:p w:rsidR="007C0EBB" w:rsidRDefault="007C0EBB" w:rsidP="00076239">
      <w:pPr>
        <w:pStyle w:val="Legenda"/>
        <w:jc w:val="center"/>
      </w:pPr>
      <w:bookmarkStart w:id="149" w:name="_Toc73522798"/>
      <w:r w:rsidRPr="00A05698">
        <w:t xml:space="preserve">Diagramme  </w:t>
      </w:r>
      <w:r w:rsidR="001C4071">
        <w:fldChar w:fldCharType="begin"/>
      </w:r>
      <w:r w:rsidR="001C4071">
        <w:instrText xml:space="preserve"> </w:instrText>
      </w:r>
      <w:r w:rsidR="006C5620">
        <w:instrText>SEQ</w:instrText>
      </w:r>
      <w:r w:rsidR="001C4071">
        <w:instrText xml:space="preserve"> Diagramme_ \* ARABIC </w:instrText>
      </w:r>
      <w:r w:rsidR="001C4071">
        <w:fldChar w:fldCharType="separate"/>
      </w:r>
      <w:r w:rsidR="00D51AB3">
        <w:rPr>
          <w:noProof/>
        </w:rPr>
        <w:t>1</w:t>
      </w:r>
      <w:r w:rsidR="001C4071">
        <w:rPr>
          <w:noProof/>
        </w:rPr>
        <w:fldChar w:fldCharType="end"/>
      </w:r>
      <w:r w:rsidRPr="00A05698">
        <w:t>: Températures et précipitations moyennes</w:t>
      </w:r>
      <w:bookmarkEnd w:id="149"/>
    </w:p>
    <w:p w:rsidR="002B5A5D" w:rsidRDefault="002B5A5D" w:rsidP="00083B97">
      <w:pPr>
        <w:ind w:left="-284" w:right="-851"/>
        <w:jc w:val="both"/>
      </w:pPr>
    </w:p>
    <w:p w:rsidR="00054A4B" w:rsidRPr="00083B97" w:rsidRDefault="00402F07" w:rsidP="00157035">
      <w:pPr>
        <w:pStyle w:val="PargrafodaLista"/>
        <w:widowControl w:val="0"/>
        <w:numPr>
          <w:ilvl w:val="0"/>
          <w:numId w:val="144"/>
        </w:numPr>
        <w:autoSpaceDE w:val="0"/>
        <w:autoSpaceDN w:val="0"/>
        <w:adjustRightInd w:val="0"/>
        <w:spacing w:after="240" w:line="340" w:lineRule="atLeast"/>
        <w:rPr>
          <w:b/>
          <w:color w:val="000000"/>
          <w:lang w:eastAsia="en-US"/>
        </w:rPr>
      </w:pPr>
      <w:r w:rsidRPr="00083B97">
        <w:rPr>
          <w:rFonts w:ascii="Times New Roman" w:hAnsi="Times New Roman"/>
          <w:b/>
          <w:iCs/>
          <w:color w:val="000000"/>
          <w:sz w:val="24"/>
          <w:szCs w:val="24"/>
          <w:lang w:eastAsia="en-US"/>
        </w:rPr>
        <w:t>Changements</w:t>
      </w:r>
      <w:r w:rsidR="00054A4B" w:rsidRPr="00083B97">
        <w:rPr>
          <w:rFonts w:ascii="Times New Roman" w:hAnsi="Times New Roman"/>
          <w:b/>
          <w:iCs/>
          <w:color w:val="000000"/>
          <w:sz w:val="24"/>
          <w:szCs w:val="24"/>
          <w:lang w:eastAsia="en-US"/>
        </w:rPr>
        <w:t xml:space="preserve"> climatiques </w:t>
      </w:r>
    </w:p>
    <w:p w:rsidR="0048676E" w:rsidRPr="0048676E" w:rsidRDefault="0048676E" w:rsidP="00083B97">
      <w:pPr>
        <w:ind w:left="-284" w:right="-851"/>
        <w:jc w:val="both"/>
      </w:pPr>
      <w:r w:rsidRPr="0048676E">
        <w:t xml:space="preserve">En tenant compte des tendances actuelles dans l’atmosphère à l’échelle globale, le service de météorologie a projeté pour 2100, une diminution de la pluviométrie de 11,7%, une augmentation de la température de 2% et une augmentation du niveau moyen de la mer de 50 cm. Il est à noter qu’une diminution des ressources forestières peut empirer ce scénario, suite à une réduction de la séquestration de CO2, à une plus forte diminution de la pluviométrie et à une réduction des barrières naturelles contre l’avancée de la langue salée </w:t>
      </w:r>
      <w:r w:rsidR="005920EA">
        <w:t>(mangroves)</w:t>
      </w:r>
      <w:r w:rsidRPr="0048676E">
        <w:t xml:space="preserve">. En plus de la diminution des pluies au cours des dernières années et la sédimentation de certains fleuves (et leur diminution de débit), le phénomène d’avancée de la mer dans le sud du pays constitue un autre exemple de la grande vulnérabilité du territoire national. </w:t>
      </w:r>
    </w:p>
    <w:p w:rsidR="007C0EBB" w:rsidRPr="00A05698" w:rsidRDefault="006B1B0A"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50" w:name="_Toc535396923"/>
      <w:bookmarkStart w:id="151" w:name="_Toc6310461"/>
      <w:bookmarkStart w:id="152" w:name="_Toc51084434"/>
      <w:r w:rsidRPr="00A05698">
        <w:rPr>
          <w:rFonts w:ascii="Times New Roman" w:hAnsi="Times New Roman"/>
          <w:b/>
          <w:sz w:val="24"/>
          <w:szCs w:val="24"/>
        </w:rPr>
        <w:t>4</w:t>
      </w:r>
      <w:r w:rsidR="007C0EBB" w:rsidRPr="00A05698">
        <w:rPr>
          <w:rFonts w:ascii="Times New Roman" w:hAnsi="Times New Roman"/>
          <w:b/>
          <w:sz w:val="24"/>
          <w:szCs w:val="24"/>
        </w:rPr>
        <w:t>.3.2. Relief</w:t>
      </w:r>
      <w:bookmarkEnd w:id="150"/>
      <w:bookmarkEnd w:id="151"/>
      <w:bookmarkEnd w:id="152"/>
    </w:p>
    <w:p w:rsidR="007C0EBB" w:rsidRPr="00A05698" w:rsidRDefault="007C0EBB" w:rsidP="006B1B0A">
      <w:pPr>
        <w:spacing w:before="120" w:after="120"/>
        <w:ind w:left="-284" w:right="-851"/>
        <w:jc w:val="both"/>
      </w:pPr>
      <w:r w:rsidRPr="00A05698">
        <w:t>La Guinée-Bissau présente un relief très atténué, une importante partie du pays se trouvant au-dessous du quota des 50 m d</w:t>
      </w:r>
      <w:r w:rsidR="00A05714" w:rsidRPr="00A05698">
        <w:t>’</w:t>
      </w:r>
      <w:r w:rsidRPr="00A05698">
        <w:t xml:space="preserve">altitude. Les zones côtières nord et sud sont surtout des terres basses. Ainsi, les hautes amplitudes des marées qui se produisent et arrivent à atteindre les 6 m, exposent ainsi les larges aires des zones côtières. </w:t>
      </w:r>
    </w:p>
    <w:p w:rsidR="007C0EBB" w:rsidRPr="00A05698" w:rsidRDefault="007C0EBB" w:rsidP="006B1B0A">
      <w:pPr>
        <w:spacing w:before="120" w:after="120"/>
        <w:ind w:left="-284" w:right="-851"/>
        <w:jc w:val="both"/>
      </w:pPr>
      <w:r w:rsidRPr="00A05698">
        <w:t xml:space="preserve">Les plaines occupent une grande partie du territoire dans les régions centre et nord-est du pays. La zone intérieure sud-est de la Guinée-Bissau est la plus accidentée avec les collines de Boé, qui représente la partie la plus élevée du territoire avec une altitude de 298 m (Mota, 1954).  Les îles de l’Archipel des Bijagos présentent une morphologie semblable à la partie continentale du pays, avec une ligne côtière assez coupée et de basses altitudes. </w:t>
      </w:r>
    </w:p>
    <w:p w:rsidR="008C28C3" w:rsidRDefault="007C0EBB" w:rsidP="00B751FE">
      <w:pPr>
        <w:spacing w:before="120" w:after="120"/>
        <w:ind w:left="-284" w:right="-851"/>
        <w:jc w:val="both"/>
      </w:pPr>
      <w:r w:rsidRPr="00A05698">
        <w:t xml:space="preserve">La faible altitude de la majeure partie du territoire permet l’inondation de grandes extensions, des marges des cours d’eau et des plaines côtières, qui peuvent se maintenir pendant la saison des pluies ou même quelques semaines après son terme. </w:t>
      </w:r>
    </w:p>
    <w:p w:rsidR="007C0EBB" w:rsidRPr="00A05698" w:rsidRDefault="005E3994"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53" w:name="_Toc535396924"/>
      <w:bookmarkStart w:id="154" w:name="_Toc6310462"/>
      <w:bookmarkStart w:id="155" w:name="_Toc51084435"/>
      <w:r w:rsidRPr="00A05698">
        <w:rPr>
          <w:rFonts w:ascii="Times New Roman" w:hAnsi="Times New Roman"/>
          <w:b/>
          <w:sz w:val="24"/>
          <w:szCs w:val="24"/>
        </w:rPr>
        <w:t>4</w:t>
      </w:r>
      <w:r w:rsidR="007C0EBB" w:rsidRPr="00A05698">
        <w:rPr>
          <w:rFonts w:ascii="Times New Roman" w:hAnsi="Times New Roman"/>
          <w:b/>
          <w:sz w:val="24"/>
          <w:szCs w:val="24"/>
        </w:rPr>
        <w:t>.3.3. Géologie</w:t>
      </w:r>
      <w:bookmarkEnd w:id="153"/>
      <w:bookmarkEnd w:id="154"/>
      <w:bookmarkEnd w:id="155"/>
    </w:p>
    <w:p w:rsidR="005C5826" w:rsidRPr="00A05698" w:rsidRDefault="007C0EBB" w:rsidP="00CB2733">
      <w:pPr>
        <w:spacing w:before="120" w:after="120"/>
        <w:ind w:left="-284" w:right="-851"/>
        <w:jc w:val="both"/>
      </w:pPr>
      <w:r w:rsidRPr="00A05698">
        <w:t>Le site à l’étude s’encadre dans une zone alluvionnaire de canaux océaniques assis sur de la latérite du littoral et des îlots (affleurements littoraux de cuirasses latéritiques datant du CENOZOÏQUE QUATERNAIRE</w:t>
      </w:r>
      <w:r w:rsidR="00495BDB" w:rsidRPr="00A05698">
        <w:t>)</w:t>
      </w:r>
      <w:r w:rsidRPr="00A05698">
        <w:t>. C’est une formation composée d’une couche superficielle de sable et d’argile avec alternance de marne, grés, sable et calcaire. Le substrat est composé de roche dure typique du climat tropical. La stabilisation des agrégations en présence d’eau se produit par la combinaison de ces composantes par le revêtement de minéraux argileux qui agissent également comme des agents naturels entre les particules cimentaires. Les fractions de sable et de limon sont principalement composées de quartz, d’agrégats latéritiques (concrétions latéritiques) et, dans une moindre mesure, par des minéraux lourds.</w:t>
      </w:r>
    </w:p>
    <w:p w:rsidR="007C0EBB" w:rsidRPr="00083B97" w:rsidRDefault="005E3994" w:rsidP="004D5829">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56" w:name="_Toc532558488"/>
      <w:bookmarkStart w:id="157" w:name="_Toc535396925"/>
      <w:bookmarkStart w:id="158" w:name="_Toc6310463"/>
      <w:bookmarkStart w:id="159" w:name="_Toc51084436"/>
      <w:bookmarkStart w:id="160" w:name="_Hlk527138812"/>
      <w:r w:rsidRPr="00083B97">
        <w:rPr>
          <w:rFonts w:ascii="Times New Roman" w:hAnsi="Times New Roman"/>
          <w:b/>
          <w:sz w:val="24"/>
          <w:szCs w:val="24"/>
        </w:rPr>
        <w:t>4</w:t>
      </w:r>
      <w:r w:rsidR="007C0EBB" w:rsidRPr="00083B97">
        <w:rPr>
          <w:rFonts w:ascii="Times New Roman" w:hAnsi="Times New Roman"/>
          <w:b/>
          <w:sz w:val="24"/>
          <w:szCs w:val="24"/>
        </w:rPr>
        <w:t>.3.4. Le sol</w:t>
      </w:r>
      <w:bookmarkEnd w:id="156"/>
      <w:bookmarkEnd w:id="157"/>
      <w:bookmarkEnd w:id="158"/>
      <w:bookmarkEnd w:id="159"/>
    </w:p>
    <w:p w:rsidR="00CB2733" w:rsidRPr="00A05698" w:rsidRDefault="007C0EBB" w:rsidP="004D5829">
      <w:pPr>
        <w:spacing w:before="120" w:after="120"/>
        <w:ind w:left="-284" w:right="-851"/>
        <w:jc w:val="both"/>
      </w:pPr>
      <w:r w:rsidRPr="00A05698">
        <w:t xml:space="preserve">La Guinée-Bissau a principalement trois types de sols, à savoir les sols ferralitiques et ferrugineux tropicaux, occupent une superficie de 20 000 km2 correspondant à 62% de la surface émergée, lithosols, situés dans le centre-ouest - très peu développés, gravier ou pierres, de peu ou pas de valeur agricole. Les sols hydro morphes continentaux sont gris, occupant une superficie de 5 500 km2, soit environ 17% de la surface, environ 1 500 km2 formés sur des alluvions marines. Dans ce dernier cas, on distingue les sols en Secteur de Prabis qui protégés contre les inondations d’eau salée, sont considérés comme les meilleurs sols de l’Afrique de l’Ouest. </w:t>
      </w:r>
    </w:p>
    <w:p w:rsidR="007C0EBB" w:rsidRPr="00A05698" w:rsidRDefault="00AE4716"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61" w:name="_Toc6310464"/>
      <w:bookmarkStart w:id="162" w:name="_Toc51084437"/>
      <w:r w:rsidRPr="00A05698">
        <w:rPr>
          <w:rFonts w:ascii="Times New Roman" w:hAnsi="Times New Roman"/>
          <w:b/>
          <w:sz w:val="24"/>
          <w:szCs w:val="24"/>
        </w:rPr>
        <w:t>4</w:t>
      </w:r>
      <w:r w:rsidR="007C0EBB" w:rsidRPr="00A05698">
        <w:rPr>
          <w:rFonts w:ascii="Times New Roman" w:hAnsi="Times New Roman"/>
          <w:b/>
          <w:sz w:val="24"/>
          <w:szCs w:val="24"/>
        </w:rPr>
        <w:t>.3.5. L’Air</w:t>
      </w:r>
      <w:bookmarkEnd w:id="161"/>
      <w:bookmarkEnd w:id="162"/>
    </w:p>
    <w:p w:rsidR="007C0EBB" w:rsidRPr="00A05698" w:rsidRDefault="007C0EBB" w:rsidP="007D4136">
      <w:pPr>
        <w:spacing w:before="120" w:after="120"/>
        <w:ind w:left="-284" w:right="-851"/>
        <w:jc w:val="both"/>
      </w:pPr>
      <w:r w:rsidRPr="00A05698">
        <w:t>Ce compartiment de l’environnement n’a pas fait l’objet de prélèvement et d’analyse en laboratoire pour la détermination de la qualité de l’air. Cependant</w:t>
      </w:r>
      <w:r w:rsidR="00495BDB" w:rsidRPr="00A05698">
        <w:t>,</w:t>
      </w:r>
      <w:r w:rsidRPr="00A05698">
        <w:t xml:space="preserve"> les recherches documentaires que nous avons menées précisent que les émissions de CO2 au niveau de </w:t>
      </w:r>
      <w:r w:rsidR="00495BDB" w:rsidRPr="00A05698">
        <w:t>Bissau</w:t>
      </w:r>
      <w:r w:rsidRPr="00A05698">
        <w:t xml:space="preserve"> entre 2011 et 2015 sont d’environ 0.2 tonnes métriques par habitant (Indicateurs du développement dans le monde, </w:t>
      </w:r>
      <w:r w:rsidR="00495BDB" w:rsidRPr="00A05698">
        <w:t>data Bank</w:t>
      </w:r>
      <w:r w:rsidRPr="00A05698">
        <w:t>, banque mondiale 2019).</w:t>
      </w:r>
      <w:r w:rsidR="00495BDB" w:rsidRPr="00A05698">
        <w:t xml:space="preserve"> </w:t>
      </w:r>
      <w:r w:rsidRPr="00A05698">
        <w:t xml:space="preserve">En effet, le travail de terrain que nous avons mené durant cette étude montre que, dans la ville de Bissau, la poussière, les fumées des véhicules sont les sources de pollution de l’air. En </w:t>
      </w:r>
      <w:r w:rsidR="00495BDB" w:rsidRPr="00A05698">
        <w:t>outre</w:t>
      </w:r>
      <w:r w:rsidRPr="00A05698">
        <w:t xml:space="preserve">, malgré le développement du transport en commun par les minibus appelés « Toca-Toca », le nombre impressionnant de ses véhicules et de taxis villes surtout aux heures de pointe sur les principaux axes qui desservent la ville témoigne de l’ampleur du phénomène de pollution de l’air dans la ville. Cette situation est d’autant plus alarmante que la plupart de ces véhicules utilisent le gasoil, l’une des sources d’énergie les plus polluantes comme carburant. </w:t>
      </w:r>
    </w:p>
    <w:p w:rsidR="007C0EBB" w:rsidRPr="00A05698" w:rsidRDefault="007C0EBB" w:rsidP="007D4136">
      <w:pPr>
        <w:spacing w:before="120" w:after="120"/>
        <w:ind w:left="-284" w:right="-851"/>
        <w:jc w:val="both"/>
      </w:pPr>
      <w:r w:rsidRPr="00A05698">
        <w:t>De même, la plupart des routes qui desservent les quartiers et plusieurs grandes artères de la ville sont en latérite, ce qui est source de poussière lors des passages des véhicules.</w:t>
      </w:r>
    </w:p>
    <w:p w:rsidR="007C0EBB" w:rsidRPr="00A05698" w:rsidRDefault="00AE4716"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63" w:name="_Toc532558489"/>
      <w:bookmarkStart w:id="164" w:name="_Toc535396926"/>
      <w:bookmarkStart w:id="165" w:name="_Toc6310465"/>
      <w:bookmarkStart w:id="166" w:name="_Toc51084438"/>
      <w:r w:rsidRPr="00A05698">
        <w:rPr>
          <w:rFonts w:ascii="Times New Roman" w:hAnsi="Times New Roman"/>
          <w:b/>
          <w:sz w:val="24"/>
          <w:szCs w:val="24"/>
        </w:rPr>
        <w:t>4</w:t>
      </w:r>
      <w:r w:rsidR="007C0EBB" w:rsidRPr="00A05698">
        <w:rPr>
          <w:rFonts w:ascii="Times New Roman" w:hAnsi="Times New Roman"/>
          <w:b/>
          <w:sz w:val="24"/>
          <w:szCs w:val="24"/>
        </w:rPr>
        <w:t>.3.6. Hydrographie</w:t>
      </w:r>
      <w:bookmarkEnd w:id="163"/>
      <w:r w:rsidR="007C0EBB" w:rsidRPr="00A05698">
        <w:rPr>
          <w:rFonts w:ascii="Times New Roman" w:hAnsi="Times New Roman"/>
          <w:b/>
          <w:sz w:val="24"/>
          <w:szCs w:val="24"/>
        </w:rPr>
        <w:t xml:space="preserve"> et Hydrogéologie</w:t>
      </w:r>
      <w:bookmarkEnd w:id="164"/>
      <w:bookmarkEnd w:id="165"/>
      <w:bookmarkEnd w:id="166"/>
    </w:p>
    <w:p w:rsidR="007C0EBB" w:rsidRPr="00A05698" w:rsidRDefault="007C0EBB" w:rsidP="007D4136">
      <w:pPr>
        <w:spacing w:before="120" w:after="120"/>
        <w:ind w:left="-284" w:right="-851"/>
        <w:jc w:val="both"/>
      </w:pPr>
      <w:r w:rsidRPr="00A05698">
        <w:t>Le réseau hydrographique du pays est complexe et étendu, constitué par des cours d’eau courants et stagnants.  Outre le climat, il est conditionné par le nivellement d’une grande partie du territoire et par la transgression marine (Ribeiro, 1950 ; Teixeira, 1962). Des études spécialisées confirment la profonde interpénétration de la terre et de la mer, sur une distance qui varie de 150 à 175 km, introduisent ainsi de l’eau salée à l’intérieur des terres sous influence de la marée, cela caractérise l</w:t>
      </w:r>
      <w:r w:rsidR="00A05714" w:rsidRPr="00A05698">
        <w:t>’</w:t>
      </w:r>
      <w:r w:rsidRPr="00A05698">
        <w:t>existence d</w:t>
      </w:r>
      <w:r w:rsidR="00A05714" w:rsidRPr="00A05698">
        <w:t>’</w:t>
      </w:r>
      <w:r w:rsidRPr="00A05698">
        <w:t>estuaires dans la majeure partie des cas.</w:t>
      </w:r>
    </w:p>
    <w:p w:rsidR="007C0EBB" w:rsidRPr="00A05698" w:rsidRDefault="00377DE0" w:rsidP="007D4136">
      <w:pPr>
        <w:spacing w:before="120" w:after="120"/>
        <w:ind w:left="-284" w:right="-851"/>
        <w:jc w:val="both"/>
      </w:pPr>
      <w:r w:rsidRPr="00A05698">
        <w:rPr>
          <w:noProof/>
          <w:lang w:val="pt-PT" w:eastAsia="pt-PT"/>
        </w:rPr>
        <w:drawing>
          <wp:anchor distT="0" distB="0" distL="114300" distR="114300" simplePos="0" relativeHeight="251658274" behindDoc="1" locked="0" layoutInCell="1" allowOverlap="1" wp14:anchorId="03C8F0C4" wp14:editId="4EC94E38">
            <wp:simplePos x="0" y="0"/>
            <wp:positionH relativeFrom="column">
              <wp:posOffset>-148590</wp:posOffset>
            </wp:positionH>
            <wp:positionV relativeFrom="paragraph">
              <wp:posOffset>1130300</wp:posOffset>
            </wp:positionV>
            <wp:extent cx="6348095" cy="3644900"/>
            <wp:effectExtent l="25400" t="25400" r="27305" b="38100"/>
            <wp:wrapTight wrapText="bothSides">
              <wp:wrapPolygon edited="0">
                <wp:start x="-86" y="-151"/>
                <wp:lineTo x="-86" y="21675"/>
                <wp:lineTo x="21606" y="21675"/>
                <wp:lineTo x="21606" y="-151"/>
                <wp:lineTo x="-86" y="-151"/>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val="0"/>
                        </a:ext>
                      </a:extLst>
                    </a:blip>
                    <a:stretch>
                      <a:fillRect/>
                    </a:stretch>
                  </pic:blipFill>
                  <pic:spPr>
                    <a:xfrm>
                      <a:off x="0" y="0"/>
                      <a:ext cx="6348095" cy="364490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7C0EBB" w:rsidRPr="00A05698">
        <w:t>Les ressources en eau souterraines sont essentiellement utilisées pour le ravitaillement en eau potable, et, dans une certaine mesure, par certaines industries et fermes. Les baisses altitudes du territoire conjugués avec la forte amplitude de la marée font que l’effet de la marée se fait sentir jusqu’à 150 Km à l’intérieur du pays. Le pays dispose de ressources halieutiques marines et d’eau douce considérable avec une pluviométrie pouvant atteindre 2.500 mm de précipitations dans certaines z</w:t>
      </w:r>
      <w:r w:rsidR="00681BD5">
        <w:t>ones au sud du pays. La figure 8</w:t>
      </w:r>
      <w:r w:rsidR="007C0EBB" w:rsidRPr="00A05698">
        <w:t xml:space="preserve"> ci-dessous montre le réseau hydrographique de la guinée Bissau.</w:t>
      </w:r>
    </w:p>
    <w:p w:rsidR="007C0EBB" w:rsidRPr="00A05698" w:rsidRDefault="007C0EBB" w:rsidP="00745491">
      <w:pPr>
        <w:pStyle w:val="Legenda"/>
        <w:jc w:val="center"/>
      </w:pPr>
      <w:bookmarkStart w:id="167" w:name="_Toc4770176"/>
      <w:bookmarkStart w:id="168" w:name="_Toc34921335"/>
      <w:bookmarkStart w:id="169" w:name="_Toc73522786"/>
      <w:r w:rsidRPr="00A05698">
        <w:t xml:space="preserve">Figure </w:t>
      </w:r>
      <w:r w:rsidR="001C4071">
        <w:fldChar w:fldCharType="begin"/>
      </w:r>
      <w:r w:rsidR="001C4071">
        <w:instrText xml:space="preserve"> </w:instrText>
      </w:r>
      <w:r w:rsidR="006C5620">
        <w:instrText>SEQ</w:instrText>
      </w:r>
      <w:r w:rsidR="001C4071">
        <w:instrText xml:space="preserve"> Figure \* ARABIC </w:instrText>
      </w:r>
      <w:r w:rsidR="001C4071">
        <w:fldChar w:fldCharType="separate"/>
      </w:r>
      <w:r w:rsidR="00BE0248">
        <w:rPr>
          <w:noProof/>
        </w:rPr>
        <w:t>4</w:t>
      </w:r>
      <w:r w:rsidR="001C4071">
        <w:rPr>
          <w:noProof/>
        </w:rPr>
        <w:fldChar w:fldCharType="end"/>
      </w:r>
      <w:r w:rsidRPr="00A05698">
        <w:t xml:space="preserve"> : Réseau hydrographique de la Guinée-Bissau, adapté de G. Pennober, in 1ª CNSMC, 2004</w:t>
      </w:r>
      <w:bookmarkEnd w:id="167"/>
      <w:bookmarkEnd w:id="168"/>
      <w:bookmarkEnd w:id="169"/>
    </w:p>
    <w:p w:rsidR="007C0EBB" w:rsidRPr="00A05698" w:rsidRDefault="009A7392"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70" w:name="_Toc532558490"/>
      <w:bookmarkStart w:id="171" w:name="_Toc535396927"/>
      <w:bookmarkStart w:id="172" w:name="_Toc6310466"/>
      <w:bookmarkStart w:id="173" w:name="_Toc51084439"/>
      <w:r w:rsidRPr="00A05698">
        <w:rPr>
          <w:rFonts w:ascii="Times New Roman" w:hAnsi="Times New Roman"/>
          <w:b/>
          <w:sz w:val="24"/>
          <w:szCs w:val="24"/>
        </w:rPr>
        <w:t>4</w:t>
      </w:r>
      <w:r w:rsidR="007C0EBB" w:rsidRPr="00A05698">
        <w:rPr>
          <w:rFonts w:ascii="Times New Roman" w:hAnsi="Times New Roman"/>
          <w:b/>
          <w:sz w:val="24"/>
          <w:szCs w:val="24"/>
        </w:rPr>
        <w:t>.3.7. Disponibilité de la ressource en Eau</w:t>
      </w:r>
      <w:bookmarkEnd w:id="170"/>
      <w:bookmarkEnd w:id="171"/>
      <w:bookmarkEnd w:id="172"/>
      <w:bookmarkEnd w:id="173"/>
    </w:p>
    <w:p w:rsidR="007C0EBB" w:rsidRPr="00A05698" w:rsidRDefault="007C0EBB" w:rsidP="003C76AE">
      <w:pPr>
        <w:pStyle w:val="PargrafodaLista"/>
        <w:keepNext/>
        <w:numPr>
          <w:ilvl w:val="0"/>
          <w:numId w:val="30"/>
        </w:numPr>
        <w:spacing w:before="240" w:after="240" w:line="240" w:lineRule="auto"/>
        <w:ind w:right="284"/>
        <w:jc w:val="both"/>
        <w:rPr>
          <w:rFonts w:ascii="Times New Roman" w:hAnsi="Times New Roman"/>
          <w:b/>
          <w:sz w:val="24"/>
          <w:szCs w:val="24"/>
        </w:rPr>
      </w:pPr>
      <w:r w:rsidRPr="00A05698">
        <w:rPr>
          <w:rFonts w:ascii="Times New Roman" w:hAnsi="Times New Roman"/>
          <w:b/>
          <w:sz w:val="24"/>
          <w:szCs w:val="24"/>
        </w:rPr>
        <w:t>Eaux de surface</w:t>
      </w:r>
    </w:p>
    <w:p w:rsidR="007C0EBB" w:rsidRPr="00A05698" w:rsidRDefault="007C0EBB" w:rsidP="007D4136">
      <w:pPr>
        <w:spacing w:before="120" w:after="120"/>
        <w:ind w:left="-284" w:right="-851"/>
        <w:jc w:val="both"/>
      </w:pPr>
      <w:r w:rsidRPr="00A05698">
        <w:t>D’âpres la documentation obtenue par les services en charge de la gestion des eaux de surface et souterraine précise que la Guinée-Bissau</w:t>
      </w:r>
      <w:bookmarkEnd w:id="160"/>
      <w:r w:rsidRPr="00A05698">
        <w:t xml:space="preserve"> est coupée par plusieurs rivières, dont la plupart sont profondément traversées par la mer, ce qui donne l</w:t>
      </w:r>
      <w:r w:rsidR="00A05714" w:rsidRPr="00A05698">
        <w:t>’</w:t>
      </w:r>
      <w:r w:rsidRPr="00A05698">
        <w:t>impression que les marées se déroulent loin dans l</w:t>
      </w:r>
      <w:r w:rsidR="00A05714" w:rsidRPr="00A05698">
        <w:t>’</w:t>
      </w:r>
      <w:r w:rsidRPr="00A05698">
        <w:t>intérieur du pays. Du nord au sud, les principales rivières sont : la rivière Cacheu, la rivière Geba, la rivière Corubal, la rivière Tombal, la rivière Cumbija et la rivière Cacine, toutes comportant de nombreux affluents et sous-affluents. Presque toutes les rivières offrent d’énormes possibilités de navigation, ce qui est extrêmement important pour la communication dans un pays où les routes sont très peu nombreuses.</w:t>
      </w:r>
    </w:p>
    <w:p w:rsidR="007C0EBB" w:rsidRPr="00A05698" w:rsidRDefault="007C0EBB" w:rsidP="007D4136">
      <w:pPr>
        <w:spacing w:before="120" w:after="120"/>
        <w:ind w:left="-284" w:right="-851"/>
        <w:jc w:val="both"/>
      </w:pPr>
      <w:r w:rsidRPr="00A05698">
        <w:t>Les sources de pollution de ces eaux sont souvent l’agriculture, les ordures ménagères, le lessivage des sols et les faibles activités industrielles. Ceci fait que, avec les fortes précipitations caractérisées par une moyenne annuelle de 1 400 à 1 800 mm, les eaux de surface sont peu polluées.</w:t>
      </w:r>
    </w:p>
    <w:p w:rsidR="007C0EBB" w:rsidRPr="00A05698" w:rsidRDefault="007C0EBB" w:rsidP="007D4136">
      <w:pPr>
        <w:spacing w:before="120" w:after="120"/>
        <w:ind w:left="-284" w:right="-851"/>
        <w:jc w:val="both"/>
      </w:pPr>
      <w:r w:rsidRPr="00A05698">
        <w:t>Certaines de ces rivières sont des forages et des équipements d</w:t>
      </w:r>
      <w:r w:rsidR="00A05714" w:rsidRPr="00A05698">
        <w:t>’</w:t>
      </w:r>
      <w:r w:rsidRPr="00A05698">
        <w:t>eau douce pouvant alimenter les populations.</w:t>
      </w:r>
    </w:p>
    <w:p w:rsidR="007C0EBB" w:rsidRPr="00A05698" w:rsidRDefault="007C0EBB" w:rsidP="007D4136">
      <w:pPr>
        <w:spacing w:before="120" w:after="120"/>
        <w:ind w:left="-284" w:right="-851"/>
        <w:jc w:val="both"/>
      </w:pPr>
      <w:r w:rsidRPr="00A05698">
        <w:t>Du point de vue de la sécurité alimentaire, les rivières contribuent à améliorer le régime alimentaire des populations, qui extraient une grande quantité de poisson pour leur nourriture. </w:t>
      </w:r>
    </w:p>
    <w:p w:rsidR="007C0EBB" w:rsidRPr="00A05698" w:rsidRDefault="007C0EBB" w:rsidP="003C76AE">
      <w:pPr>
        <w:pStyle w:val="PargrafodaLista"/>
        <w:keepNext/>
        <w:numPr>
          <w:ilvl w:val="0"/>
          <w:numId w:val="30"/>
        </w:numPr>
        <w:spacing w:before="240" w:after="240" w:line="240" w:lineRule="auto"/>
        <w:ind w:right="284"/>
        <w:jc w:val="both"/>
        <w:rPr>
          <w:rFonts w:ascii="Times New Roman" w:hAnsi="Times New Roman"/>
          <w:b/>
          <w:sz w:val="24"/>
          <w:szCs w:val="24"/>
        </w:rPr>
      </w:pPr>
      <w:r w:rsidRPr="00A05698">
        <w:rPr>
          <w:rFonts w:ascii="Times New Roman" w:hAnsi="Times New Roman"/>
          <w:b/>
          <w:sz w:val="24"/>
          <w:szCs w:val="24"/>
        </w:rPr>
        <w:t>Eaux souterraines</w:t>
      </w:r>
    </w:p>
    <w:p w:rsidR="007C0EBB" w:rsidRPr="00A05698" w:rsidRDefault="007C0EBB" w:rsidP="007D4136">
      <w:pPr>
        <w:spacing w:before="120" w:after="120"/>
        <w:ind w:left="-284" w:right="-851"/>
        <w:jc w:val="both"/>
      </w:pPr>
      <w:r w:rsidRPr="00A05698">
        <w:t>Aujourd</w:t>
      </w:r>
      <w:r w:rsidR="00A05714" w:rsidRPr="00A05698">
        <w:t>’</w:t>
      </w:r>
      <w:r w:rsidRPr="00A05698">
        <w:t>hui, l</w:t>
      </w:r>
      <w:r w:rsidR="00A05714" w:rsidRPr="00A05698">
        <w:t>’</w:t>
      </w:r>
      <w:r w:rsidRPr="00A05698">
        <w:t>eau devient de plus en plus importante. De ce point de vue, la Guinée-Bissau est un pays riche en eau avec des précipitations d’environ 1800 mm par an. Toutefois, l’extrême concentration des pluies certains mois de l’année entraîne un manque d’eau pour la population pendant au moins la moitié de l’année, en particulier dans le Nord-Est du pays.</w:t>
      </w:r>
    </w:p>
    <w:p w:rsidR="007C0EBB" w:rsidRPr="00A05698" w:rsidRDefault="007C0EBB" w:rsidP="007D4136">
      <w:pPr>
        <w:spacing w:before="120" w:after="120"/>
        <w:ind w:left="-284" w:right="-851"/>
        <w:jc w:val="both"/>
      </w:pPr>
      <w:r w:rsidRPr="00A05698">
        <w:t>Ainsi, une écrasante population paysanne est laissée sans eau, et par conséquent sans travail de la terre pendant plus de la moitié de l</w:t>
      </w:r>
      <w:r w:rsidR="00A05714" w:rsidRPr="00A05698">
        <w:t>’</w:t>
      </w:r>
      <w:r w:rsidRPr="00A05698">
        <w:t>année, ce qui renforce la nécessité de mieux utiliser l</w:t>
      </w:r>
      <w:r w:rsidR="00A05714" w:rsidRPr="00A05698">
        <w:t>’</w:t>
      </w:r>
      <w:r w:rsidRPr="00A05698">
        <w:t>eau de pluie s</w:t>
      </w:r>
      <w:r w:rsidR="00A05714" w:rsidRPr="00A05698">
        <w:t>’</w:t>
      </w:r>
      <w:r w:rsidRPr="00A05698">
        <w:t xml:space="preserve">écoulant dans les petites vallées et les nappes souterraines de chaque pays, assurant ainsi l’approvisionnement en eau de la population et les cultures irriguées en période de sécheresse. La réalité est qu’il y a un gros effort à faire en termes d’extension du réseau d’eau, de multiplication du fourrage au niveau de la région de Biombo et principalement Prabis. </w:t>
      </w:r>
    </w:p>
    <w:p w:rsidR="007C0EBB" w:rsidRPr="00A05698" w:rsidRDefault="009A7392"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74" w:name="_Toc535396928"/>
      <w:bookmarkStart w:id="175" w:name="_Toc6310468"/>
      <w:bookmarkStart w:id="176" w:name="_Toc51084440"/>
      <w:r w:rsidRPr="00A05698">
        <w:rPr>
          <w:rFonts w:ascii="Times New Roman" w:hAnsi="Times New Roman"/>
          <w:b/>
          <w:sz w:val="24"/>
          <w:szCs w:val="24"/>
        </w:rPr>
        <w:t>4</w:t>
      </w:r>
      <w:r w:rsidR="007C0EBB" w:rsidRPr="00A05698">
        <w:rPr>
          <w:rFonts w:ascii="Times New Roman" w:hAnsi="Times New Roman"/>
          <w:b/>
          <w:sz w:val="24"/>
          <w:szCs w:val="24"/>
        </w:rPr>
        <w:t>.3.8. Couvertures végétales et ressources forestières</w:t>
      </w:r>
      <w:bookmarkEnd w:id="174"/>
      <w:bookmarkEnd w:id="175"/>
      <w:bookmarkEnd w:id="176"/>
    </w:p>
    <w:p w:rsidR="007C0EBB" w:rsidRPr="001A3951" w:rsidRDefault="007C0EBB" w:rsidP="001A3951">
      <w:pPr>
        <w:spacing w:before="120" w:after="120"/>
        <w:ind w:left="-284" w:right="-851"/>
        <w:jc w:val="both"/>
      </w:pPr>
      <w:r w:rsidRPr="00A05698">
        <w:t xml:space="preserve">Des consultations des services </w:t>
      </w:r>
      <w:r w:rsidR="00F7107C">
        <w:t xml:space="preserve">(IBAP, </w:t>
      </w:r>
      <w:r w:rsidR="00604B1B" w:rsidRPr="001A3951">
        <w:t>Direction Générale de la Faune et Flore</w:t>
      </w:r>
      <w:r w:rsidR="001A3951" w:rsidRPr="001A3951">
        <w:t xml:space="preserve">) </w:t>
      </w:r>
      <w:r w:rsidRPr="00A05698">
        <w:t>ont permis de collecter la documentation existante des données sur la couverture végétale et les ressources</w:t>
      </w:r>
      <w:r w:rsidR="001A3951">
        <w:t xml:space="preserve"> </w:t>
      </w:r>
      <w:r w:rsidRPr="00A05698">
        <w:t>forestières dans les zones influences.</w:t>
      </w:r>
    </w:p>
    <w:p w:rsidR="007C0EBB" w:rsidRPr="00A05698" w:rsidRDefault="007C0EBB" w:rsidP="007D4136">
      <w:pPr>
        <w:spacing w:before="120" w:after="120"/>
        <w:ind w:left="-284" w:right="-851"/>
        <w:jc w:val="both"/>
      </w:pPr>
      <w:r w:rsidRPr="00A05698">
        <w:t xml:space="preserve">C’est ainsi qu’il a été noté que les bois qui dominent en région de Biombo sont les palmiers et le bâton de poilão Bissilão. Il représente la majeure partie des bois exportés et consommés sur le marché local. Les principales ressources forestières sont situées au Sud et au Nord de </w:t>
      </w:r>
      <w:r w:rsidR="00561D67" w:rsidRPr="00A05698">
        <w:t>Bafata</w:t>
      </w:r>
      <w:r w:rsidRPr="00A05698">
        <w:t xml:space="preserve"> (la seule zone rationnellement exploitée), entre le fleuve Cacheu et la frontière </w:t>
      </w:r>
      <w:r w:rsidR="00891849">
        <w:t>Sénégal</w:t>
      </w:r>
      <w:r w:rsidRPr="00A05698">
        <w:t>aise, ainsi que dans les régions de Quinara et de Tombali.</w:t>
      </w:r>
    </w:p>
    <w:p w:rsidR="006D420E" w:rsidRPr="006D420E" w:rsidRDefault="007C0EBB" w:rsidP="006D420E">
      <w:pPr>
        <w:spacing w:before="120" w:after="120"/>
        <w:ind w:left="-284" w:right="-851"/>
        <w:jc w:val="both"/>
      </w:pPr>
      <w:r w:rsidRPr="00A05698">
        <w:t xml:space="preserve">Selon les études réalisées dans le cadre </w:t>
      </w:r>
      <w:r w:rsidR="00E55CE7">
        <w:t>de l’</w:t>
      </w:r>
      <w:r w:rsidR="00E55CE7" w:rsidRPr="006D420E">
        <w:t xml:space="preserve">évaluation des ressources </w:t>
      </w:r>
      <w:r w:rsidR="00137965" w:rsidRPr="006D420E">
        <w:t>forestières</w:t>
      </w:r>
      <w:r w:rsidR="00E55CE7" w:rsidRPr="006D420E">
        <w:t xml:space="preserve"> mondiales 2010</w:t>
      </w:r>
      <w:r w:rsidR="00E55CE7">
        <w:t xml:space="preserve"> en Guinée Bissau par le département des forets d</w:t>
      </w:r>
      <w:r w:rsidR="00137965">
        <w:t>e la FAO</w:t>
      </w:r>
      <w:r w:rsidR="00982C09">
        <w:t>,</w:t>
      </w:r>
      <w:r w:rsidR="00B86BA2">
        <w:t xml:space="preserve"> on peut noter ces données ci-dessous :</w:t>
      </w:r>
    </w:p>
    <w:tbl>
      <w:tblPr>
        <w:tblW w:w="9420" w:type="dxa"/>
        <w:jc w:val="center"/>
        <w:tblLayout w:type="fixed"/>
        <w:tblCellMar>
          <w:left w:w="0" w:type="dxa"/>
          <w:right w:w="0" w:type="dxa"/>
        </w:tblCellMar>
        <w:tblLook w:val="04A0" w:firstRow="1" w:lastRow="0" w:firstColumn="1" w:lastColumn="0" w:noHBand="0" w:noVBand="1"/>
      </w:tblPr>
      <w:tblGrid>
        <w:gridCol w:w="146"/>
        <w:gridCol w:w="3371"/>
        <w:gridCol w:w="167"/>
        <w:gridCol w:w="102"/>
        <w:gridCol w:w="1173"/>
        <w:gridCol w:w="147"/>
        <w:gridCol w:w="122"/>
        <w:gridCol w:w="1148"/>
        <w:gridCol w:w="147"/>
        <w:gridCol w:w="122"/>
        <w:gridCol w:w="1173"/>
        <w:gridCol w:w="147"/>
        <w:gridCol w:w="98"/>
        <w:gridCol w:w="1173"/>
        <w:gridCol w:w="147"/>
        <w:gridCol w:w="37"/>
      </w:tblGrid>
      <w:tr w:rsidR="00277292" w:rsidTr="000516EA">
        <w:trPr>
          <w:trHeight w:val="197"/>
          <w:jc w:val="center"/>
        </w:trPr>
        <w:tc>
          <w:tcPr>
            <w:tcW w:w="146" w:type="dxa"/>
            <w:tcBorders>
              <w:top w:val="single" w:sz="8" w:space="0" w:color="auto"/>
              <w:left w:val="single" w:sz="8" w:space="0" w:color="auto"/>
            </w:tcBorders>
            <w:shd w:val="clear" w:color="auto" w:fill="CCFFCC"/>
            <w:vAlign w:val="bottom"/>
          </w:tcPr>
          <w:p w:rsidR="00B86BA2" w:rsidRDefault="00B86BA2" w:rsidP="00654E14">
            <w:pPr>
              <w:rPr>
                <w:sz w:val="17"/>
                <w:szCs w:val="17"/>
              </w:rPr>
            </w:pPr>
          </w:p>
        </w:tc>
        <w:tc>
          <w:tcPr>
            <w:tcW w:w="3371" w:type="dxa"/>
            <w:tcBorders>
              <w:top w:val="single" w:sz="8" w:space="0" w:color="auto"/>
            </w:tcBorders>
            <w:shd w:val="clear" w:color="auto" w:fill="CCFFCC"/>
            <w:vAlign w:val="bottom"/>
          </w:tcPr>
          <w:p w:rsidR="00B86BA2" w:rsidRDefault="00B86BA2" w:rsidP="00654E14">
            <w:pPr>
              <w:rPr>
                <w:sz w:val="17"/>
                <w:szCs w:val="17"/>
              </w:rPr>
            </w:pPr>
          </w:p>
        </w:tc>
        <w:tc>
          <w:tcPr>
            <w:tcW w:w="167" w:type="dxa"/>
            <w:tcBorders>
              <w:top w:val="single" w:sz="8" w:space="0" w:color="auto"/>
              <w:right w:val="single" w:sz="8" w:space="0" w:color="auto"/>
            </w:tcBorders>
            <w:shd w:val="clear" w:color="auto" w:fill="CCFFCC"/>
            <w:vAlign w:val="bottom"/>
          </w:tcPr>
          <w:p w:rsidR="00B86BA2" w:rsidRDefault="00B86BA2" w:rsidP="00654E14">
            <w:pPr>
              <w:rPr>
                <w:sz w:val="17"/>
                <w:szCs w:val="17"/>
              </w:rPr>
            </w:pPr>
          </w:p>
        </w:tc>
        <w:tc>
          <w:tcPr>
            <w:tcW w:w="102" w:type="dxa"/>
            <w:tcBorders>
              <w:top w:val="single" w:sz="8" w:space="0" w:color="auto"/>
            </w:tcBorders>
            <w:shd w:val="clear" w:color="auto" w:fill="CCFFCC"/>
            <w:vAlign w:val="bottom"/>
          </w:tcPr>
          <w:p w:rsidR="00B86BA2" w:rsidRDefault="00B86BA2" w:rsidP="00654E14">
            <w:pPr>
              <w:rPr>
                <w:sz w:val="17"/>
                <w:szCs w:val="17"/>
              </w:rPr>
            </w:pPr>
          </w:p>
        </w:tc>
        <w:tc>
          <w:tcPr>
            <w:tcW w:w="1173" w:type="dxa"/>
            <w:tcBorders>
              <w:top w:val="single" w:sz="8" w:space="0" w:color="auto"/>
            </w:tcBorders>
            <w:shd w:val="clear" w:color="auto" w:fill="CCFFCC"/>
            <w:vAlign w:val="bottom"/>
          </w:tcPr>
          <w:p w:rsidR="00B86BA2" w:rsidRDefault="00B86BA2" w:rsidP="00654E14">
            <w:pPr>
              <w:rPr>
                <w:sz w:val="17"/>
                <w:szCs w:val="17"/>
              </w:rPr>
            </w:pPr>
          </w:p>
        </w:tc>
        <w:tc>
          <w:tcPr>
            <w:tcW w:w="147" w:type="dxa"/>
            <w:tcBorders>
              <w:top w:val="single" w:sz="8" w:space="0" w:color="auto"/>
              <w:right w:val="single" w:sz="8" w:space="0" w:color="CCFFCC"/>
            </w:tcBorders>
            <w:shd w:val="clear" w:color="auto" w:fill="CCFFCC"/>
            <w:vAlign w:val="bottom"/>
          </w:tcPr>
          <w:p w:rsidR="00B86BA2" w:rsidRDefault="00B86BA2" w:rsidP="00654E14">
            <w:pPr>
              <w:rPr>
                <w:sz w:val="17"/>
                <w:szCs w:val="17"/>
              </w:rPr>
            </w:pPr>
          </w:p>
        </w:tc>
        <w:tc>
          <w:tcPr>
            <w:tcW w:w="2859" w:type="dxa"/>
            <w:gridSpan w:val="6"/>
            <w:vMerge w:val="restart"/>
            <w:tcBorders>
              <w:top w:val="single" w:sz="8" w:space="0" w:color="auto"/>
              <w:right w:val="single" w:sz="8" w:space="0" w:color="CCFFCC"/>
            </w:tcBorders>
            <w:shd w:val="clear" w:color="auto" w:fill="CCFFCC"/>
            <w:vAlign w:val="bottom"/>
          </w:tcPr>
          <w:p w:rsidR="00B86BA2" w:rsidRDefault="00B86BA2" w:rsidP="00654E14">
            <w:pPr>
              <w:ind w:left="40"/>
              <w:rPr>
                <w:sz w:val="20"/>
                <w:szCs w:val="20"/>
              </w:rPr>
            </w:pPr>
            <w:r>
              <w:rPr>
                <w:rFonts w:eastAsia="Times New Roman"/>
                <w:b/>
                <w:bCs/>
                <w:sz w:val="20"/>
                <w:szCs w:val="20"/>
              </w:rPr>
              <w:t>Superficie (1000 hectares)</w:t>
            </w:r>
          </w:p>
        </w:tc>
        <w:tc>
          <w:tcPr>
            <w:tcW w:w="98" w:type="dxa"/>
            <w:tcBorders>
              <w:top w:val="single" w:sz="8" w:space="0" w:color="auto"/>
            </w:tcBorders>
            <w:shd w:val="clear" w:color="auto" w:fill="CCFFCC"/>
            <w:vAlign w:val="bottom"/>
          </w:tcPr>
          <w:p w:rsidR="00B86BA2" w:rsidRDefault="00B86BA2" w:rsidP="00654E14">
            <w:pPr>
              <w:rPr>
                <w:sz w:val="17"/>
                <w:szCs w:val="17"/>
              </w:rPr>
            </w:pPr>
          </w:p>
        </w:tc>
        <w:tc>
          <w:tcPr>
            <w:tcW w:w="1173" w:type="dxa"/>
            <w:tcBorders>
              <w:top w:val="single" w:sz="8" w:space="0" w:color="auto"/>
            </w:tcBorders>
            <w:shd w:val="clear" w:color="auto" w:fill="CCFFCC"/>
            <w:vAlign w:val="bottom"/>
          </w:tcPr>
          <w:p w:rsidR="00B86BA2" w:rsidRDefault="00B86BA2" w:rsidP="00654E14">
            <w:pPr>
              <w:rPr>
                <w:sz w:val="17"/>
                <w:szCs w:val="17"/>
              </w:rPr>
            </w:pPr>
          </w:p>
        </w:tc>
        <w:tc>
          <w:tcPr>
            <w:tcW w:w="147" w:type="dxa"/>
            <w:tcBorders>
              <w:top w:val="single" w:sz="8" w:space="0" w:color="auto"/>
              <w:right w:val="single" w:sz="8" w:space="0" w:color="auto"/>
            </w:tcBorders>
            <w:shd w:val="clear" w:color="auto" w:fill="CCFFCC"/>
            <w:vAlign w:val="bottom"/>
          </w:tcPr>
          <w:p w:rsidR="00B86BA2" w:rsidRDefault="00B86BA2" w:rsidP="00654E14">
            <w:pPr>
              <w:rPr>
                <w:sz w:val="17"/>
                <w:szCs w:val="17"/>
              </w:rPr>
            </w:pPr>
          </w:p>
        </w:tc>
        <w:tc>
          <w:tcPr>
            <w:tcW w:w="37" w:type="dxa"/>
            <w:vAlign w:val="bottom"/>
          </w:tcPr>
          <w:p w:rsidR="00B86BA2" w:rsidRDefault="00B86BA2" w:rsidP="00654E14">
            <w:pPr>
              <w:rPr>
                <w:sz w:val="1"/>
                <w:szCs w:val="1"/>
              </w:rPr>
            </w:pPr>
          </w:p>
        </w:tc>
      </w:tr>
      <w:tr w:rsidR="00277292" w:rsidTr="000516EA">
        <w:trPr>
          <w:trHeight w:val="96"/>
          <w:jc w:val="center"/>
        </w:trPr>
        <w:tc>
          <w:tcPr>
            <w:tcW w:w="146" w:type="dxa"/>
            <w:tcBorders>
              <w:left w:val="single" w:sz="8" w:space="0" w:color="auto"/>
              <w:bottom w:val="single" w:sz="8" w:space="0" w:color="CCFFCC"/>
            </w:tcBorders>
            <w:shd w:val="clear" w:color="auto" w:fill="CCFFCC"/>
            <w:vAlign w:val="bottom"/>
          </w:tcPr>
          <w:p w:rsidR="00B86BA2" w:rsidRDefault="00B86BA2" w:rsidP="00654E14">
            <w:pPr>
              <w:rPr>
                <w:sz w:val="8"/>
                <w:szCs w:val="8"/>
              </w:rPr>
            </w:pPr>
          </w:p>
        </w:tc>
        <w:tc>
          <w:tcPr>
            <w:tcW w:w="3371" w:type="dxa"/>
            <w:vMerge w:val="restart"/>
            <w:tcBorders>
              <w:bottom w:val="single" w:sz="8" w:space="0" w:color="CCFFCC"/>
            </w:tcBorders>
            <w:shd w:val="clear" w:color="auto" w:fill="CCFFCC"/>
            <w:vAlign w:val="bottom"/>
          </w:tcPr>
          <w:p w:rsidR="00B86BA2" w:rsidRDefault="00B86BA2" w:rsidP="00654E14">
            <w:pPr>
              <w:spacing w:line="227" w:lineRule="exact"/>
              <w:rPr>
                <w:sz w:val="20"/>
                <w:szCs w:val="20"/>
              </w:rPr>
            </w:pPr>
            <w:r>
              <w:rPr>
                <w:rFonts w:eastAsia="Times New Roman"/>
                <w:b/>
                <w:bCs/>
                <w:sz w:val="20"/>
                <w:szCs w:val="20"/>
              </w:rPr>
              <w:t>Catégories de FRA 2010</w:t>
            </w:r>
          </w:p>
        </w:tc>
        <w:tc>
          <w:tcPr>
            <w:tcW w:w="167" w:type="dxa"/>
            <w:tcBorders>
              <w:bottom w:val="single" w:sz="8" w:space="0" w:color="CCFFCC"/>
              <w:right w:val="single" w:sz="8" w:space="0" w:color="auto"/>
            </w:tcBorders>
            <w:shd w:val="clear" w:color="auto" w:fill="CCFFCC"/>
            <w:vAlign w:val="bottom"/>
          </w:tcPr>
          <w:p w:rsidR="00B86BA2" w:rsidRDefault="00B86BA2" w:rsidP="00654E14">
            <w:pPr>
              <w:rPr>
                <w:sz w:val="8"/>
                <w:szCs w:val="8"/>
              </w:rPr>
            </w:pPr>
          </w:p>
        </w:tc>
        <w:tc>
          <w:tcPr>
            <w:tcW w:w="102" w:type="dxa"/>
            <w:tcBorders>
              <w:bottom w:val="single" w:sz="8" w:space="0" w:color="auto"/>
            </w:tcBorders>
            <w:shd w:val="clear" w:color="auto" w:fill="CCFFCC"/>
            <w:vAlign w:val="bottom"/>
          </w:tcPr>
          <w:p w:rsidR="00B86BA2" w:rsidRDefault="00B86BA2" w:rsidP="00654E14">
            <w:pPr>
              <w:rPr>
                <w:sz w:val="8"/>
                <w:szCs w:val="8"/>
              </w:rPr>
            </w:pPr>
          </w:p>
        </w:tc>
        <w:tc>
          <w:tcPr>
            <w:tcW w:w="1173" w:type="dxa"/>
            <w:tcBorders>
              <w:bottom w:val="single" w:sz="8" w:space="0" w:color="auto"/>
            </w:tcBorders>
            <w:shd w:val="clear" w:color="auto" w:fill="CCFFCC"/>
            <w:vAlign w:val="bottom"/>
          </w:tcPr>
          <w:p w:rsidR="00B86BA2" w:rsidRDefault="00B86BA2" w:rsidP="00654E14">
            <w:pPr>
              <w:rPr>
                <w:sz w:val="8"/>
                <w:szCs w:val="8"/>
              </w:rPr>
            </w:pPr>
          </w:p>
        </w:tc>
        <w:tc>
          <w:tcPr>
            <w:tcW w:w="147" w:type="dxa"/>
            <w:tcBorders>
              <w:bottom w:val="single" w:sz="8" w:space="0" w:color="auto"/>
              <w:right w:val="single" w:sz="8" w:space="0" w:color="CCFFCC"/>
            </w:tcBorders>
            <w:shd w:val="clear" w:color="auto" w:fill="CCFFCC"/>
            <w:vAlign w:val="bottom"/>
          </w:tcPr>
          <w:p w:rsidR="00B86BA2" w:rsidRDefault="00B86BA2" w:rsidP="00654E14">
            <w:pPr>
              <w:rPr>
                <w:sz w:val="8"/>
                <w:szCs w:val="8"/>
              </w:rPr>
            </w:pPr>
          </w:p>
        </w:tc>
        <w:tc>
          <w:tcPr>
            <w:tcW w:w="2859" w:type="dxa"/>
            <w:gridSpan w:val="6"/>
            <w:vMerge/>
            <w:tcBorders>
              <w:bottom w:val="single" w:sz="8" w:space="0" w:color="auto"/>
              <w:right w:val="single" w:sz="8" w:space="0" w:color="CCFFCC"/>
            </w:tcBorders>
            <w:shd w:val="clear" w:color="auto" w:fill="CCFFCC"/>
            <w:vAlign w:val="bottom"/>
          </w:tcPr>
          <w:p w:rsidR="00B86BA2" w:rsidRDefault="00B86BA2" w:rsidP="00654E14">
            <w:pPr>
              <w:rPr>
                <w:sz w:val="8"/>
                <w:szCs w:val="8"/>
              </w:rPr>
            </w:pPr>
          </w:p>
        </w:tc>
        <w:tc>
          <w:tcPr>
            <w:tcW w:w="98" w:type="dxa"/>
            <w:tcBorders>
              <w:bottom w:val="single" w:sz="8" w:space="0" w:color="auto"/>
            </w:tcBorders>
            <w:shd w:val="clear" w:color="auto" w:fill="CCFFCC"/>
            <w:vAlign w:val="bottom"/>
          </w:tcPr>
          <w:p w:rsidR="00B86BA2" w:rsidRDefault="00B86BA2" w:rsidP="00654E14">
            <w:pPr>
              <w:rPr>
                <w:sz w:val="8"/>
                <w:szCs w:val="8"/>
              </w:rPr>
            </w:pPr>
          </w:p>
        </w:tc>
        <w:tc>
          <w:tcPr>
            <w:tcW w:w="1173" w:type="dxa"/>
            <w:tcBorders>
              <w:bottom w:val="single" w:sz="8" w:space="0" w:color="auto"/>
            </w:tcBorders>
            <w:shd w:val="clear" w:color="auto" w:fill="CCFFCC"/>
            <w:vAlign w:val="bottom"/>
          </w:tcPr>
          <w:p w:rsidR="00B86BA2" w:rsidRDefault="00B86BA2" w:rsidP="00654E14">
            <w:pPr>
              <w:rPr>
                <w:sz w:val="8"/>
                <w:szCs w:val="8"/>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8"/>
                <w:szCs w:val="8"/>
              </w:rPr>
            </w:pPr>
          </w:p>
        </w:tc>
        <w:tc>
          <w:tcPr>
            <w:tcW w:w="37" w:type="dxa"/>
            <w:vAlign w:val="bottom"/>
          </w:tcPr>
          <w:p w:rsidR="00B86BA2" w:rsidRDefault="00B86BA2" w:rsidP="00654E14">
            <w:pPr>
              <w:rPr>
                <w:sz w:val="1"/>
                <w:szCs w:val="1"/>
              </w:rPr>
            </w:pPr>
          </w:p>
        </w:tc>
      </w:tr>
      <w:tr w:rsidR="00B86BA2" w:rsidTr="000516EA">
        <w:trPr>
          <w:trHeight w:val="111"/>
          <w:jc w:val="center"/>
        </w:trPr>
        <w:tc>
          <w:tcPr>
            <w:tcW w:w="146" w:type="dxa"/>
            <w:tcBorders>
              <w:top w:val="single" w:sz="8" w:space="0" w:color="CCFFCC"/>
              <w:left w:val="single" w:sz="8" w:space="0" w:color="auto"/>
            </w:tcBorders>
            <w:shd w:val="clear" w:color="auto" w:fill="CCFFCC"/>
            <w:vAlign w:val="bottom"/>
          </w:tcPr>
          <w:p w:rsidR="00B86BA2" w:rsidRDefault="00B86BA2" w:rsidP="00654E14">
            <w:pPr>
              <w:rPr>
                <w:sz w:val="9"/>
                <w:szCs w:val="9"/>
              </w:rPr>
            </w:pPr>
          </w:p>
        </w:tc>
        <w:tc>
          <w:tcPr>
            <w:tcW w:w="3371" w:type="dxa"/>
            <w:vMerge/>
            <w:tcBorders>
              <w:top w:val="single" w:sz="8" w:space="0" w:color="CCFFCC"/>
            </w:tcBorders>
            <w:shd w:val="clear" w:color="auto" w:fill="CCFFCC"/>
            <w:vAlign w:val="bottom"/>
          </w:tcPr>
          <w:p w:rsidR="00B86BA2" w:rsidRDefault="00B86BA2" w:rsidP="00654E14">
            <w:pPr>
              <w:rPr>
                <w:sz w:val="9"/>
                <w:szCs w:val="9"/>
              </w:rPr>
            </w:pPr>
          </w:p>
        </w:tc>
        <w:tc>
          <w:tcPr>
            <w:tcW w:w="167"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102" w:type="dxa"/>
            <w:tcBorders>
              <w:top w:val="single" w:sz="8" w:space="0" w:color="CCFFCC"/>
            </w:tcBorders>
            <w:shd w:val="clear" w:color="auto" w:fill="CCFFCC"/>
            <w:vAlign w:val="bottom"/>
          </w:tcPr>
          <w:p w:rsidR="00B86BA2" w:rsidRDefault="00B86BA2" w:rsidP="00654E14">
            <w:pPr>
              <w:rPr>
                <w:sz w:val="9"/>
                <w:szCs w:val="9"/>
              </w:rPr>
            </w:pPr>
          </w:p>
        </w:tc>
        <w:tc>
          <w:tcPr>
            <w:tcW w:w="1173" w:type="dxa"/>
            <w:vMerge w:val="restart"/>
            <w:tcBorders>
              <w:top w:val="single" w:sz="8" w:space="0" w:color="CCFFCC"/>
            </w:tcBorders>
            <w:shd w:val="clear" w:color="auto" w:fill="CCFFCC"/>
            <w:vAlign w:val="bottom"/>
          </w:tcPr>
          <w:p w:rsidR="00B86BA2" w:rsidRDefault="00B86BA2" w:rsidP="00654E14">
            <w:pPr>
              <w:spacing w:line="216" w:lineRule="exact"/>
              <w:ind w:right="180"/>
              <w:jc w:val="right"/>
              <w:rPr>
                <w:sz w:val="20"/>
                <w:szCs w:val="20"/>
              </w:rPr>
            </w:pPr>
            <w:r>
              <w:rPr>
                <w:rFonts w:eastAsia="Times New Roman"/>
                <w:b/>
                <w:bCs/>
                <w:sz w:val="20"/>
                <w:szCs w:val="20"/>
              </w:rPr>
              <w:t>1990</w:t>
            </w:r>
          </w:p>
        </w:tc>
        <w:tc>
          <w:tcPr>
            <w:tcW w:w="147"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122" w:type="dxa"/>
            <w:tcBorders>
              <w:top w:val="single" w:sz="8" w:space="0" w:color="CCFFCC"/>
            </w:tcBorders>
            <w:shd w:val="clear" w:color="auto" w:fill="CCFFCC"/>
            <w:vAlign w:val="bottom"/>
          </w:tcPr>
          <w:p w:rsidR="00B86BA2" w:rsidRDefault="00B86BA2" w:rsidP="00654E14">
            <w:pPr>
              <w:rPr>
                <w:sz w:val="9"/>
                <w:szCs w:val="9"/>
              </w:rPr>
            </w:pPr>
          </w:p>
        </w:tc>
        <w:tc>
          <w:tcPr>
            <w:tcW w:w="1148" w:type="dxa"/>
            <w:vMerge w:val="restart"/>
            <w:tcBorders>
              <w:top w:val="single" w:sz="8" w:space="0" w:color="CCFFCC"/>
            </w:tcBorders>
            <w:shd w:val="clear" w:color="auto" w:fill="CCFFCC"/>
            <w:vAlign w:val="bottom"/>
          </w:tcPr>
          <w:p w:rsidR="00B86BA2" w:rsidRDefault="00B86BA2" w:rsidP="00654E14">
            <w:pPr>
              <w:spacing w:line="216" w:lineRule="exact"/>
              <w:ind w:right="180"/>
              <w:jc w:val="right"/>
              <w:rPr>
                <w:sz w:val="20"/>
                <w:szCs w:val="20"/>
              </w:rPr>
            </w:pPr>
            <w:r>
              <w:rPr>
                <w:rFonts w:eastAsia="Times New Roman"/>
                <w:b/>
                <w:bCs/>
                <w:sz w:val="20"/>
                <w:szCs w:val="20"/>
              </w:rPr>
              <w:t>2000</w:t>
            </w:r>
          </w:p>
        </w:tc>
        <w:tc>
          <w:tcPr>
            <w:tcW w:w="147"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122" w:type="dxa"/>
            <w:tcBorders>
              <w:top w:val="single" w:sz="8" w:space="0" w:color="CCFFCC"/>
            </w:tcBorders>
            <w:shd w:val="clear" w:color="auto" w:fill="CCFFCC"/>
            <w:vAlign w:val="bottom"/>
          </w:tcPr>
          <w:p w:rsidR="00B86BA2" w:rsidRDefault="00B86BA2" w:rsidP="00654E14">
            <w:pPr>
              <w:rPr>
                <w:sz w:val="9"/>
                <w:szCs w:val="9"/>
              </w:rPr>
            </w:pPr>
          </w:p>
        </w:tc>
        <w:tc>
          <w:tcPr>
            <w:tcW w:w="1173" w:type="dxa"/>
            <w:vMerge w:val="restart"/>
            <w:tcBorders>
              <w:top w:val="single" w:sz="8" w:space="0" w:color="CCFFCC"/>
            </w:tcBorders>
            <w:shd w:val="clear" w:color="auto" w:fill="CCFFCC"/>
            <w:vAlign w:val="bottom"/>
          </w:tcPr>
          <w:p w:rsidR="00B86BA2" w:rsidRDefault="00B86BA2" w:rsidP="00654E14">
            <w:pPr>
              <w:spacing w:line="216" w:lineRule="exact"/>
              <w:ind w:right="180"/>
              <w:jc w:val="right"/>
              <w:rPr>
                <w:sz w:val="20"/>
                <w:szCs w:val="20"/>
              </w:rPr>
            </w:pPr>
            <w:r>
              <w:rPr>
                <w:rFonts w:eastAsia="Times New Roman"/>
                <w:b/>
                <w:bCs/>
                <w:sz w:val="20"/>
                <w:szCs w:val="20"/>
              </w:rPr>
              <w:t>2005</w:t>
            </w:r>
          </w:p>
        </w:tc>
        <w:tc>
          <w:tcPr>
            <w:tcW w:w="147"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98" w:type="dxa"/>
            <w:tcBorders>
              <w:top w:val="single" w:sz="8" w:space="0" w:color="CCFFCC"/>
            </w:tcBorders>
            <w:shd w:val="clear" w:color="auto" w:fill="CCFFCC"/>
            <w:vAlign w:val="bottom"/>
          </w:tcPr>
          <w:p w:rsidR="00B86BA2" w:rsidRDefault="00B86BA2" w:rsidP="00654E14">
            <w:pPr>
              <w:rPr>
                <w:sz w:val="9"/>
                <w:szCs w:val="9"/>
              </w:rPr>
            </w:pPr>
          </w:p>
        </w:tc>
        <w:tc>
          <w:tcPr>
            <w:tcW w:w="1173" w:type="dxa"/>
            <w:vMerge w:val="restart"/>
            <w:tcBorders>
              <w:top w:val="single" w:sz="8" w:space="0" w:color="CCFFCC"/>
            </w:tcBorders>
            <w:shd w:val="clear" w:color="auto" w:fill="CCFFCC"/>
            <w:vAlign w:val="bottom"/>
          </w:tcPr>
          <w:p w:rsidR="00B86BA2" w:rsidRDefault="00B86BA2" w:rsidP="00654E14">
            <w:pPr>
              <w:spacing w:line="216" w:lineRule="exact"/>
              <w:ind w:right="180"/>
              <w:jc w:val="right"/>
              <w:rPr>
                <w:sz w:val="20"/>
                <w:szCs w:val="20"/>
              </w:rPr>
            </w:pPr>
            <w:r>
              <w:rPr>
                <w:rFonts w:eastAsia="Times New Roman"/>
                <w:b/>
                <w:bCs/>
                <w:sz w:val="20"/>
                <w:szCs w:val="20"/>
              </w:rPr>
              <w:t>2010</w:t>
            </w:r>
          </w:p>
        </w:tc>
        <w:tc>
          <w:tcPr>
            <w:tcW w:w="147"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37" w:type="dxa"/>
            <w:vAlign w:val="bottom"/>
          </w:tcPr>
          <w:p w:rsidR="00B86BA2" w:rsidRDefault="00B86BA2" w:rsidP="00654E14">
            <w:pPr>
              <w:rPr>
                <w:sz w:val="1"/>
                <w:szCs w:val="1"/>
              </w:rPr>
            </w:pPr>
          </w:p>
        </w:tc>
      </w:tr>
      <w:tr w:rsidR="00B86BA2" w:rsidTr="000516EA">
        <w:trPr>
          <w:trHeight w:val="114"/>
          <w:jc w:val="center"/>
        </w:trPr>
        <w:tc>
          <w:tcPr>
            <w:tcW w:w="146" w:type="dxa"/>
            <w:tcBorders>
              <w:left w:val="single" w:sz="8" w:space="0" w:color="auto"/>
              <w:bottom w:val="single" w:sz="8" w:space="0" w:color="auto"/>
            </w:tcBorders>
            <w:shd w:val="clear" w:color="auto" w:fill="CCFFCC"/>
            <w:vAlign w:val="bottom"/>
          </w:tcPr>
          <w:p w:rsidR="00B86BA2" w:rsidRDefault="00B86BA2" w:rsidP="00654E14">
            <w:pPr>
              <w:rPr>
                <w:sz w:val="9"/>
                <w:szCs w:val="9"/>
              </w:rPr>
            </w:pPr>
          </w:p>
        </w:tc>
        <w:tc>
          <w:tcPr>
            <w:tcW w:w="3371" w:type="dxa"/>
            <w:tcBorders>
              <w:bottom w:val="single" w:sz="8" w:space="0" w:color="auto"/>
            </w:tcBorders>
            <w:shd w:val="clear" w:color="auto" w:fill="CCFFCC"/>
            <w:vAlign w:val="bottom"/>
          </w:tcPr>
          <w:p w:rsidR="00B86BA2" w:rsidRDefault="00B86BA2" w:rsidP="00654E14">
            <w:pPr>
              <w:rPr>
                <w:sz w:val="9"/>
                <w:szCs w:val="9"/>
              </w:rPr>
            </w:pPr>
          </w:p>
        </w:tc>
        <w:tc>
          <w:tcPr>
            <w:tcW w:w="167"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102" w:type="dxa"/>
            <w:tcBorders>
              <w:bottom w:val="single" w:sz="8" w:space="0" w:color="auto"/>
            </w:tcBorders>
            <w:shd w:val="clear" w:color="auto" w:fill="CCFFCC"/>
            <w:vAlign w:val="bottom"/>
          </w:tcPr>
          <w:p w:rsidR="00B86BA2" w:rsidRDefault="00B86BA2" w:rsidP="00654E14">
            <w:pPr>
              <w:rPr>
                <w:sz w:val="9"/>
                <w:szCs w:val="9"/>
              </w:rPr>
            </w:pPr>
          </w:p>
        </w:tc>
        <w:tc>
          <w:tcPr>
            <w:tcW w:w="1173" w:type="dxa"/>
            <w:vMerge/>
            <w:tcBorders>
              <w:bottom w:val="single" w:sz="8" w:space="0" w:color="auto"/>
            </w:tcBorders>
            <w:shd w:val="clear" w:color="auto" w:fill="CCFFCC"/>
            <w:vAlign w:val="bottom"/>
          </w:tcPr>
          <w:p w:rsidR="00B86BA2" w:rsidRDefault="00B86BA2" w:rsidP="00654E14">
            <w:pPr>
              <w:rPr>
                <w:sz w:val="9"/>
                <w:szCs w:val="9"/>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122" w:type="dxa"/>
            <w:tcBorders>
              <w:bottom w:val="single" w:sz="8" w:space="0" w:color="auto"/>
            </w:tcBorders>
            <w:shd w:val="clear" w:color="auto" w:fill="CCFFCC"/>
            <w:vAlign w:val="bottom"/>
          </w:tcPr>
          <w:p w:rsidR="00B86BA2" w:rsidRDefault="00B86BA2" w:rsidP="00654E14">
            <w:pPr>
              <w:rPr>
                <w:sz w:val="9"/>
                <w:szCs w:val="9"/>
              </w:rPr>
            </w:pPr>
          </w:p>
        </w:tc>
        <w:tc>
          <w:tcPr>
            <w:tcW w:w="1148" w:type="dxa"/>
            <w:vMerge/>
            <w:tcBorders>
              <w:bottom w:val="single" w:sz="8" w:space="0" w:color="auto"/>
            </w:tcBorders>
            <w:shd w:val="clear" w:color="auto" w:fill="CCFFCC"/>
            <w:vAlign w:val="bottom"/>
          </w:tcPr>
          <w:p w:rsidR="00B86BA2" w:rsidRDefault="00B86BA2" w:rsidP="00654E14">
            <w:pPr>
              <w:rPr>
                <w:sz w:val="9"/>
                <w:szCs w:val="9"/>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122" w:type="dxa"/>
            <w:tcBorders>
              <w:bottom w:val="single" w:sz="8" w:space="0" w:color="auto"/>
            </w:tcBorders>
            <w:shd w:val="clear" w:color="auto" w:fill="CCFFCC"/>
            <w:vAlign w:val="bottom"/>
          </w:tcPr>
          <w:p w:rsidR="00B86BA2" w:rsidRDefault="00B86BA2" w:rsidP="00654E14">
            <w:pPr>
              <w:rPr>
                <w:sz w:val="9"/>
                <w:szCs w:val="9"/>
              </w:rPr>
            </w:pPr>
          </w:p>
        </w:tc>
        <w:tc>
          <w:tcPr>
            <w:tcW w:w="1173" w:type="dxa"/>
            <w:vMerge/>
            <w:tcBorders>
              <w:bottom w:val="single" w:sz="8" w:space="0" w:color="auto"/>
            </w:tcBorders>
            <w:shd w:val="clear" w:color="auto" w:fill="CCFFCC"/>
            <w:vAlign w:val="bottom"/>
          </w:tcPr>
          <w:p w:rsidR="00B86BA2" w:rsidRDefault="00B86BA2" w:rsidP="00654E14">
            <w:pPr>
              <w:rPr>
                <w:sz w:val="9"/>
                <w:szCs w:val="9"/>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98" w:type="dxa"/>
            <w:tcBorders>
              <w:bottom w:val="single" w:sz="8" w:space="0" w:color="auto"/>
            </w:tcBorders>
            <w:shd w:val="clear" w:color="auto" w:fill="CCFFCC"/>
            <w:vAlign w:val="bottom"/>
          </w:tcPr>
          <w:p w:rsidR="00B86BA2" w:rsidRDefault="00B86BA2" w:rsidP="00654E14">
            <w:pPr>
              <w:rPr>
                <w:sz w:val="9"/>
                <w:szCs w:val="9"/>
              </w:rPr>
            </w:pPr>
          </w:p>
        </w:tc>
        <w:tc>
          <w:tcPr>
            <w:tcW w:w="1173" w:type="dxa"/>
            <w:vMerge/>
            <w:tcBorders>
              <w:bottom w:val="single" w:sz="8" w:space="0" w:color="auto"/>
            </w:tcBorders>
            <w:shd w:val="clear" w:color="auto" w:fill="CCFFCC"/>
            <w:vAlign w:val="bottom"/>
          </w:tcPr>
          <w:p w:rsidR="00B86BA2" w:rsidRDefault="00B86BA2" w:rsidP="00654E14">
            <w:pPr>
              <w:rPr>
                <w:sz w:val="9"/>
                <w:szCs w:val="9"/>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37" w:type="dxa"/>
            <w:vAlign w:val="bottom"/>
          </w:tcPr>
          <w:p w:rsidR="00B86BA2" w:rsidRDefault="00B86BA2" w:rsidP="00654E14">
            <w:pPr>
              <w:rPr>
                <w:sz w:val="1"/>
                <w:szCs w:val="1"/>
              </w:rPr>
            </w:pPr>
          </w:p>
        </w:tc>
      </w:tr>
      <w:tr w:rsidR="00B86BA2" w:rsidTr="000516EA">
        <w:trPr>
          <w:trHeight w:val="260"/>
          <w:jc w:val="center"/>
        </w:trPr>
        <w:tc>
          <w:tcPr>
            <w:tcW w:w="3684" w:type="dxa"/>
            <w:gridSpan w:val="3"/>
            <w:tcBorders>
              <w:left w:val="single" w:sz="8" w:space="0" w:color="auto"/>
              <w:bottom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Forêt</w:t>
            </w:r>
          </w:p>
        </w:tc>
        <w:tc>
          <w:tcPr>
            <w:tcW w:w="142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2 216</w:t>
            </w:r>
          </w:p>
        </w:tc>
        <w:tc>
          <w:tcPr>
            <w:tcW w:w="1417"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2 120</w:t>
            </w:r>
          </w:p>
        </w:tc>
        <w:tc>
          <w:tcPr>
            <w:tcW w:w="1295" w:type="dxa"/>
            <w:gridSpan w:val="2"/>
            <w:tcBorders>
              <w:bottom w:val="single" w:sz="8" w:space="0" w:color="auto"/>
            </w:tcBorders>
            <w:vAlign w:val="bottom"/>
          </w:tcPr>
          <w:p w:rsidR="00B86BA2" w:rsidRDefault="00B86BA2" w:rsidP="00654E14">
            <w:pPr>
              <w:jc w:val="right"/>
              <w:rPr>
                <w:sz w:val="20"/>
                <w:szCs w:val="20"/>
              </w:rPr>
            </w:pPr>
            <w:r>
              <w:rPr>
                <w:rFonts w:eastAsia="Times New Roman"/>
                <w:sz w:val="20"/>
                <w:szCs w:val="20"/>
              </w:rPr>
              <w:t>2 072</w:t>
            </w:r>
          </w:p>
        </w:tc>
        <w:tc>
          <w:tcPr>
            <w:tcW w:w="147" w:type="dxa"/>
            <w:tcBorders>
              <w:bottom w:val="single" w:sz="8" w:space="0" w:color="auto"/>
              <w:right w:val="single" w:sz="8" w:space="0" w:color="auto"/>
            </w:tcBorders>
            <w:vAlign w:val="bottom"/>
          </w:tcPr>
          <w:p w:rsidR="00B86BA2" w:rsidRDefault="00B86BA2" w:rsidP="00654E14"/>
        </w:tc>
        <w:tc>
          <w:tcPr>
            <w:tcW w:w="1418"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2022</w:t>
            </w:r>
          </w:p>
        </w:tc>
        <w:tc>
          <w:tcPr>
            <w:tcW w:w="37" w:type="dxa"/>
            <w:vAlign w:val="bottom"/>
          </w:tcPr>
          <w:p w:rsidR="00B86BA2" w:rsidRDefault="00B86BA2" w:rsidP="00654E14">
            <w:pPr>
              <w:rPr>
                <w:sz w:val="1"/>
                <w:szCs w:val="1"/>
              </w:rPr>
            </w:pPr>
          </w:p>
        </w:tc>
      </w:tr>
      <w:tr w:rsidR="00B86BA2" w:rsidTr="000516EA">
        <w:trPr>
          <w:trHeight w:val="255"/>
          <w:jc w:val="center"/>
        </w:trPr>
        <w:tc>
          <w:tcPr>
            <w:tcW w:w="3684" w:type="dxa"/>
            <w:gridSpan w:val="3"/>
            <w:tcBorders>
              <w:left w:val="single" w:sz="8" w:space="0" w:color="auto"/>
              <w:bottom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Autres terres boisées</w:t>
            </w:r>
          </w:p>
        </w:tc>
        <w:tc>
          <w:tcPr>
            <w:tcW w:w="142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293</w:t>
            </w:r>
          </w:p>
        </w:tc>
        <w:tc>
          <w:tcPr>
            <w:tcW w:w="1417"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241</w:t>
            </w:r>
          </w:p>
        </w:tc>
        <w:tc>
          <w:tcPr>
            <w:tcW w:w="144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236</w:t>
            </w:r>
          </w:p>
        </w:tc>
        <w:tc>
          <w:tcPr>
            <w:tcW w:w="1418"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230</w:t>
            </w:r>
          </w:p>
        </w:tc>
        <w:tc>
          <w:tcPr>
            <w:tcW w:w="37" w:type="dxa"/>
            <w:vAlign w:val="bottom"/>
          </w:tcPr>
          <w:p w:rsidR="00B86BA2" w:rsidRDefault="00B86BA2" w:rsidP="00654E14">
            <w:pPr>
              <w:rPr>
                <w:sz w:val="1"/>
                <w:szCs w:val="1"/>
              </w:rPr>
            </w:pPr>
          </w:p>
        </w:tc>
      </w:tr>
      <w:tr w:rsidR="00B86BA2" w:rsidTr="000516EA">
        <w:trPr>
          <w:trHeight w:val="255"/>
          <w:jc w:val="center"/>
        </w:trPr>
        <w:tc>
          <w:tcPr>
            <w:tcW w:w="3684" w:type="dxa"/>
            <w:gridSpan w:val="3"/>
            <w:tcBorders>
              <w:left w:val="single" w:sz="8" w:space="0" w:color="auto"/>
              <w:bottom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Autres terres</w:t>
            </w:r>
          </w:p>
        </w:tc>
        <w:tc>
          <w:tcPr>
            <w:tcW w:w="142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303</w:t>
            </w:r>
          </w:p>
        </w:tc>
        <w:tc>
          <w:tcPr>
            <w:tcW w:w="1417"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451</w:t>
            </w:r>
          </w:p>
        </w:tc>
        <w:tc>
          <w:tcPr>
            <w:tcW w:w="144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504</w:t>
            </w:r>
          </w:p>
        </w:tc>
        <w:tc>
          <w:tcPr>
            <w:tcW w:w="1418"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560</w:t>
            </w:r>
          </w:p>
        </w:tc>
        <w:tc>
          <w:tcPr>
            <w:tcW w:w="37" w:type="dxa"/>
            <w:vAlign w:val="bottom"/>
          </w:tcPr>
          <w:p w:rsidR="00B86BA2" w:rsidRDefault="00B86BA2" w:rsidP="00654E14">
            <w:pPr>
              <w:rPr>
                <w:sz w:val="1"/>
                <w:szCs w:val="1"/>
              </w:rPr>
            </w:pPr>
          </w:p>
        </w:tc>
      </w:tr>
      <w:tr w:rsidR="00B86BA2" w:rsidTr="000516EA">
        <w:trPr>
          <w:trHeight w:val="216"/>
          <w:jc w:val="center"/>
        </w:trPr>
        <w:tc>
          <w:tcPr>
            <w:tcW w:w="146" w:type="dxa"/>
            <w:tcBorders>
              <w:left w:val="single" w:sz="8" w:space="0" w:color="auto"/>
            </w:tcBorders>
            <w:vAlign w:val="bottom"/>
          </w:tcPr>
          <w:p w:rsidR="00B86BA2" w:rsidRDefault="00B86BA2" w:rsidP="00654E14">
            <w:pPr>
              <w:rPr>
                <w:sz w:val="18"/>
                <w:szCs w:val="18"/>
              </w:rPr>
            </w:pPr>
          </w:p>
        </w:tc>
        <w:tc>
          <w:tcPr>
            <w:tcW w:w="3538" w:type="dxa"/>
            <w:gridSpan w:val="2"/>
            <w:tcBorders>
              <w:right w:val="single" w:sz="8" w:space="0" w:color="auto"/>
            </w:tcBorders>
            <w:vAlign w:val="bottom"/>
          </w:tcPr>
          <w:p w:rsidR="00B86BA2" w:rsidRDefault="00B86BA2" w:rsidP="00654E14">
            <w:pPr>
              <w:spacing w:line="216" w:lineRule="exact"/>
              <w:ind w:left="140"/>
              <w:rPr>
                <w:sz w:val="20"/>
                <w:szCs w:val="20"/>
              </w:rPr>
            </w:pPr>
            <w:r>
              <w:rPr>
                <w:rFonts w:eastAsia="Times New Roman"/>
                <w:sz w:val="20"/>
                <w:szCs w:val="20"/>
              </w:rPr>
              <w:t>...dont dotées de couvert</w:t>
            </w:r>
          </w:p>
        </w:tc>
        <w:tc>
          <w:tcPr>
            <w:tcW w:w="102" w:type="dxa"/>
            <w:vAlign w:val="bottom"/>
          </w:tcPr>
          <w:p w:rsidR="00B86BA2" w:rsidRDefault="00B86BA2" w:rsidP="00654E14">
            <w:pPr>
              <w:rPr>
                <w:sz w:val="18"/>
                <w:szCs w:val="18"/>
              </w:rPr>
            </w:pPr>
          </w:p>
        </w:tc>
        <w:tc>
          <w:tcPr>
            <w:tcW w:w="1173" w:type="dxa"/>
            <w:vAlign w:val="bottom"/>
          </w:tcPr>
          <w:p w:rsidR="00B86BA2" w:rsidRDefault="00B86BA2" w:rsidP="00654E14">
            <w:pPr>
              <w:rPr>
                <w:sz w:val="18"/>
                <w:szCs w:val="18"/>
              </w:rPr>
            </w:pPr>
          </w:p>
        </w:tc>
        <w:tc>
          <w:tcPr>
            <w:tcW w:w="147" w:type="dxa"/>
            <w:tcBorders>
              <w:right w:val="single" w:sz="8" w:space="0" w:color="auto"/>
            </w:tcBorders>
            <w:vAlign w:val="bottom"/>
          </w:tcPr>
          <w:p w:rsidR="00B86BA2" w:rsidRDefault="00B86BA2" w:rsidP="00654E14">
            <w:pPr>
              <w:rPr>
                <w:sz w:val="18"/>
                <w:szCs w:val="18"/>
              </w:rPr>
            </w:pPr>
          </w:p>
        </w:tc>
        <w:tc>
          <w:tcPr>
            <w:tcW w:w="122" w:type="dxa"/>
            <w:vAlign w:val="bottom"/>
          </w:tcPr>
          <w:p w:rsidR="00B86BA2" w:rsidRDefault="00B86BA2" w:rsidP="00654E14">
            <w:pPr>
              <w:rPr>
                <w:sz w:val="18"/>
                <w:szCs w:val="18"/>
              </w:rPr>
            </w:pPr>
          </w:p>
        </w:tc>
        <w:tc>
          <w:tcPr>
            <w:tcW w:w="1148" w:type="dxa"/>
            <w:vAlign w:val="bottom"/>
          </w:tcPr>
          <w:p w:rsidR="00B86BA2" w:rsidRDefault="00B86BA2" w:rsidP="00654E14">
            <w:pPr>
              <w:rPr>
                <w:sz w:val="18"/>
                <w:szCs w:val="18"/>
              </w:rPr>
            </w:pPr>
          </w:p>
        </w:tc>
        <w:tc>
          <w:tcPr>
            <w:tcW w:w="147" w:type="dxa"/>
            <w:tcBorders>
              <w:right w:val="single" w:sz="8" w:space="0" w:color="auto"/>
            </w:tcBorders>
            <w:vAlign w:val="bottom"/>
          </w:tcPr>
          <w:p w:rsidR="00B86BA2" w:rsidRDefault="00B86BA2" w:rsidP="00654E14">
            <w:pPr>
              <w:rPr>
                <w:sz w:val="18"/>
                <w:szCs w:val="18"/>
              </w:rPr>
            </w:pPr>
          </w:p>
        </w:tc>
        <w:tc>
          <w:tcPr>
            <w:tcW w:w="122" w:type="dxa"/>
            <w:vAlign w:val="bottom"/>
          </w:tcPr>
          <w:p w:rsidR="00B86BA2" w:rsidRDefault="00B86BA2" w:rsidP="00654E14">
            <w:pPr>
              <w:rPr>
                <w:sz w:val="18"/>
                <w:szCs w:val="18"/>
              </w:rPr>
            </w:pPr>
          </w:p>
        </w:tc>
        <w:tc>
          <w:tcPr>
            <w:tcW w:w="1173" w:type="dxa"/>
            <w:vAlign w:val="bottom"/>
          </w:tcPr>
          <w:p w:rsidR="00B86BA2" w:rsidRDefault="00B86BA2" w:rsidP="00654E14">
            <w:pPr>
              <w:rPr>
                <w:sz w:val="18"/>
                <w:szCs w:val="18"/>
              </w:rPr>
            </w:pPr>
          </w:p>
        </w:tc>
        <w:tc>
          <w:tcPr>
            <w:tcW w:w="147" w:type="dxa"/>
            <w:tcBorders>
              <w:right w:val="single" w:sz="8" w:space="0" w:color="auto"/>
            </w:tcBorders>
            <w:vAlign w:val="bottom"/>
          </w:tcPr>
          <w:p w:rsidR="00B86BA2" w:rsidRDefault="00B86BA2" w:rsidP="00654E14">
            <w:pPr>
              <w:rPr>
                <w:sz w:val="18"/>
                <w:szCs w:val="18"/>
              </w:rPr>
            </w:pPr>
          </w:p>
        </w:tc>
        <w:tc>
          <w:tcPr>
            <w:tcW w:w="98" w:type="dxa"/>
            <w:vAlign w:val="bottom"/>
          </w:tcPr>
          <w:p w:rsidR="00B86BA2" w:rsidRDefault="00B86BA2" w:rsidP="00654E14">
            <w:pPr>
              <w:rPr>
                <w:sz w:val="18"/>
                <w:szCs w:val="18"/>
              </w:rPr>
            </w:pPr>
          </w:p>
        </w:tc>
        <w:tc>
          <w:tcPr>
            <w:tcW w:w="1320" w:type="dxa"/>
            <w:gridSpan w:val="2"/>
            <w:vMerge w:val="restart"/>
            <w:tcBorders>
              <w:right w:val="single" w:sz="8" w:space="0" w:color="auto"/>
            </w:tcBorders>
            <w:vAlign w:val="bottom"/>
          </w:tcPr>
          <w:p w:rsidR="00B86BA2" w:rsidRDefault="00B86BA2" w:rsidP="00654E14">
            <w:pPr>
              <w:ind w:right="120"/>
              <w:jc w:val="right"/>
              <w:rPr>
                <w:sz w:val="20"/>
                <w:szCs w:val="20"/>
              </w:rPr>
            </w:pPr>
            <w:r>
              <w:rPr>
                <w:rFonts w:eastAsia="Times New Roman"/>
                <w:sz w:val="20"/>
                <w:szCs w:val="20"/>
              </w:rPr>
              <w:t>ND</w:t>
            </w:r>
          </w:p>
        </w:tc>
        <w:tc>
          <w:tcPr>
            <w:tcW w:w="37" w:type="dxa"/>
            <w:vAlign w:val="bottom"/>
          </w:tcPr>
          <w:p w:rsidR="00B86BA2" w:rsidRDefault="00B86BA2" w:rsidP="00654E14">
            <w:pPr>
              <w:rPr>
                <w:sz w:val="1"/>
                <w:szCs w:val="1"/>
              </w:rPr>
            </w:pPr>
          </w:p>
        </w:tc>
      </w:tr>
      <w:tr w:rsidR="00B86BA2" w:rsidTr="000516EA">
        <w:trPr>
          <w:trHeight w:val="115"/>
          <w:jc w:val="center"/>
        </w:trPr>
        <w:tc>
          <w:tcPr>
            <w:tcW w:w="3684" w:type="dxa"/>
            <w:gridSpan w:val="3"/>
            <w:vMerge w:val="restart"/>
            <w:tcBorders>
              <w:left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d’arbres</w:t>
            </w:r>
          </w:p>
        </w:tc>
        <w:tc>
          <w:tcPr>
            <w:tcW w:w="102" w:type="dxa"/>
            <w:vAlign w:val="bottom"/>
          </w:tcPr>
          <w:p w:rsidR="00B86BA2" w:rsidRDefault="00B86BA2" w:rsidP="00654E14">
            <w:pPr>
              <w:rPr>
                <w:sz w:val="10"/>
                <w:szCs w:val="10"/>
              </w:rPr>
            </w:pPr>
          </w:p>
        </w:tc>
        <w:tc>
          <w:tcPr>
            <w:tcW w:w="1320" w:type="dxa"/>
            <w:gridSpan w:val="2"/>
            <w:vMerge w:val="restart"/>
            <w:tcBorders>
              <w:right w:val="single" w:sz="8" w:space="0" w:color="auto"/>
            </w:tcBorders>
            <w:vAlign w:val="bottom"/>
          </w:tcPr>
          <w:p w:rsidR="00B86BA2" w:rsidRDefault="00B86BA2" w:rsidP="00654E14">
            <w:pPr>
              <w:ind w:left="620"/>
              <w:rPr>
                <w:sz w:val="20"/>
                <w:szCs w:val="20"/>
              </w:rPr>
            </w:pPr>
            <w:r>
              <w:rPr>
                <w:rFonts w:eastAsia="Times New Roman"/>
                <w:sz w:val="20"/>
                <w:szCs w:val="20"/>
              </w:rPr>
              <w:t>ND</w:t>
            </w:r>
          </w:p>
        </w:tc>
        <w:tc>
          <w:tcPr>
            <w:tcW w:w="122" w:type="dxa"/>
            <w:vAlign w:val="bottom"/>
          </w:tcPr>
          <w:p w:rsidR="00B86BA2" w:rsidRDefault="00B86BA2" w:rsidP="00654E14">
            <w:pPr>
              <w:rPr>
                <w:sz w:val="10"/>
                <w:szCs w:val="10"/>
              </w:rPr>
            </w:pPr>
          </w:p>
        </w:tc>
        <w:tc>
          <w:tcPr>
            <w:tcW w:w="1295" w:type="dxa"/>
            <w:gridSpan w:val="2"/>
            <w:vMerge w:val="restart"/>
            <w:tcBorders>
              <w:right w:val="single" w:sz="8" w:space="0" w:color="auto"/>
            </w:tcBorders>
            <w:vAlign w:val="bottom"/>
          </w:tcPr>
          <w:p w:rsidR="00B86BA2" w:rsidRDefault="00B86BA2" w:rsidP="00654E14">
            <w:pPr>
              <w:ind w:right="160"/>
              <w:jc w:val="right"/>
              <w:rPr>
                <w:sz w:val="20"/>
                <w:szCs w:val="20"/>
              </w:rPr>
            </w:pPr>
            <w:r>
              <w:rPr>
                <w:rFonts w:eastAsia="Times New Roman"/>
                <w:sz w:val="20"/>
                <w:szCs w:val="20"/>
              </w:rPr>
              <w:t>ND</w:t>
            </w:r>
          </w:p>
        </w:tc>
        <w:tc>
          <w:tcPr>
            <w:tcW w:w="122" w:type="dxa"/>
            <w:vAlign w:val="bottom"/>
          </w:tcPr>
          <w:p w:rsidR="00B86BA2" w:rsidRDefault="00B86BA2" w:rsidP="00654E14">
            <w:pPr>
              <w:rPr>
                <w:sz w:val="10"/>
                <w:szCs w:val="10"/>
              </w:rPr>
            </w:pPr>
          </w:p>
        </w:tc>
        <w:tc>
          <w:tcPr>
            <w:tcW w:w="1320" w:type="dxa"/>
            <w:gridSpan w:val="2"/>
            <w:vMerge w:val="restart"/>
            <w:tcBorders>
              <w:right w:val="single" w:sz="8" w:space="0" w:color="auto"/>
            </w:tcBorders>
            <w:vAlign w:val="bottom"/>
          </w:tcPr>
          <w:p w:rsidR="00B86BA2" w:rsidRDefault="00B86BA2" w:rsidP="00654E14">
            <w:pPr>
              <w:ind w:left="620"/>
              <w:rPr>
                <w:sz w:val="20"/>
                <w:szCs w:val="20"/>
              </w:rPr>
            </w:pPr>
            <w:r>
              <w:rPr>
                <w:rFonts w:eastAsia="Times New Roman"/>
                <w:sz w:val="20"/>
                <w:szCs w:val="20"/>
              </w:rPr>
              <w:t>ND</w:t>
            </w:r>
          </w:p>
        </w:tc>
        <w:tc>
          <w:tcPr>
            <w:tcW w:w="98" w:type="dxa"/>
            <w:vAlign w:val="bottom"/>
          </w:tcPr>
          <w:p w:rsidR="00B86BA2" w:rsidRDefault="00B86BA2" w:rsidP="00654E14">
            <w:pPr>
              <w:rPr>
                <w:sz w:val="10"/>
                <w:szCs w:val="10"/>
              </w:rPr>
            </w:pPr>
          </w:p>
        </w:tc>
        <w:tc>
          <w:tcPr>
            <w:tcW w:w="1320" w:type="dxa"/>
            <w:gridSpan w:val="2"/>
            <w:vMerge/>
            <w:tcBorders>
              <w:right w:val="single" w:sz="8" w:space="0" w:color="auto"/>
            </w:tcBorders>
            <w:vAlign w:val="bottom"/>
          </w:tcPr>
          <w:p w:rsidR="00B86BA2" w:rsidRDefault="00B86BA2" w:rsidP="00654E14">
            <w:pPr>
              <w:rPr>
                <w:sz w:val="10"/>
                <w:szCs w:val="10"/>
              </w:rPr>
            </w:pPr>
          </w:p>
        </w:tc>
        <w:tc>
          <w:tcPr>
            <w:tcW w:w="37" w:type="dxa"/>
            <w:vAlign w:val="bottom"/>
          </w:tcPr>
          <w:p w:rsidR="00B86BA2" w:rsidRDefault="00B86BA2" w:rsidP="00654E14">
            <w:pPr>
              <w:rPr>
                <w:sz w:val="1"/>
                <w:szCs w:val="1"/>
              </w:rPr>
            </w:pPr>
          </w:p>
        </w:tc>
      </w:tr>
      <w:tr w:rsidR="00B86BA2" w:rsidTr="000516EA">
        <w:trPr>
          <w:trHeight w:val="118"/>
          <w:jc w:val="center"/>
        </w:trPr>
        <w:tc>
          <w:tcPr>
            <w:tcW w:w="3684" w:type="dxa"/>
            <w:gridSpan w:val="3"/>
            <w:vMerge/>
            <w:tcBorders>
              <w:left w:val="single" w:sz="8" w:space="0" w:color="auto"/>
              <w:bottom w:val="single" w:sz="8" w:space="0" w:color="auto"/>
              <w:right w:val="single" w:sz="8" w:space="0" w:color="auto"/>
            </w:tcBorders>
            <w:vAlign w:val="bottom"/>
          </w:tcPr>
          <w:p w:rsidR="00B86BA2" w:rsidRDefault="00B86BA2" w:rsidP="00654E14">
            <w:pPr>
              <w:rPr>
                <w:sz w:val="10"/>
                <w:szCs w:val="10"/>
              </w:rPr>
            </w:pPr>
          </w:p>
        </w:tc>
        <w:tc>
          <w:tcPr>
            <w:tcW w:w="102" w:type="dxa"/>
            <w:tcBorders>
              <w:bottom w:val="single" w:sz="8" w:space="0" w:color="auto"/>
            </w:tcBorders>
            <w:vAlign w:val="bottom"/>
          </w:tcPr>
          <w:p w:rsidR="00B86BA2" w:rsidRDefault="00B86BA2" w:rsidP="00654E14">
            <w:pPr>
              <w:rPr>
                <w:sz w:val="10"/>
                <w:szCs w:val="10"/>
              </w:rPr>
            </w:pPr>
          </w:p>
        </w:tc>
        <w:tc>
          <w:tcPr>
            <w:tcW w:w="1320" w:type="dxa"/>
            <w:gridSpan w:val="2"/>
            <w:vMerge/>
            <w:tcBorders>
              <w:bottom w:val="single" w:sz="8" w:space="0" w:color="auto"/>
              <w:right w:val="single" w:sz="8" w:space="0" w:color="auto"/>
            </w:tcBorders>
            <w:vAlign w:val="bottom"/>
          </w:tcPr>
          <w:p w:rsidR="00B86BA2" w:rsidRDefault="00B86BA2" w:rsidP="00654E14">
            <w:pPr>
              <w:rPr>
                <w:sz w:val="10"/>
                <w:szCs w:val="10"/>
              </w:rPr>
            </w:pPr>
          </w:p>
        </w:tc>
        <w:tc>
          <w:tcPr>
            <w:tcW w:w="122" w:type="dxa"/>
            <w:tcBorders>
              <w:bottom w:val="single" w:sz="8" w:space="0" w:color="auto"/>
            </w:tcBorders>
            <w:vAlign w:val="bottom"/>
          </w:tcPr>
          <w:p w:rsidR="00B86BA2" w:rsidRDefault="00B86BA2" w:rsidP="00654E14">
            <w:pPr>
              <w:rPr>
                <w:sz w:val="10"/>
                <w:szCs w:val="10"/>
              </w:rPr>
            </w:pPr>
          </w:p>
        </w:tc>
        <w:tc>
          <w:tcPr>
            <w:tcW w:w="1295" w:type="dxa"/>
            <w:gridSpan w:val="2"/>
            <w:vMerge/>
            <w:tcBorders>
              <w:bottom w:val="single" w:sz="8" w:space="0" w:color="auto"/>
              <w:right w:val="single" w:sz="8" w:space="0" w:color="auto"/>
            </w:tcBorders>
            <w:vAlign w:val="bottom"/>
          </w:tcPr>
          <w:p w:rsidR="00B86BA2" w:rsidRDefault="00B86BA2" w:rsidP="00654E14">
            <w:pPr>
              <w:rPr>
                <w:sz w:val="10"/>
                <w:szCs w:val="10"/>
              </w:rPr>
            </w:pPr>
          </w:p>
        </w:tc>
        <w:tc>
          <w:tcPr>
            <w:tcW w:w="122" w:type="dxa"/>
            <w:tcBorders>
              <w:bottom w:val="single" w:sz="8" w:space="0" w:color="auto"/>
            </w:tcBorders>
            <w:vAlign w:val="bottom"/>
          </w:tcPr>
          <w:p w:rsidR="00B86BA2" w:rsidRDefault="00B86BA2" w:rsidP="00654E14">
            <w:pPr>
              <w:rPr>
                <w:sz w:val="10"/>
                <w:szCs w:val="10"/>
              </w:rPr>
            </w:pPr>
          </w:p>
        </w:tc>
        <w:tc>
          <w:tcPr>
            <w:tcW w:w="1320" w:type="dxa"/>
            <w:gridSpan w:val="2"/>
            <w:vMerge/>
            <w:tcBorders>
              <w:bottom w:val="single" w:sz="8" w:space="0" w:color="auto"/>
              <w:right w:val="single" w:sz="8" w:space="0" w:color="auto"/>
            </w:tcBorders>
            <w:vAlign w:val="bottom"/>
          </w:tcPr>
          <w:p w:rsidR="00B86BA2" w:rsidRDefault="00B86BA2" w:rsidP="00654E14">
            <w:pPr>
              <w:rPr>
                <w:sz w:val="10"/>
                <w:szCs w:val="10"/>
              </w:rPr>
            </w:pPr>
          </w:p>
        </w:tc>
        <w:tc>
          <w:tcPr>
            <w:tcW w:w="98" w:type="dxa"/>
            <w:tcBorders>
              <w:bottom w:val="single" w:sz="8" w:space="0" w:color="auto"/>
            </w:tcBorders>
            <w:vAlign w:val="bottom"/>
          </w:tcPr>
          <w:p w:rsidR="00B86BA2" w:rsidRDefault="00B86BA2" w:rsidP="00654E14">
            <w:pPr>
              <w:rPr>
                <w:sz w:val="10"/>
                <w:szCs w:val="10"/>
              </w:rPr>
            </w:pPr>
          </w:p>
        </w:tc>
        <w:tc>
          <w:tcPr>
            <w:tcW w:w="1173" w:type="dxa"/>
            <w:tcBorders>
              <w:bottom w:val="single" w:sz="8" w:space="0" w:color="auto"/>
            </w:tcBorders>
            <w:vAlign w:val="bottom"/>
          </w:tcPr>
          <w:p w:rsidR="00B86BA2" w:rsidRDefault="00B86BA2" w:rsidP="00654E14">
            <w:pPr>
              <w:rPr>
                <w:sz w:val="10"/>
                <w:szCs w:val="10"/>
              </w:rPr>
            </w:pPr>
          </w:p>
        </w:tc>
        <w:tc>
          <w:tcPr>
            <w:tcW w:w="147" w:type="dxa"/>
            <w:tcBorders>
              <w:bottom w:val="single" w:sz="8" w:space="0" w:color="auto"/>
              <w:right w:val="single" w:sz="8" w:space="0" w:color="auto"/>
            </w:tcBorders>
            <w:vAlign w:val="bottom"/>
          </w:tcPr>
          <w:p w:rsidR="00B86BA2" w:rsidRDefault="00B86BA2" w:rsidP="00654E14">
            <w:pPr>
              <w:rPr>
                <w:sz w:val="10"/>
                <w:szCs w:val="10"/>
              </w:rPr>
            </w:pPr>
          </w:p>
        </w:tc>
        <w:tc>
          <w:tcPr>
            <w:tcW w:w="37" w:type="dxa"/>
            <w:vAlign w:val="bottom"/>
          </w:tcPr>
          <w:p w:rsidR="00B86BA2" w:rsidRDefault="00B86BA2" w:rsidP="00654E14">
            <w:pPr>
              <w:rPr>
                <w:sz w:val="1"/>
                <w:szCs w:val="1"/>
              </w:rPr>
            </w:pPr>
          </w:p>
        </w:tc>
      </w:tr>
      <w:tr w:rsidR="00B86BA2" w:rsidTr="000516EA">
        <w:trPr>
          <w:trHeight w:val="255"/>
          <w:jc w:val="center"/>
        </w:trPr>
        <w:tc>
          <w:tcPr>
            <w:tcW w:w="3684" w:type="dxa"/>
            <w:gridSpan w:val="3"/>
            <w:tcBorders>
              <w:left w:val="single" w:sz="8" w:space="0" w:color="auto"/>
              <w:bottom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Eaux intérieures</w:t>
            </w:r>
          </w:p>
        </w:tc>
        <w:tc>
          <w:tcPr>
            <w:tcW w:w="142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800</w:t>
            </w:r>
          </w:p>
        </w:tc>
        <w:tc>
          <w:tcPr>
            <w:tcW w:w="1417"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800</w:t>
            </w:r>
          </w:p>
        </w:tc>
        <w:tc>
          <w:tcPr>
            <w:tcW w:w="144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800</w:t>
            </w:r>
          </w:p>
        </w:tc>
        <w:tc>
          <w:tcPr>
            <w:tcW w:w="1418"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800</w:t>
            </w:r>
          </w:p>
        </w:tc>
        <w:tc>
          <w:tcPr>
            <w:tcW w:w="37" w:type="dxa"/>
            <w:vAlign w:val="bottom"/>
          </w:tcPr>
          <w:p w:rsidR="00B86BA2" w:rsidRDefault="00B86BA2" w:rsidP="00654E14">
            <w:pPr>
              <w:rPr>
                <w:sz w:val="1"/>
                <w:szCs w:val="1"/>
              </w:rPr>
            </w:pPr>
          </w:p>
        </w:tc>
      </w:tr>
      <w:tr w:rsidR="00B86BA2" w:rsidTr="000516EA">
        <w:trPr>
          <w:trHeight w:val="256"/>
          <w:jc w:val="center"/>
        </w:trPr>
        <w:tc>
          <w:tcPr>
            <w:tcW w:w="3684" w:type="dxa"/>
            <w:gridSpan w:val="3"/>
            <w:tcBorders>
              <w:left w:val="single" w:sz="8" w:space="0" w:color="auto"/>
              <w:bottom w:val="single" w:sz="8" w:space="0" w:color="auto"/>
              <w:right w:val="single" w:sz="8" w:space="0" w:color="auto"/>
            </w:tcBorders>
            <w:vAlign w:val="bottom"/>
          </w:tcPr>
          <w:p w:rsidR="00B86BA2" w:rsidRDefault="00B86BA2" w:rsidP="00654E14">
            <w:pPr>
              <w:ind w:left="120"/>
              <w:rPr>
                <w:sz w:val="20"/>
                <w:szCs w:val="20"/>
              </w:rPr>
            </w:pPr>
            <w:r>
              <w:rPr>
                <w:rFonts w:eastAsia="Times New Roman"/>
                <w:b/>
                <w:bCs/>
                <w:sz w:val="20"/>
                <w:szCs w:val="20"/>
              </w:rPr>
              <w:t>TOTAL</w:t>
            </w:r>
          </w:p>
        </w:tc>
        <w:tc>
          <w:tcPr>
            <w:tcW w:w="142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b/>
                <w:bCs/>
                <w:sz w:val="20"/>
                <w:szCs w:val="20"/>
              </w:rPr>
              <w:t>3 612</w:t>
            </w:r>
          </w:p>
        </w:tc>
        <w:tc>
          <w:tcPr>
            <w:tcW w:w="1417"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b/>
                <w:bCs/>
                <w:sz w:val="20"/>
                <w:szCs w:val="20"/>
              </w:rPr>
              <w:t>3 612</w:t>
            </w:r>
          </w:p>
        </w:tc>
        <w:tc>
          <w:tcPr>
            <w:tcW w:w="1295" w:type="dxa"/>
            <w:gridSpan w:val="2"/>
            <w:tcBorders>
              <w:bottom w:val="single" w:sz="8" w:space="0" w:color="auto"/>
            </w:tcBorders>
            <w:vAlign w:val="bottom"/>
          </w:tcPr>
          <w:p w:rsidR="00B86BA2" w:rsidRDefault="00B86BA2" w:rsidP="00654E14">
            <w:pPr>
              <w:jc w:val="right"/>
              <w:rPr>
                <w:sz w:val="20"/>
                <w:szCs w:val="20"/>
              </w:rPr>
            </w:pPr>
            <w:r>
              <w:rPr>
                <w:rFonts w:eastAsia="Times New Roman"/>
                <w:b/>
                <w:bCs/>
                <w:sz w:val="20"/>
                <w:szCs w:val="20"/>
              </w:rPr>
              <w:t>3 612</w:t>
            </w:r>
          </w:p>
        </w:tc>
        <w:tc>
          <w:tcPr>
            <w:tcW w:w="147" w:type="dxa"/>
            <w:tcBorders>
              <w:bottom w:val="single" w:sz="8" w:space="0" w:color="auto"/>
              <w:right w:val="single" w:sz="8" w:space="0" w:color="auto"/>
            </w:tcBorders>
            <w:vAlign w:val="bottom"/>
          </w:tcPr>
          <w:p w:rsidR="00B86BA2" w:rsidRDefault="00B86BA2" w:rsidP="00654E14"/>
        </w:tc>
        <w:tc>
          <w:tcPr>
            <w:tcW w:w="1418"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b/>
                <w:bCs/>
                <w:sz w:val="20"/>
                <w:szCs w:val="20"/>
              </w:rPr>
              <w:t>3 612</w:t>
            </w:r>
          </w:p>
        </w:tc>
        <w:tc>
          <w:tcPr>
            <w:tcW w:w="37" w:type="dxa"/>
            <w:vAlign w:val="bottom"/>
          </w:tcPr>
          <w:p w:rsidR="00B86BA2" w:rsidRDefault="00B86BA2" w:rsidP="00654E14">
            <w:pPr>
              <w:rPr>
                <w:sz w:val="1"/>
                <w:szCs w:val="1"/>
              </w:rPr>
            </w:pPr>
          </w:p>
        </w:tc>
      </w:tr>
    </w:tbl>
    <w:tbl>
      <w:tblPr>
        <w:tblpPr w:leftFromText="141" w:rightFromText="141" w:vertAnchor="text" w:horzAnchor="page" w:tblpX="1342" w:tblpY="750"/>
        <w:tblW w:w="9420" w:type="dxa"/>
        <w:tblLayout w:type="fixed"/>
        <w:tblCellMar>
          <w:left w:w="0" w:type="dxa"/>
          <w:right w:w="0" w:type="dxa"/>
        </w:tblCellMar>
        <w:tblLook w:val="04A0" w:firstRow="1" w:lastRow="0" w:firstColumn="1" w:lastColumn="0" w:noHBand="0" w:noVBand="1"/>
      </w:tblPr>
      <w:tblGrid>
        <w:gridCol w:w="119"/>
        <w:gridCol w:w="859"/>
        <w:gridCol w:w="119"/>
        <w:gridCol w:w="2599"/>
        <w:gridCol w:w="25"/>
        <w:gridCol w:w="2679"/>
        <w:gridCol w:w="20"/>
        <w:gridCol w:w="100"/>
        <w:gridCol w:w="860"/>
        <w:gridCol w:w="100"/>
        <w:gridCol w:w="800"/>
        <w:gridCol w:w="100"/>
        <w:gridCol w:w="20"/>
        <w:gridCol w:w="100"/>
        <w:gridCol w:w="800"/>
        <w:gridCol w:w="100"/>
        <w:gridCol w:w="20"/>
      </w:tblGrid>
      <w:tr w:rsidR="00277292" w:rsidTr="000516EA">
        <w:trPr>
          <w:trHeight w:val="270"/>
        </w:trPr>
        <w:tc>
          <w:tcPr>
            <w:tcW w:w="119" w:type="dxa"/>
            <w:tcBorders>
              <w:right w:val="single" w:sz="4" w:space="0" w:color="auto"/>
            </w:tcBorders>
            <w:shd w:val="clear" w:color="auto" w:fill="CCFFCC"/>
            <w:vAlign w:val="bottom"/>
          </w:tcPr>
          <w:p w:rsidR="00277292" w:rsidRDefault="00277292" w:rsidP="00277292">
            <w:pPr>
              <w:rPr>
                <w:sz w:val="20"/>
                <w:szCs w:val="20"/>
              </w:rPr>
            </w:pPr>
          </w:p>
        </w:tc>
        <w:tc>
          <w:tcPr>
            <w:tcW w:w="3577" w:type="dxa"/>
            <w:gridSpan w:val="3"/>
            <w:vMerge w:val="restart"/>
            <w:tcBorders>
              <w:top w:val="single" w:sz="4" w:space="0" w:color="auto"/>
              <w:left w:val="single" w:sz="4" w:space="0" w:color="auto"/>
              <w:bottom w:val="single" w:sz="4" w:space="0" w:color="auto"/>
              <w:right w:val="single" w:sz="4" w:space="0" w:color="auto"/>
            </w:tcBorders>
            <w:shd w:val="clear" w:color="auto" w:fill="CCFFCC"/>
            <w:vAlign w:val="bottom"/>
          </w:tcPr>
          <w:p w:rsidR="00277292" w:rsidRDefault="00277292" w:rsidP="00277292">
            <w:pPr>
              <w:rPr>
                <w:sz w:val="20"/>
                <w:szCs w:val="20"/>
              </w:rPr>
            </w:pPr>
            <w:r>
              <w:rPr>
                <w:rFonts w:eastAsia="Times New Roman"/>
                <w:b/>
                <w:bCs/>
                <w:sz w:val="20"/>
                <w:szCs w:val="20"/>
              </w:rPr>
              <w:t>Catégorie de FRA 2010 / Nom de l’espèce</w:t>
            </w:r>
          </w:p>
        </w:tc>
        <w:tc>
          <w:tcPr>
            <w:tcW w:w="25" w:type="dxa"/>
            <w:tcBorders>
              <w:left w:val="single" w:sz="4" w:space="0" w:color="auto"/>
            </w:tcBorders>
            <w:shd w:val="clear" w:color="auto" w:fill="CCFFCC"/>
            <w:vAlign w:val="bottom"/>
          </w:tcPr>
          <w:p w:rsidR="00277292" w:rsidRDefault="00277292" w:rsidP="00277292">
            <w:pPr>
              <w:rPr>
                <w:sz w:val="20"/>
                <w:szCs w:val="20"/>
              </w:rPr>
            </w:pPr>
          </w:p>
        </w:tc>
        <w:tc>
          <w:tcPr>
            <w:tcW w:w="2679" w:type="dxa"/>
            <w:shd w:val="clear" w:color="auto" w:fill="CCFFCC"/>
            <w:vAlign w:val="bottom"/>
          </w:tcPr>
          <w:p w:rsidR="00277292" w:rsidRDefault="00277292" w:rsidP="00277292">
            <w:pPr>
              <w:rPr>
                <w:sz w:val="20"/>
                <w:szCs w:val="20"/>
              </w:rPr>
            </w:pPr>
          </w:p>
        </w:tc>
        <w:tc>
          <w:tcPr>
            <w:tcW w:w="20" w:type="dxa"/>
            <w:vAlign w:val="bottom"/>
          </w:tcPr>
          <w:p w:rsidR="00277292" w:rsidRDefault="00277292" w:rsidP="00277292">
            <w:pPr>
              <w:rPr>
                <w:sz w:val="20"/>
                <w:szCs w:val="20"/>
              </w:rPr>
            </w:pPr>
          </w:p>
        </w:tc>
        <w:tc>
          <w:tcPr>
            <w:tcW w:w="100" w:type="dxa"/>
            <w:shd w:val="clear" w:color="auto" w:fill="CCFFCC"/>
            <w:vAlign w:val="bottom"/>
          </w:tcPr>
          <w:p w:rsidR="00277292" w:rsidRDefault="00277292" w:rsidP="00277292">
            <w:pPr>
              <w:rPr>
                <w:sz w:val="20"/>
                <w:szCs w:val="20"/>
              </w:rPr>
            </w:pPr>
          </w:p>
        </w:tc>
        <w:tc>
          <w:tcPr>
            <w:tcW w:w="2780" w:type="dxa"/>
            <w:gridSpan w:val="7"/>
            <w:shd w:val="clear" w:color="auto" w:fill="CCFFCC"/>
            <w:vAlign w:val="bottom"/>
          </w:tcPr>
          <w:p w:rsidR="00277292" w:rsidRDefault="00277292" w:rsidP="00277292">
            <w:pPr>
              <w:jc w:val="center"/>
              <w:rPr>
                <w:sz w:val="20"/>
                <w:szCs w:val="20"/>
              </w:rPr>
            </w:pPr>
            <w:r>
              <w:rPr>
                <w:rFonts w:eastAsia="Times New Roman"/>
                <w:b/>
                <w:bCs/>
                <w:sz w:val="20"/>
                <w:szCs w:val="20"/>
                <w:shd w:val="clear" w:color="auto" w:fill="CCFFCC"/>
              </w:rPr>
              <w:t>Matériel sur pied dans la forêt</w:t>
            </w:r>
          </w:p>
        </w:tc>
        <w:tc>
          <w:tcPr>
            <w:tcW w:w="100" w:type="dxa"/>
            <w:shd w:val="clear" w:color="auto" w:fill="CCFFCC"/>
            <w:vAlign w:val="bottom"/>
          </w:tcPr>
          <w:p w:rsidR="00277292" w:rsidRDefault="00277292" w:rsidP="00277292">
            <w:pPr>
              <w:rPr>
                <w:sz w:val="20"/>
                <w:szCs w:val="20"/>
              </w:rPr>
            </w:pPr>
          </w:p>
        </w:tc>
        <w:tc>
          <w:tcPr>
            <w:tcW w:w="20" w:type="dxa"/>
            <w:vAlign w:val="bottom"/>
          </w:tcPr>
          <w:p w:rsidR="00277292" w:rsidRDefault="00277292" w:rsidP="00277292">
            <w:pPr>
              <w:rPr>
                <w:sz w:val="1"/>
                <w:szCs w:val="1"/>
              </w:rPr>
            </w:pPr>
          </w:p>
        </w:tc>
      </w:tr>
      <w:tr w:rsidR="00277292" w:rsidTr="008371D1">
        <w:trPr>
          <w:trHeight w:val="112"/>
        </w:trPr>
        <w:tc>
          <w:tcPr>
            <w:tcW w:w="119" w:type="dxa"/>
            <w:tcBorders>
              <w:right w:val="single" w:sz="4" w:space="0" w:color="auto"/>
            </w:tcBorders>
            <w:shd w:val="clear" w:color="auto" w:fill="CCFFCC"/>
            <w:vAlign w:val="bottom"/>
          </w:tcPr>
          <w:p w:rsidR="00277292" w:rsidRDefault="00277292" w:rsidP="00277292">
            <w:pPr>
              <w:rPr>
                <w:sz w:val="9"/>
                <w:szCs w:val="9"/>
              </w:rPr>
            </w:pPr>
          </w:p>
        </w:tc>
        <w:tc>
          <w:tcPr>
            <w:tcW w:w="3577" w:type="dxa"/>
            <w:gridSpan w:val="3"/>
            <w:vMerge/>
            <w:tcBorders>
              <w:top w:val="single" w:sz="4" w:space="0" w:color="auto"/>
              <w:left w:val="single" w:sz="4" w:space="0" w:color="auto"/>
              <w:bottom w:val="single" w:sz="4" w:space="0" w:color="auto"/>
              <w:right w:val="single" w:sz="4" w:space="0" w:color="auto"/>
            </w:tcBorders>
            <w:shd w:val="clear" w:color="auto" w:fill="CCFFCC"/>
            <w:vAlign w:val="bottom"/>
          </w:tcPr>
          <w:p w:rsidR="00277292" w:rsidRDefault="00277292" w:rsidP="00277292">
            <w:pPr>
              <w:rPr>
                <w:sz w:val="9"/>
                <w:szCs w:val="9"/>
              </w:rPr>
            </w:pPr>
          </w:p>
        </w:tc>
        <w:tc>
          <w:tcPr>
            <w:tcW w:w="25" w:type="dxa"/>
            <w:tcBorders>
              <w:left w:val="single" w:sz="4" w:space="0" w:color="auto"/>
            </w:tcBorders>
            <w:shd w:val="clear" w:color="auto" w:fill="CCFFCC"/>
            <w:vAlign w:val="bottom"/>
          </w:tcPr>
          <w:p w:rsidR="00277292" w:rsidRDefault="00277292" w:rsidP="00277292">
            <w:pPr>
              <w:rPr>
                <w:sz w:val="9"/>
                <w:szCs w:val="9"/>
              </w:rPr>
            </w:pPr>
          </w:p>
        </w:tc>
        <w:tc>
          <w:tcPr>
            <w:tcW w:w="2679" w:type="dxa"/>
            <w:shd w:val="clear" w:color="auto" w:fill="CCFFCC"/>
            <w:vAlign w:val="bottom"/>
          </w:tcPr>
          <w:p w:rsidR="00277292" w:rsidRDefault="00277292" w:rsidP="00277292">
            <w:pPr>
              <w:rPr>
                <w:sz w:val="9"/>
                <w:szCs w:val="9"/>
              </w:rPr>
            </w:pPr>
          </w:p>
        </w:tc>
        <w:tc>
          <w:tcPr>
            <w:tcW w:w="20" w:type="dxa"/>
            <w:vAlign w:val="bottom"/>
          </w:tcPr>
          <w:p w:rsidR="00277292" w:rsidRDefault="00277292" w:rsidP="00277292">
            <w:pPr>
              <w:rPr>
                <w:sz w:val="9"/>
                <w:szCs w:val="9"/>
              </w:rPr>
            </w:pPr>
          </w:p>
        </w:tc>
        <w:tc>
          <w:tcPr>
            <w:tcW w:w="100" w:type="dxa"/>
            <w:shd w:val="clear" w:color="auto" w:fill="CCFFCC"/>
            <w:vAlign w:val="bottom"/>
          </w:tcPr>
          <w:p w:rsidR="00277292" w:rsidRDefault="00277292" w:rsidP="00277292">
            <w:pPr>
              <w:rPr>
                <w:sz w:val="9"/>
                <w:szCs w:val="9"/>
              </w:rPr>
            </w:pPr>
          </w:p>
        </w:tc>
        <w:tc>
          <w:tcPr>
            <w:tcW w:w="2780" w:type="dxa"/>
            <w:gridSpan w:val="7"/>
            <w:vMerge w:val="restart"/>
            <w:shd w:val="clear" w:color="auto" w:fill="CCFFCC"/>
            <w:vAlign w:val="bottom"/>
          </w:tcPr>
          <w:p w:rsidR="00277292" w:rsidRDefault="00277292" w:rsidP="00277292">
            <w:pPr>
              <w:spacing w:line="227" w:lineRule="exact"/>
              <w:jc w:val="center"/>
              <w:rPr>
                <w:sz w:val="20"/>
                <w:szCs w:val="20"/>
              </w:rPr>
            </w:pPr>
            <w:r>
              <w:rPr>
                <w:rFonts w:eastAsia="Times New Roman"/>
                <w:b/>
                <w:bCs/>
                <w:w w:val="99"/>
                <w:sz w:val="20"/>
                <w:szCs w:val="20"/>
              </w:rPr>
              <w:t>(millions de mètres cubes)</w:t>
            </w:r>
          </w:p>
        </w:tc>
        <w:tc>
          <w:tcPr>
            <w:tcW w:w="100" w:type="dxa"/>
            <w:shd w:val="clear" w:color="auto" w:fill="CCFFCC"/>
            <w:vAlign w:val="bottom"/>
          </w:tcPr>
          <w:p w:rsidR="00277292" w:rsidRDefault="00277292" w:rsidP="00277292">
            <w:pPr>
              <w:rPr>
                <w:sz w:val="9"/>
                <w:szCs w:val="9"/>
              </w:rPr>
            </w:pPr>
          </w:p>
        </w:tc>
        <w:tc>
          <w:tcPr>
            <w:tcW w:w="20" w:type="dxa"/>
            <w:vAlign w:val="bottom"/>
          </w:tcPr>
          <w:p w:rsidR="00277292" w:rsidRDefault="00277292" w:rsidP="00277292">
            <w:pPr>
              <w:rPr>
                <w:sz w:val="1"/>
                <w:szCs w:val="1"/>
              </w:rPr>
            </w:pPr>
          </w:p>
        </w:tc>
      </w:tr>
      <w:tr w:rsidR="00277292" w:rsidTr="008371D1">
        <w:trPr>
          <w:trHeight w:val="157"/>
        </w:trPr>
        <w:tc>
          <w:tcPr>
            <w:tcW w:w="119" w:type="dxa"/>
            <w:tcBorders>
              <w:bottom w:val="single" w:sz="8" w:space="0" w:color="auto"/>
            </w:tcBorders>
            <w:shd w:val="clear" w:color="auto" w:fill="CCFFCC"/>
            <w:vAlign w:val="bottom"/>
          </w:tcPr>
          <w:p w:rsidR="00277292" w:rsidRDefault="00277292" w:rsidP="00277292">
            <w:pPr>
              <w:rPr>
                <w:sz w:val="13"/>
                <w:szCs w:val="13"/>
              </w:rPr>
            </w:pPr>
          </w:p>
        </w:tc>
        <w:tc>
          <w:tcPr>
            <w:tcW w:w="859" w:type="dxa"/>
            <w:tcBorders>
              <w:top w:val="single" w:sz="4" w:space="0" w:color="auto"/>
              <w:bottom w:val="single" w:sz="8" w:space="0" w:color="auto"/>
            </w:tcBorders>
            <w:shd w:val="clear" w:color="auto" w:fill="CCFFCC"/>
            <w:vAlign w:val="bottom"/>
          </w:tcPr>
          <w:p w:rsidR="00277292" w:rsidRDefault="00277292" w:rsidP="00277292">
            <w:pPr>
              <w:rPr>
                <w:sz w:val="13"/>
                <w:szCs w:val="13"/>
              </w:rPr>
            </w:pPr>
          </w:p>
        </w:tc>
        <w:tc>
          <w:tcPr>
            <w:tcW w:w="119" w:type="dxa"/>
            <w:tcBorders>
              <w:top w:val="single" w:sz="4" w:space="0" w:color="auto"/>
              <w:bottom w:val="single" w:sz="8" w:space="0" w:color="auto"/>
            </w:tcBorders>
            <w:shd w:val="clear" w:color="auto" w:fill="CCFFCC"/>
            <w:vAlign w:val="bottom"/>
          </w:tcPr>
          <w:p w:rsidR="00277292" w:rsidRDefault="00277292" w:rsidP="00277292">
            <w:pPr>
              <w:rPr>
                <w:sz w:val="13"/>
                <w:szCs w:val="13"/>
              </w:rPr>
            </w:pPr>
          </w:p>
        </w:tc>
        <w:tc>
          <w:tcPr>
            <w:tcW w:w="2599" w:type="dxa"/>
            <w:tcBorders>
              <w:top w:val="single" w:sz="4" w:space="0" w:color="auto"/>
              <w:bottom w:val="single" w:sz="8" w:space="0" w:color="auto"/>
            </w:tcBorders>
            <w:shd w:val="clear" w:color="auto" w:fill="CCFFCC"/>
            <w:vAlign w:val="bottom"/>
          </w:tcPr>
          <w:p w:rsidR="00277292" w:rsidRDefault="00277292" w:rsidP="00277292">
            <w:pPr>
              <w:rPr>
                <w:sz w:val="13"/>
                <w:szCs w:val="13"/>
              </w:rPr>
            </w:pPr>
          </w:p>
        </w:tc>
        <w:tc>
          <w:tcPr>
            <w:tcW w:w="25" w:type="dxa"/>
            <w:tcBorders>
              <w:bottom w:val="single" w:sz="8" w:space="0" w:color="auto"/>
            </w:tcBorders>
            <w:shd w:val="clear" w:color="auto" w:fill="CCFFCC"/>
            <w:vAlign w:val="bottom"/>
          </w:tcPr>
          <w:p w:rsidR="00277292" w:rsidRDefault="00277292" w:rsidP="00277292">
            <w:pPr>
              <w:rPr>
                <w:sz w:val="13"/>
                <w:szCs w:val="13"/>
              </w:rPr>
            </w:pPr>
          </w:p>
        </w:tc>
        <w:tc>
          <w:tcPr>
            <w:tcW w:w="2679" w:type="dxa"/>
            <w:tcBorders>
              <w:bottom w:val="single" w:sz="8" w:space="0" w:color="auto"/>
            </w:tcBorders>
            <w:shd w:val="clear" w:color="auto" w:fill="CCFFCC"/>
            <w:vAlign w:val="bottom"/>
          </w:tcPr>
          <w:p w:rsidR="00277292" w:rsidRDefault="00277292" w:rsidP="00277292">
            <w:pPr>
              <w:rPr>
                <w:sz w:val="13"/>
                <w:szCs w:val="13"/>
              </w:rPr>
            </w:pPr>
          </w:p>
        </w:tc>
        <w:tc>
          <w:tcPr>
            <w:tcW w:w="20" w:type="dxa"/>
            <w:tcBorders>
              <w:bottom w:val="single" w:sz="8" w:space="0" w:color="auto"/>
            </w:tcBorders>
            <w:vAlign w:val="bottom"/>
          </w:tcPr>
          <w:p w:rsidR="00277292" w:rsidRDefault="00277292" w:rsidP="00277292">
            <w:pPr>
              <w:rPr>
                <w:sz w:val="13"/>
                <w:szCs w:val="13"/>
              </w:rPr>
            </w:pPr>
          </w:p>
        </w:tc>
        <w:tc>
          <w:tcPr>
            <w:tcW w:w="100" w:type="dxa"/>
            <w:tcBorders>
              <w:bottom w:val="single" w:sz="8" w:space="0" w:color="auto"/>
            </w:tcBorders>
            <w:shd w:val="clear" w:color="auto" w:fill="CCFFCC"/>
            <w:vAlign w:val="bottom"/>
          </w:tcPr>
          <w:p w:rsidR="00277292" w:rsidRDefault="00277292" w:rsidP="00277292">
            <w:pPr>
              <w:rPr>
                <w:sz w:val="13"/>
                <w:szCs w:val="13"/>
              </w:rPr>
            </w:pPr>
          </w:p>
        </w:tc>
        <w:tc>
          <w:tcPr>
            <w:tcW w:w="2780" w:type="dxa"/>
            <w:gridSpan w:val="7"/>
            <w:vMerge/>
            <w:tcBorders>
              <w:bottom w:val="single" w:sz="8" w:space="0" w:color="auto"/>
            </w:tcBorders>
            <w:shd w:val="clear" w:color="auto" w:fill="CCFFCC"/>
            <w:vAlign w:val="bottom"/>
          </w:tcPr>
          <w:p w:rsidR="00277292" w:rsidRDefault="00277292" w:rsidP="00277292">
            <w:pPr>
              <w:rPr>
                <w:sz w:val="13"/>
                <w:szCs w:val="13"/>
              </w:rPr>
            </w:pPr>
          </w:p>
        </w:tc>
        <w:tc>
          <w:tcPr>
            <w:tcW w:w="100" w:type="dxa"/>
            <w:tcBorders>
              <w:bottom w:val="single" w:sz="8" w:space="0" w:color="auto"/>
            </w:tcBorders>
            <w:shd w:val="clear" w:color="auto" w:fill="CCFFCC"/>
            <w:vAlign w:val="bottom"/>
          </w:tcPr>
          <w:p w:rsidR="00277292" w:rsidRDefault="00277292" w:rsidP="00277292">
            <w:pPr>
              <w:rPr>
                <w:sz w:val="13"/>
                <w:szCs w:val="13"/>
              </w:rPr>
            </w:pPr>
          </w:p>
        </w:tc>
        <w:tc>
          <w:tcPr>
            <w:tcW w:w="20" w:type="dxa"/>
            <w:vAlign w:val="bottom"/>
          </w:tcPr>
          <w:p w:rsidR="00277292" w:rsidRDefault="00277292" w:rsidP="00277292">
            <w:pPr>
              <w:rPr>
                <w:sz w:val="1"/>
                <w:szCs w:val="1"/>
              </w:rPr>
            </w:pPr>
          </w:p>
        </w:tc>
      </w:tr>
      <w:tr w:rsidR="00277292" w:rsidTr="008371D1">
        <w:trPr>
          <w:trHeight w:val="195"/>
        </w:trPr>
        <w:tc>
          <w:tcPr>
            <w:tcW w:w="119" w:type="dxa"/>
            <w:tcBorders>
              <w:top w:val="single" w:sz="8" w:space="0" w:color="CCFFCC"/>
              <w:bottom w:val="single" w:sz="8" w:space="0" w:color="auto"/>
            </w:tcBorders>
            <w:shd w:val="clear" w:color="auto" w:fill="CCFFCC"/>
            <w:vAlign w:val="bottom"/>
          </w:tcPr>
          <w:p w:rsidR="00277292" w:rsidRDefault="00277292" w:rsidP="00277292">
            <w:pPr>
              <w:rPr>
                <w:sz w:val="16"/>
                <w:szCs w:val="16"/>
              </w:rPr>
            </w:pPr>
          </w:p>
        </w:tc>
        <w:tc>
          <w:tcPr>
            <w:tcW w:w="859" w:type="dxa"/>
            <w:tcBorders>
              <w:top w:val="single" w:sz="8" w:space="0" w:color="CCFFCC"/>
              <w:bottom w:val="single" w:sz="8" w:space="0" w:color="auto"/>
            </w:tcBorders>
            <w:shd w:val="clear" w:color="auto" w:fill="CCFFCC"/>
            <w:vAlign w:val="bottom"/>
          </w:tcPr>
          <w:p w:rsidR="00277292" w:rsidRDefault="00277292" w:rsidP="00277292">
            <w:pPr>
              <w:spacing w:line="194" w:lineRule="exact"/>
              <w:rPr>
                <w:sz w:val="20"/>
                <w:szCs w:val="20"/>
              </w:rPr>
            </w:pPr>
            <w:r>
              <w:rPr>
                <w:rFonts w:eastAsia="Times New Roman"/>
                <w:b/>
                <w:bCs/>
                <w:sz w:val="20"/>
                <w:szCs w:val="20"/>
              </w:rPr>
              <w:t>Position</w:t>
            </w:r>
          </w:p>
        </w:tc>
        <w:tc>
          <w:tcPr>
            <w:tcW w:w="119" w:type="dxa"/>
            <w:tcBorders>
              <w:top w:val="single" w:sz="8" w:space="0" w:color="CCFFCC"/>
              <w:bottom w:val="single" w:sz="8" w:space="0" w:color="auto"/>
            </w:tcBorders>
            <w:shd w:val="clear" w:color="auto" w:fill="CCFFCC"/>
            <w:vAlign w:val="bottom"/>
          </w:tcPr>
          <w:p w:rsidR="00277292" w:rsidRDefault="00277292" w:rsidP="00277292">
            <w:pPr>
              <w:rPr>
                <w:sz w:val="16"/>
                <w:szCs w:val="16"/>
              </w:rPr>
            </w:pPr>
          </w:p>
        </w:tc>
        <w:tc>
          <w:tcPr>
            <w:tcW w:w="2599" w:type="dxa"/>
            <w:tcBorders>
              <w:top w:val="single" w:sz="8" w:space="0" w:color="CCFFCC"/>
              <w:bottom w:val="single" w:sz="8" w:space="0" w:color="auto"/>
            </w:tcBorders>
            <w:shd w:val="clear" w:color="auto" w:fill="CCFFCC"/>
            <w:vAlign w:val="bottom"/>
          </w:tcPr>
          <w:p w:rsidR="00277292" w:rsidRDefault="00277292" w:rsidP="00277292">
            <w:pPr>
              <w:spacing w:line="194" w:lineRule="exact"/>
              <w:ind w:left="100"/>
              <w:rPr>
                <w:sz w:val="20"/>
                <w:szCs w:val="20"/>
              </w:rPr>
            </w:pPr>
            <w:r>
              <w:rPr>
                <w:rFonts w:eastAsia="Times New Roman"/>
                <w:b/>
                <w:bCs/>
                <w:sz w:val="20"/>
                <w:szCs w:val="20"/>
              </w:rPr>
              <w:t>Nom scientifique</w:t>
            </w:r>
          </w:p>
        </w:tc>
        <w:tc>
          <w:tcPr>
            <w:tcW w:w="25" w:type="dxa"/>
            <w:tcBorders>
              <w:bottom w:val="single" w:sz="8" w:space="0" w:color="auto"/>
            </w:tcBorders>
            <w:vAlign w:val="bottom"/>
          </w:tcPr>
          <w:p w:rsidR="00277292" w:rsidRDefault="00277292" w:rsidP="00277292">
            <w:pPr>
              <w:rPr>
                <w:sz w:val="16"/>
                <w:szCs w:val="16"/>
              </w:rPr>
            </w:pPr>
          </w:p>
        </w:tc>
        <w:tc>
          <w:tcPr>
            <w:tcW w:w="2679" w:type="dxa"/>
            <w:tcBorders>
              <w:top w:val="single" w:sz="8" w:space="0" w:color="CCFFCC"/>
              <w:bottom w:val="single" w:sz="8" w:space="0" w:color="auto"/>
            </w:tcBorders>
            <w:shd w:val="clear" w:color="auto" w:fill="CCFFCC"/>
            <w:vAlign w:val="bottom"/>
          </w:tcPr>
          <w:p w:rsidR="00277292" w:rsidRDefault="00277292" w:rsidP="00277292">
            <w:pPr>
              <w:spacing w:line="194" w:lineRule="exact"/>
              <w:ind w:left="100"/>
              <w:rPr>
                <w:sz w:val="20"/>
                <w:szCs w:val="20"/>
              </w:rPr>
            </w:pPr>
            <w:r>
              <w:rPr>
                <w:rFonts w:eastAsia="Times New Roman"/>
                <w:b/>
                <w:bCs/>
                <w:sz w:val="20"/>
                <w:szCs w:val="20"/>
              </w:rPr>
              <w:t>Nom commun</w:t>
            </w:r>
          </w:p>
        </w:tc>
        <w:tc>
          <w:tcPr>
            <w:tcW w:w="20" w:type="dxa"/>
            <w:tcBorders>
              <w:top w:val="single" w:sz="8" w:space="0" w:color="CCFFCC"/>
              <w:bottom w:val="single" w:sz="8" w:space="0" w:color="auto"/>
            </w:tcBorders>
            <w:vAlign w:val="bottom"/>
          </w:tcPr>
          <w:p w:rsidR="00277292" w:rsidRDefault="00277292" w:rsidP="00277292">
            <w:pPr>
              <w:rPr>
                <w:sz w:val="16"/>
                <w:szCs w:val="16"/>
              </w:rPr>
            </w:pPr>
          </w:p>
        </w:tc>
        <w:tc>
          <w:tcPr>
            <w:tcW w:w="100" w:type="dxa"/>
            <w:tcBorders>
              <w:top w:val="single" w:sz="8" w:space="0" w:color="CCFFCC"/>
              <w:bottom w:val="single" w:sz="8" w:space="0" w:color="auto"/>
            </w:tcBorders>
            <w:shd w:val="clear" w:color="auto" w:fill="CCFFCC"/>
            <w:vAlign w:val="bottom"/>
          </w:tcPr>
          <w:p w:rsidR="00277292" w:rsidRDefault="00277292" w:rsidP="00277292">
            <w:pPr>
              <w:rPr>
                <w:sz w:val="16"/>
                <w:szCs w:val="16"/>
              </w:rPr>
            </w:pPr>
          </w:p>
        </w:tc>
        <w:tc>
          <w:tcPr>
            <w:tcW w:w="860" w:type="dxa"/>
            <w:tcBorders>
              <w:top w:val="single" w:sz="8" w:space="0" w:color="CCFFCC"/>
              <w:bottom w:val="single" w:sz="8" w:space="0" w:color="auto"/>
            </w:tcBorders>
            <w:shd w:val="clear" w:color="auto" w:fill="CCFFCC"/>
            <w:vAlign w:val="bottom"/>
          </w:tcPr>
          <w:p w:rsidR="00277292" w:rsidRDefault="00277292" w:rsidP="00277292">
            <w:pPr>
              <w:spacing w:line="194" w:lineRule="exact"/>
              <w:ind w:right="180"/>
              <w:jc w:val="right"/>
              <w:rPr>
                <w:sz w:val="20"/>
                <w:szCs w:val="20"/>
              </w:rPr>
            </w:pPr>
            <w:r>
              <w:rPr>
                <w:rFonts w:eastAsia="Times New Roman"/>
                <w:b/>
                <w:bCs/>
                <w:sz w:val="20"/>
                <w:szCs w:val="20"/>
              </w:rPr>
              <w:t>1990</w:t>
            </w:r>
          </w:p>
        </w:tc>
        <w:tc>
          <w:tcPr>
            <w:tcW w:w="100" w:type="dxa"/>
            <w:tcBorders>
              <w:top w:val="single" w:sz="8" w:space="0" w:color="CCFFCC"/>
              <w:bottom w:val="single" w:sz="8" w:space="0" w:color="auto"/>
            </w:tcBorders>
            <w:shd w:val="clear" w:color="auto" w:fill="CCFFCC"/>
            <w:vAlign w:val="bottom"/>
          </w:tcPr>
          <w:p w:rsidR="00277292" w:rsidRDefault="00277292" w:rsidP="00277292">
            <w:pPr>
              <w:rPr>
                <w:sz w:val="16"/>
                <w:szCs w:val="16"/>
              </w:rPr>
            </w:pPr>
          </w:p>
        </w:tc>
        <w:tc>
          <w:tcPr>
            <w:tcW w:w="800" w:type="dxa"/>
            <w:tcBorders>
              <w:top w:val="single" w:sz="8" w:space="0" w:color="CCFFCC"/>
              <w:bottom w:val="single" w:sz="8" w:space="0" w:color="auto"/>
            </w:tcBorders>
            <w:shd w:val="clear" w:color="auto" w:fill="CCFFCC"/>
            <w:vAlign w:val="bottom"/>
          </w:tcPr>
          <w:p w:rsidR="00277292" w:rsidRDefault="00277292" w:rsidP="00277292">
            <w:pPr>
              <w:spacing w:line="190" w:lineRule="exact"/>
              <w:jc w:val="center"/>
              <w:rPr>
                <w:sz w:val="20"/>
                <w:szCs w:val="20"/>
              </w:rPr>
            </w:pPr>
            <w:r>
              <w:rPr>
                <w:rFonts w:eastAsia="Times New Roman"/>
                <w:b/>
                <w:bCs/>
                <w:w w:val="99"/>
                <w:sz w:val="20"/>
                <w:szCs w:val="20"/>
              </w:rPr>
              <w:t>2000</w:t>
            </w:r>
          </w:p>
        </w:tc>
        <w:tc>
          <w:tcPr>
            <w:tcW w:w="100" w:type="dxa"/>
            <w:tcBorders>
              <w:top w:val="single" w:sz="8" w:space="0" w:color="CCFFCC"/>
              <w:bottom w:val="single" w:sz="8" w:space="0" w:color="auto"/>
            </w:tcBorders>
            <w:shd w:val="clear" w:color="auto" w:fill="CCFFCC"/>
            <w:vAlign w:val="bottom"/>
          </w:tcPr>
          <w:p w:rsidR="00277292" w:rsidRDefault="00277292" w:rsidP="00277292">
            <w:pPr>
              <w:rPr>
                <w:sz w:val="16"/>
                <w:szCs w:val="16"/>
              </w:rPr>
            </w:pPr>
          </w:p>
        </w:tc>
        <w:tc>
          <w:tcPr>
            <w:tcW w:w="20" w:type="dxa"/>
            <w:tcBorders>
              <w:bottom w:val="single" w:sz="8" w:space="0" w:color="auto"/>
            </w:tcBorders>
            <w:vAlign w:val="bottom"/>
          </w:tcPr>
          <w:p w:rsidR="00277292" w:rsidRDefault="00277292" w:rsidP="00277292">
            <w:pPr>
              <w:rPr>
                <w:sz w:val="16"/>
                <w:szCs w:val="16"/>
              </w:rPr>
            </w:pPr>
          </w:p>
        </w:tc>
        <w:tc>
          <w:tcPr>
            <w:tcW w:w="100" w:type="dxa"/>
            <w:tcBorders>
              <w:top w:val="single" w:sz="8" w:space="0" w:color="CCFFCC"/>
              <w:bottom w:val="single" w:sz="8" w:space="0" w:color="auto"/>
            </w:tcBorders>
            <w:shd w:val="clear" w:color="auto" w:fill="CCFFCC"/>
            <w:vAlign w:val="bottom"/>
          </w:tcPr>
          <w:p w:rsidR="00277292" w:rsidRDefault="00277292" w:rsidP="00277292">
            <w:pPr>
              <w:rPr>
                <w:sz w:val="16"/>
                <w:szCs w:val="16"/>
              </w:rPr>
            </w:pPr>
          </w:p>
        </w:tc>
        <w:tc>
          <w:tcPr>
            <w:tcW w:w="800" w:type="dxa"/>
            <w:tcBorders>
              <w:top w:val="single" w:sz="8" w:space="0" w:color="CCFFCC"/>
              <w:bottom w:val="single" w:sz="8" w:space="0" w:color="auto"/>
            </w:tcBorders>
            <w:shd w:val="clear" w:color="auto" w:fill="CCFFCC"/>
            <w:vAlign w:val="bottom"/>
          </w:tcPr>
          <w:p w:rsidR="00277292" w:rsidRDefault="00277292" w:rsidP="00277292">
            <w:pPr>
              <w:spacing w:line="190" w:lineRule="exact"/>
              <w:ind w:right="100"/>
              <w:jc w:val="right"/>
              <w:rPr>
                <w:sz w:val="20"/>
                <w:szCs w:val="20"/>
              </w:rPr>
            </w:pPr>
            <w:r>
              <w:rPr>
                <w:rFonts w:eastAsia="Times New Roman"/>
                <w:b/>
                <w:bCs/>
                <w:sz w:val="20"/>
                <w:szCs w:val="20"/>
              </w:rPr>
              <w:t>2005</w:t>
            </w:r>
          </w:p>
        </w:tc>
        <w:tc>
          <w:tcPr>
            <w:tcW w:w="100" w:type="dxa"/>
            <w:tcBorders>
              <w:top w:val="single" w:sz="8" w:space="0" w:color="CCFFCC"/>
              <w:bottom w:val="single" w:sz="8" w:space="0" w:color="auto"/>
            </w:tcBorders>
            <w:shd w:val="clear" w:color="auto" w:fill="CCFFCC"/>
            <w:vAlign w:val="bottom"/>
          </w:tcPr>
          <w:p w:rsidR="00277292" w:rsidRDefault="00277292" w:rsidP="00277292">
            <w:pPr>
              <w:rPr>
                <w:sz w:val="16"/>
                <w:szCs w:val="16"/>
              </w:rPr>
            </w:pPr>
          </w:p>
        </w:tc>
        <w:tc>
          <w:tcPr>
            <w:tcW w:w="20" w:type="dxa"/>
            <w:vAlign w:val="bottom"/>
          </w:tcPr>
          <w:p w:rsidR="00277292" w:rsidRDefault="00277292" w:rsidP="00277292">
            <w:pPr>
              <w:rPr>
                <w:sz w:val="1"/>
                <w:szCs w:val="1"/>
              </w:rPr>
            </w:pPr>
          </w:p>
        </w:tc>
      </w:tr>
      <w:tr w:rsidR="00277292" w:rsidTr="008371D1">
        <w:trPr>
          <w:trHeight w:val="257"/>
        </w:trPr>
        <w:tc>
          <w:tcPr>
            <w:tcW w:w="1097" w:type="dxa"/>
            <w:gridSpan w:val="3"/>
            <w:tcBorders>
              <w:bottom w:val="single" w:sz="8" w:space="0" w:color="auto"/>
            </w:tcBorders>
            <w:vAlign w:val="bottom"/>
          </w:tcPr>
          <w:p w:rsidR="00277292" w:rsidRDefault="00277292" w:rsidP="00277292">
            <w:pPr>
              <w:spacing w:line="256" w:lineRule="exact"/>
              <w:ind w:left="120"/>
              <w:rPr>
                <w:sz w:val="20"/>
                <w:szCs w:val="20"/>
              </w:rPr>
            </w:pPr>
            <w:r>
              <w:rPr>
                <w:rFonts w:eastAsia="Times New Roman"/>
                <w:sz w:val="29"/>
                <w:szCs w:val="29"/>
                <w:vertAlign w:val="subscript"/>
              </w:rPr>
              <w:t>1</w:t>
            </w:r>
            <w:r>
              <w:rPr>
                <w:rFonts w:eastAsia="Times New Roman"/>
                <w:sz w:val="11"/>
                <w:szCs w:val="11"/>
              </w:rPr>
              <w:t>ère</w:t>
            </w:r>
          </w:p>
        </w:tc>
        <w:tc>
          <w:tcPr>
            <w:tcW w:w="2599" w:type="dxa"/>
            <w:tcBorders>
              <w:bottom w:val="single" w:sz="8" w:space="0" w:color="auto"/>
            </w:tcBorders>
            <w:vAlign w:val="bottom"/>
          </w:tcPr>
          <w:p w:rsidR="00277292" w:rsidRDefault="00277292" w:rsidP="00277292">
            <w:pPr>
              <w:spacing w:line="225" w:lineRule="exact"/>
              <w:ind w:left="100"/>
              <w:rPr>
                <w:sz w:val="20"/>
                <w:szCs w:val="20"/>
              </w:rPr>
            </w:pPr>
            <w:r>
              <w:rPr>
                <w:rFonts w:eastAsia="Times New Roman"/>
                <w:i/>
                <w:iCs/>
                <w:sz w:val="20"/>
                <w:szCs w:val="20"/>
              </w:rPr>
              <w:t>Dalium guineense</w:t>
            </w:r>
          </w:p>
        </w:tc>
        <w:tc>
          <w:tcPr>
            <w:tcW w:w="25" w:type="dxa"/>
            <w:tcBorders>
              <w:bottom w:val="single" w:sz="8" w:space="0" w:color="auto"/>
            </w:tcBorders>
            <w:vAlign w:val="bottom"/>
          </w:tcPr>
          <w:p w:rsidR="00277292" w:rsidRDefault="00277292" w:rsidP="00277292"/>
        </w:tc>
        <w:tc>
          <w:tcPr>
            <w:tcW w:w="2679" w:type="dxa"/>
            <w:tcBorders>
              <w:bottom w:val="single" w:sz="8" w:space="0" w:color="auto"/>
            </w:tcBorders>
            <w:vAlign w:val="bottom"/>
          </w:tcPr>
          <w:p w:rsidR="00277292" w:rsidRDefault="00277292" w:rsidP="00277292">
            <w:pPr>
              <w:spacing w:line="225" w:lineRule="exact"/>
              <w:ind w:left="100"/>
              <w:rPr>
                <w:sz w:val="20"/>
                <w:szCs w:val="20"/>
              </w:rPr>
            </w:pPr>
            <w:r>
              <w:rPr>
                <w:rFonts w:eastAsia="Times New Roman"/>
                <w:sz w:val="20"/>
                <w:szCs w:val="20"/>
              </w:rPr>
              <w:t>Pau veludo</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6,17</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5,90</w:t>
            </w:r>
          </w:p>
        </w:tc>
        <w:tc>
          <w:tcPr>
            <w:tcW w:w="1020" w:type="dxa"/>
            <w:gridSpan w:val="4"/>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5,77</w:t>
            </w:r>
          </w:p>
        </w:tc>
        <w:tc>
          <w:tcPr>
            <w:tcW w:w="20" w:type="dxa"/>
            <w:vAlign w:val="bottom"/>
          </w:tcPr>
          <w:p w:rsidR="00277292" w:rsidRDefault="00277292" w:rsidP="00277292">
            <w:pPr>
              <w:rPr>
                <w:sz w:val="1"/>
                <w:szCs w:val="1"/>
              </w:rPr>
            </w:pPr>
          </w:p>
        </w:tc>
      </w:tr>
      <w:tr w:rsidR="00277292" w:rsidTr="008371D1">
        <w:trPr>
          <w:trHeight w:val="244"/>
        </w:trPr>
        <w:tc>
          <w:tcPr>
            <w:tcW w:w="1097" w:type="dxa"/>
            <w:gridSpan w:val="3"/>
            <w:tcBorders>
              <w:bottom w:val="single" w:sz="8" w:space="0" w:color="auto"/>
            </w:tcBorders>
            <w:vAlign w:val="bottom"/>
          </w:tcPr>
          <w:p w:rsidR="00277292" w:rsidRDefault="00277292" w:rsidP="00277292">
            <w:pPr>
              <w:spacing w:line="243" w:lineRule="exact"/>
              <w:ind w:left="120"/>
              <w:rPr>
                <w:sz w:val="20"/>
                <w:szCs w:val="20"/>
              </w:rPr>
            </w:pPr>
            <w:r>
              <w:rPr>
                <w:rFonts w:eastAsia="Times New Roman"/>
                <w:sz w:val="28"/>
                <w:szCs w:val="28"/>
                <w:vertAlign w:val="subscript"/>
              </w:rPr>
              <w:t>2</w:t>
            </w:r>
            <w:r>
              <w:rPr>
                <w:rFonts w:eastAsia="Times New Roman"/>
                <w:sz w:val="11"/>
                <w:szCs w:val="11"/>
              </w:rPr>
              <w:t>ème</w:t>
            </w:r>
          </w:p>
        </w:tc>
        <w:tc>
          <w:tcPr>
            <w:tcW w:w="259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i/>
                <w:iCs/>
                <w:sz w:val="20"/>
                <w:szCs w:val="20"/>
              </w:rPr>
              <w:t>Daniella oliveiri</w:t>
            </w:r>
          </w:p>
        </w:tc>
        <w:tc>
          <w:tcPr>
            <w:tcW w:w="25" w:type="dxa"/>
            <w:tcBorders>
              <w:bottom w:val="single" w:sz="8" w:space="0" w:color="auto"/>
            </w:tcBorders>
            <w:vAlign w:val="bottom"/>
          </w:tcPr>
          <w:p w:rsidR="00277292" w:rsidRDefault="00277292" w:rsidP="00277292">
            <w:pPr>
              <w:rPr>
                <w:sz w:val="21"/>
                <w:szCs w:val="21"/>
              </w:rPr>
            </w:pPr>
          </w:p>
        </w:tc>
        <w:tc>
          <w:tcPr>
            <w:tcW w:w="267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sz w:val="20"/>
                <w:szCs w:val="20"/>
              </w:rPr>
              <w:t>Encens, Santan ou Faro</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3,60</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3,44</w:t>
            </w:r>
          </w:p>
        </w:tc>
        <w:tc>
          <w:tcPr>
            <w:tcW w:w="1020" w:type="dxa"/>
            <w:gridSpan w:val="4"/>
            <w:tcBorders>
              <w:bottom w:val="single" w:sz="8" w:space="0" w:color="auto"/>
            </w:tcBorders>
            <w:vAlign w:val="bottom"/>
          </w:tcPr>
          <w:p w:rsidR="00277292" w:rsidRDefault="00277292" w:rsidP="00277292">
            <w:pPr>
              <w:spacing w:line="224" w:lineRule="exact"/>
              <w:ind w:right="100"/>
              <w:jc w:val="right"/>
              <w:rPr>
                <w:sz w:val="20"/>
                <w:szCs w:val="20"/>
              </w:rPr>
            </w:pPr>
            <w:r>
              <w:rPr>
                <w:rFonts w:eastAsia="Times New Roman"/>
                <w:sz w:val="20"/>
                <w:szCs w:val="20"/>
              </w:rPr>
              <w:t>3,37</w:t>
            </w:r>
          </w:p>
        </w:tc>
        <w:tc>
          <w:tcPr>
            <w:tcW w:w="20" w:type="dxa"/>
            <w:vAlign w:val="bottom"/>
          </w:tcPr>
          <w:p w:rsidR="00277292" w:rsidRDefault="00277292" w:rsidP="00277292">
            <w:pPr>
              <w:rPr>
                <w:sz w:val="1"/>
                <w:szCs w:val="1"/>
              </w:rPr>
            </w:pPr>
          </w:p>
        </w:tc>
      </w:tr>
      <w:tr w:rsidR="00277292" w:rsidTr="008371D1">
        <w:trPr>
          <w:trHeight w:val="246"/>
        </w:trPr>
        <w:tc>
          <w:tcPr>
            <w:tcW w:w="1097" w:type="dxa"/>
            <w:gridSpan w:val="3"/>
            <w:tcBorders>
              <w:bottom w:val="single" w:sz="8" w:space="0" w:color="auto"/>
            </w:tcBorders>
            <w:vAlign w:val="bottom"/>
          </w:tcPr>
          <w:p w:rsidR="00277292" w:rsidRDefault="00277292" w:rsidP="00277292">
            <w:pPr>
              <w:spacing w:line="246" w:lineRule="exact"/>
              <w:ind w:left="120"/>
              <w:rPr>
                <w:sz w:val="20"/>
                <w:szCs w:val="20"/>
              </w:rPr>
            </w:pPr>
            <w:r>
              <w:rPr>
                <w:rFonts w:eastAsia="Times New Roman"/>
                <w:sz w:val="28"/>
                <w:szCs w:val="28"/>
                <w:vertAlign w:val="subscript"/>
              </w:rPr>
              <w:t>3</w:t>
            </w:r>
            <w:r>
              <w:rPr>
                <w:rFonts w:eastAsia="Times New Roman"/>
                <w:sz w:val="11"/>
                <w:szCs w:val="11"/>
              </w:rPr>
              <w:t>ème</w:t>
            </w:r>
          </w:p>
        </w:tc>
        <w:tc>
          <w:tcPr>
            <w:tcW w:w="259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i/>
                <w:iCs/>
                <w:sz w:val="20"/>
                <w:szCs w:val="20"/>
              </w:rPr>
              <w:t>Pterocarpus erinaceus</w:t>
            </w:r>
          </w:p>
        </w:tc>
        <w:tc>
          <w:tcPr>
            <w:tcW w:w="25" w:type="dxa"/>
            <w:tcBorders>
              <w:bottom w:val="single" w:sz="8" w:space="0" w:color="auto"/>
            </w:tcBorders>
            <w:vAlign w:val="bottom"/>
          </w:tcPr>
          <w:p w:rsidR="00277292" w:rsidRDefault="00277292" w:rsidP="00277292">
            <w:pPr>
              <w:rPr>
                <w:sz w:val="21"/>
                <w:szCs w:val="21"/>
              </w:rPr>
            </w:pPr>
          </w:p>
        </w:tc>
        <w:tc>
          <w:tcPr>
            <w:tcW w:w="267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sz w:val="20"/>
                <w:szCs w:val="20"/>
              </w:rPr>
              <w:t>Vène, Palissandre Sénégal</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3,09</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2,95</w:t>
            </w:r>
          </w:p>
        </w:tc>
        <w:tc>
          <w:tcPr>
            <w:tcW w:w="1020" w:type="dxa"/>
            <w:gridSpan w:val="4"/>
            <w:tcBorders>
              <w:bottom w:val="single" w:sz="8" w:space="0" w:color="auto"/>
            </w:tcBorders>
            <w:vAlign w:val="bottom"/>
          </w:tcPr>
          <w:p w:rsidR="00277292" w:rsidRDefault="00277292" w:rsidP="00277292">
            <w:pPr>
              <w:spacing w:line="226" w:lineRule="exact"/>
              <w:ind w:right="100"/>
              <w:jc w:val="right"/>
              <w:rPr>
                <w:sz w:val="20"/>
                <w:szCs w:val="20"/>
              </w:rPr>
            </w:pPr>
            <w:r>
              <w:rPr>
                <w:rFonts w:eastAsia="Times New Roman"/>
                <w:sz w:val="20"/>
                <w:szCs w:val="20"/>
              </w:rPr>
              <w:t>2,88</w:t>
            </w:r>
          </w:p>
        </w:tc>
        <w:tc>
          <w:tcPr>
            <w:tcW w:w="20" w:type="dxa"/>
            <w:vAlign w:val="bottom"/>
          </w:tcPr>
          <w:p w:rsidR="00277292" w:rsidRDefault="00277292" w:rsidP="00277292">
            <w:pPr>
              <w:rPr>
                <w:sz w:val="1"/>
                <w:szCs w:val="1"/>
              </w:rPr>
            </w:pPr>
          </w:p>
        </w:tc>
      </w:tr>
      <w:tr w:rsidR="00277292" w:rsidTr="008371D1">
        <w:trPr>
          <w:trHeight w:val="244"/>
        </w:trPr>
        <w:tc>
          <w:tcPr>
            <w:tcW w:w="1097" w:type="dxa"/>
            <w:gridSpan w:val="3"/>
            <w:tcBorders>
              <w:bottom w:val="single" w:sz="8" w:space="0" w:color="auto"/>
            </w:tcBorders>
            <w:vAlign w:val="bottom"/>
          </w:tcPr>
          <w:p w:rsidR="00277292" w:rsidRDefault="00277292" w:rsidP="00277292">
            <w:pPr>
              <w:spacing w:line="243" w:lineRule="exact"/>
              <w:ind w:left="120"/>
              <w:rPr>
                <w:sz w:val="20"/>
                <w:szCs w:val="20"/>
              </w:rPr>
            </w:pPr>
            <w:r>
              <w:rPr>
                <w:rFonts w:eastAsia="Times New Roman"/>
                <w:sz w:val="28"/>
                <w:szCs w:val="28"/>
                <w:vertAlign w:val="subscript"/>
              </w:rPr>
              <w:t>4</w:t>
            </w:r>
            <w:r>
              <w:rPr>
                <w:rFonts w:eastAsia="Times New Roman"/>
                <w:sz w:val="11"/>
                <w:szCs w:val="11"/>
              </w:rPr>
              <w:t>ème</w:t>
            </w:r>
          </w:p>
        </w:tc>
        <w:tc>
          <w:tcPr>
            <w:tcW w:w="259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i/>
                <w:iCs/>
                <w:sz w:val="20"/>
                <w:szCs w:val="20"/>
              </w:rPr>
              <w:t>Spondias mobin</w:t>
            </w:r>
          </w:p>
        </w:tc>
        <w:tc>
          <w:tcPr>
            <w:tcW w:w="25" w:type="dxa"/>
            <w:tcBorders>
              <w:bottom w:val="single" w:sz="8" w:space="0" w:color="auto"/>
            </w:tcBorders>
            <w:vAlign w:val="bottom"/>
          </w:tcPr>
          <w:p w:rsidR="00277292" w:rsidRDefault="00277292" w:rsidP="00277292">
            <w:pPr>
              <w:rPr>
                <w:sz w:val="21"/>
                <w:szCs w:val="21"/>
              </w:rPr>
            </w:pPr>
          </w:p>
        </w:tc>
        <w:tc>
          <w:tcPr>
            <w:tcW w:w="267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sz w:val="20"/>
                <w:szCs w:val="20"/>
              </w:rPr>
              <w:t>Mandiple</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2,06</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1,97</w:t>
            </w:r>
          </w:p>
        </w:tc>
        <w:tc>
          <w:tcPr>
            <w:tcW w:w="1020" w:type="dxa"/>
            <w:gridSpan w:val="4"/>
            <w:tcBorders>
              <w:bottom w:val="single" w:sz="8" w:space="0" w:color="auto"/>
            </w:tcBorders>
            <w:vAlign w:val="bottom"/>
          </w:tcPr>
          <w:p w:rsidR="00277292" w:rsidRDefault="00277292" w:rsidP="00277292">
            <w:pPr>
              <w:spacing w:line="224" w:lineRule="exact"/>
              <w:ind w:right="100"/>
              <w:jc w:val="right"/>
              <w:rPr>
                <w:sz w:val="20"/>
                <w:szCs w:val="20"/>
              </w:rPr>
            </w:pPr>
            <w:r>
              <w:rPr>
                <w:rFonts w:eastAsia="Times New Roman"/>
                <w:sz w:val="20"/>
                <w:szCs w:val="20"/>
              </w:rPr>
              <w:t>1,92</w:t>
            </w:r>
          </w:p>
        </w:tc>
        <w:tc>
          <w:tcPr>
            <w:tcW w:w="20" w:type="dxa"/>
            <w:vAlign w:val="bottom"/>
          </w:tcPr>
          <w:p w:rsidR="00277292" w:rsidRDefault="00277292" w:rsidP="00277292">
            <w:pPr>
              <w:rPr>
                <w:sz w:val="1"/>
                <w:szCs w:val="1"/>
              </w:rPr>
            </w:pPr>
          </w:p>
        </w:tc>
      </w:tr>
      <w:tr w:rsidR="00277292" w:rsidTr="008371D1">
        <w:trPr>
          <w:trHeight w:val="246"/>
        </w:trPr>
        <w:tc>
          <w:tcPr>
            <w:tcW w:w="1097" w:type="dxa"/>
            <w:gridSpan w:val="3"/>
            <w:tcBorders>
              <w:bottom w:val="single" w:sz="8" w:space="0" w:color="auto"/>
            </w:tcBorders>
            <w:vAlign w:val="bottom"/>
          </w:tcPr>
          <w:p w:rsidR="00277292" w:rsidRDefault="00277292" w:rsidP="00277292">
            <w:pPr>
              <w:spacing w:line="246" w:lineRule="exact"/>
              <w:ind w:left="120"/>
              <w:rPr>
                <w:sz w:val="20"/>
                <w:szCs w:val="20"/>
              </w:rPr>
            </w:pPr>
            <w:r>
              <w:rPr>
                <w:rFonts w:eastAsia="Times New Roman"/>
                <w:sz w:val="28"/>
                <w:szCs w:val="28"/>
                <w:vertAlign w:val="subscript"/>
              </w:rPr>
              <w:t>5</w:t>
            </w:r>
            <w:r>
              <w:rPr>
                <w:rFonts w:eastAsia="Times New Roman"/>
                <w:sz w:val="11"/>
                <w:szCs w:val="11"/>
              </w:rPr>
              <w:t>ème</w:t>
            </w:r>
          </w:p>
        </w:tc>
        <w:tc>
          <w:tcPr>
            <w:tcW w:w="259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i/>
                <w:iCs/>
                <w:sz w:val="20"/>
                <w:szCs w:val="20"/>
              </w:rPr>
              <w:t>Prosopis africana</w:t>
            </w:r>
          </w:p>
        </w:tc>
        <w:tc>
          <w:tcPr>
            <w:tcW w:w="25" w:type="dxa"/>
            <w:tcBorders>
              <w:bottom w:val="single" w:sz="8" w:space="0" w:color="auto"/>
            </w:tcBorders>
            <w:vAlign w:val="bottom"/>
          </w:tcPr>
          <w:p w:rsidR="00277292" w:rsidRDefault="00277292" w:rsidP="00277292">
            <w:pPr>
              <w:rPr>
                <w:sz w:val="21"/>
                <w:szCs w:val="21"/>
              </w:rPr>
            </w:pPr>
          </w:p>
        </w:tc>
        <w:tc>
          <w:tcPr>
            <w:tcW w:w="267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sz w:val="20"/>
                <w:szCs w:val="20"/>
              </w:rPr>
              <w:t>Ir, pau carvao</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2,06</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1,97</w:t>
            </w:r>
          </w:p>
        </w:tc>
        <w:tc>
          <w:tcPr>
            <w:tcW w:w="1020" w:type="dxa"/>
            <w:gridSpan w:val="4"/>
            <w:tcBorders>
              <w:bottom w:val="single" w:sz="8" w:space="0" w:color="auto"/>
            </w:tcBorders>
            <w:vAlign w:val="bottom"/>
          </w:tcPr>
          <w:p w:rsidR="00277292" w:rsidRDefault="00277292" w:rsidP="00277292">
            <w:pPr>
              <w:spacing w:line="224" w:lineRule="exact"/>
              <w:ind w:right="100"/>
              <w:jc w:val="right"/>
              <w:rPr>
                <w:sz w:val="20"/>
                <w:szCs w:val="20"/>
              </w:rPr>
            </w:pPr>
            <w:r>
              <w:rPr>
                <w:rFonts w:eastAsia="Times New Roman"/>
                <w:sz w:val="20"/>
                <w:szCs w:val="20"/>
              </w:rPr>
              <w:t>1,92</w:t>
            </w:r>
          </w:p>
        </w:tc>
        <w:tc>
          <w:tcPr>
            <w:tcW w:w="20" w:type="dxa"/>
            <w:vAlign w:val="bottom"/>
          </w:tcPr>
          <w:p w:rsidR="00277292" w:rsidRDefault="00277292" w:rsidP="00277292">
            <w:pPr>
              <w:rPr>
                <w:sz w:val="1"/>
                <w:szCs w:val="1"/>
              </w:rPr>
            </w:pPr>
          </w:p>
        </w:tc>
      </w:tr>
      <w:tr w:rsidR="00277292" w:rsidTr="008371D1">
        <w:trPr>
          <w:trHeight w:val="244"/>
        </w:trPr>
        <w:tc>
          <w:tcPr>
            <w:tcW w:w="1097" w:type="dxa"/>
            <w:gridSpan w:val="3"/>
            <w:tcBorders>
              <w:bottom w:val="single" w:sz="8" w:space="0" w:color="auto"/>
            </w:tcBorders>
            <w:vAlign w:val="bottom"/>
          </w:tcPr>
          <w:p w:rsidR="00277292" w:rsidRDefault="00277292" w:rsidP="00277292">
            <w:pPr>
              <w:spacing w:line="243" w:lineRule="exact"/>
              <w:ind w:left="120"/>
              <w:rPr>
                <w:sz w:val="20"/>
                <w:szCs w:val="20"/>
              </w:rPr>
            </w:pPr>
            <w:r>
              <w:rPr>
                <w:rFonts w:eastAsia="Times New Roman"/>
                <w:sz w:val="28"/>
                <w:szCs w:val="28"/>
                <w:vertAlign w:val="subscript"/>
              </w:rPr>
              <w:t>6</w:t>
            </w:r>
            <w:r>
              <w:rPr>
                <w:rFonts w:eastAsia="Times New Roman"/>
                <w:sz w:val="11"/>
                <w:szCs w:val="11"/>
              </w:rPr>
              <w:t>ème</w:t>
            </w:r>
          </w:p>
        </w:tc>
        <w:tc>
          <w:tcPr>
            <w:tcW w:w="259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i/>
                <w:iCs/>
                <w:sz w:val="20"/>
                <w:szCs w:val="20"/>
              </w:rPr>
              <w:t>Parkia biglobosa</w:t>
            </w:r>
          </w:p>
        </w:tc>
        <w:tc>
          <w:tcPr>
            <w:tcW w:w="25" w:type="dxa"/>
            <w:tcBorders>
              <w:bottom w:val="single" w:sz="8" w:space="0" w:color="auto"/>
            </w:tcBorders>
            <w:vAlign w:val="bottom"/>
          </w:tcPr>
          <w:p w:rsidR="00277292" w:rsidRDefault="00277292" w:rsidP="00277292">
            <w:pPr>
              <w:rPr>
                <w:sz w:val="21"/>
                <w:szCs w:val="21"/>
              </w:rPr>
            </w:pPr>
          </w:p>
        </w:tc>
        <w:tc>
          <w:tcPr>
            <w:tcW w:w="267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sz w:val="20"/>
                <w:szCs w:val="20"/>
              </w:rPr>
              <w:t>Faroba</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2,06</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1,97</w:t>
            </w:r>
          </w:p>
        </w:tc>
        <w:tc>
          <w:tcPr>
            <w:tcW w:w="1020" w:type="dxa"/>
            <w:gridSpan w:val="4"/>
            <w:tcBorders>
              <w:bottom w:val="single" w:sz="8" w:space="0" w:color="auto"/>
            </w:tcBorders>
            <w:vAlign w:val="bottom"/>
          </w:tcPr>
          <w:p w:rsidR="00277292" w:rsidRDefault="00277292" w:rsidP="00277292">
            <w:pPr>
              <w:spacing w:line="224" w:lineRule="exact"/>
              <w:ind w:right="100"/>
              <w:jc w:val="right"/>
              <w:rPr>
                <w:sz w:val="20"/>
                <w:szCs w:val="20"/>
              </w:rPr>
            </w:pPr>
            <w:r>
              <w:rPr>
                <w:rFonts w:eastAsia="Times New Roman"/>
                <w:sz w:val="20"/>
                <w:szCs w:val="20"/>
              </w:rPr>
              <w:t>1,92</w:t>
            </w:r>
          </w:p>
        </w:tc>
        <w:tc>
          <w:tcPr>
            <w:tcW w:w="20" w:type="dxa"/>
            <w:vAlign w:val="bottom"/>
          </w:tcPr>
          <w:p w:rsidR="00277292" w:rsidRDefault="00277292" w:rsidP="00277292">
            <w:pPr>
              <w:rPr>
                <w:sz w:val="1"/>
                <w:szCs w:val="1"/>
              </w:rPr>
            </w:pPr>
          </w:p>
        </w:tc>
      </w:tr>
      <w:tr w:rsidR="00277292" w:rsidTr="008371D1">
        <w:trPr>
          <w:trHeight w:val="244"/>
        </w:trPr>
        <w:tc>
          <w:tcPr>
            <w:tcW w:w="1097" w:type="dxa"/>
            <w:gridSpan w:val="3"/>
            <w:tcBorders>
              <w:bottom w:val="single" w:sz="8" w:space="0" w:color="auto"/>
            </w:tcBorders>
            <w:vAlign w:val="bottom"/>
          </w:tcPr>
          <w:p w:rsidR="00277292" w:rsidRDefault="00277292" w:rsidP="00277292">
            <w:pPr>
              <w:spacing w:line="243" w:lineRule="exact"/>
              <w:ind w:left="120"/>
              <w:rPr>
                <w:sz w:val="20"/>
                <w:szCs w:val="20"/>
              </w:rPr>
            </w:pPr>
            <w:r>
              <w:rPr>
                <w:rFonts w:eastAsia="Times New Roman"/>
                <w:sz w:val="28"/>
                <w:szCs w:val="28"/>
                <w:vertAlign w:val="subscript"/>
              </w:rPr>
              <w:t>7</w:t>
            </w:r>
            <w:r>
              <w:rPr>
                <w:rFonts w:eastAsia="Times New Roman"/>
                <w:sz w:val="11"/>
                <w:szCs w:val="11"/>
              </w:rPr>
              <w:t>ème</w:t>
            </w:r>
          </w:p>
        </w:tc>
        <w:tc>
          <w:tcPr>
            <w:tcW w:w="259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i/>
                <w:iCs/>
                <w:sz w:val="20"/>
                <w:szCs w:val="20"/>
              </w:rPr>
              <w:t>Parinari excelsa</w:t>
            </w:r>
          </w:p>
        </w:tc>
        <w:tc>
          <w:tcPr>
            <w:tcW w:w="25" w:type="dxa"/>
            <w:tcBorders>
              <w:bottom w:val="single" w:sz="8" w:space="0" w:color="auto"/>
            </w:tcBorders>
            <w:vAlign w:val="bottom"/>
          </w:tcPr>
          <w:p w:rsidR="00277292" w:rsidRDefault="00277292" w:rsidP="00277292">
            <w:pPr>
              <w:rPr>
                <w:sz w:val="21"/>
                <w:szCs w:val="21"/>
              </w:rPr>
            </w:pPr>
          </w:p>
        </w:tc>
        <w:tc>
          <w:tcPr>
            <w:tcW w:w="267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sz w:val="20"/>
                <w:szCs w:val="20"/>
              </w:rPr>
              <w:t>Mampataz</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1,54</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1,48</w:t>
            </w:r>
          </w:p>
        </w:tc>
        <w:tc>
          <w:tcPr>
            <w:tcW w:w="1020" w:type="dxa"/>
            <w:gridSpan w:val="4"/>
            <w:tcBorders>
              <w:bottom w:val="single" w:sz="8" w:space="0" w:color="auto"/>
            </w:tcBorders>
            <w:vAlign w:val="bottom"/>
          </w:tcPr>
          <w:p w:rsidR="00277292" w:rsidRDefault="00277292" w:rsidP="00277292">
            <w:pPr>
              <w:spacing w:line="224" w:lineRule="exact"/>
              <w:ind w:right="100"/>
              <w:jc w:val="right"/>
              <w:rPr>
                <w:sz w:val="20"/>
                <w:szCs w:val="20"/>
              </w:rPr>
            </w:pPr>
            <w:r>
              <w:rPr>
                <w:rFonts w:eastAsia="Times New Roman"/>
                <w:sz w:val="20"/>
                <w:szCs w:val="20"/>
              </w:rPr>
              <w:t>1,44</w:t>
            </w:r>
          </w:p>
        </w:tc>
        <w:tc>
          <w:tcPr>
            <w:tcW w:w="20" w:type="dxa"/>
            <w:vAlign w:val="bottom"/>
          </w:tcPr>
          <w:p w:rsidR="00277292" w:rsidRDefault="00277292" w:rsidP="00277292">
            <w:pPr>
              <w:rPr>
                <w:sz w:val="1"/>
                <w:szCs w:val="1"/>
              </w:rPr>
            </w:pPr>
          </w:p>
        </w:tc>
      </w:tr>
      <w:tr w:rsidR="00277292" w:rsidTr="008371D1">
        <w:trPr>
          <w:trHeight w:val="246"/>
        </w:trPr>
        <w:tc>
          <w:tcPr>
            <w:tcW w:w="1097" w:type="dxa"/>
            <w:gridSpan w:val="3"/>
            <w:tcBorders>
              <w:bottom w:val="single" w:sz="8" w:space="0" w:color="auto"/>
            </w:tcBorders>
            <w:vAlign w:val="bottom"/>
          </w:tcPr>
          <w:p w:rsidR="00277292" w:rsidRDefault="00277292" w:rsidP="00277292">
            <w:pPr>
              <w:spacing w:line="246" w:lineRule="exact"/>
              <w:ind w:left="120"/>
              <w:rPr>
                <w:sz w:val="20"/>
                <w:szCs w:val="20"/>
              </w:rPr>
            </w:pPr>
            <w:r>
              <w:rPr>
                <w:rFonts w:eastAsia="Times New Roman"/>
                <w:sz w:val="28"/>
                <w:szCs w:val="28"/>
                <w:vertAlign w:val="subscript"/>
              </w:rPr>
              <w:t>8</w:t>
            </w:r>
            <w:r>
              <w:rPr>
                <w:rFonts w:eastAsia="Times New Roman"/>
                <w:sz w:val="11"/>
                <w:szCs w:val="11"/>
              </w:rPr>
              <w:t>ème</w:t>
            </w:r>
          </w:p>
        </w:tc>
        <w:tc>
          <w:tcPr>
            <w:tcW w:w="259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i/>
                <w:iCs/>
                <w:sz w:val="20"/>
                <w:szCs w:val="20"/>
              </w:rPr>
              <w:t>Chlorophora regia</w:t>
            </w:r>
          </w:p>
        </w:tc>
        <w:tc>
          <w:tcPr>
            <w:tcW w:w="25" w:type="dxa"/>
            <w:tcBorders>
              <w:bottom w:val="single" w:sz="8" w:space="0" w:color="auto"/>
            </w:tcBorders>
            <w:vAlign w:val="bottom"/>
          </w:tcPr>
          <w:p w:rsidR="00277292" w:rsidRDefault="00277292" w:rsidP="00277292">
            <w:pPr>
              <w:rPr>
                <w:sz w:val="21"/>
                <w:szCs w:val="21"/>
              </w:rPr>
            </w:pPr>
          </w:p>
        </w:tc>
        <w:tc>
          <w:tcPr>
            <w:tcW w:w="267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sz w:val="20"/>
                <w:szCs w:val="20"/>
              </w:rPr>
              <w:t>Pau- bicho-preto</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1,03</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0,98</w:t>
            </w:r>
          </w:p>
        </w:tc>
        <w:tc>
          <w:tcPr>
            <w:tcW w:w="1020" w:type="dxa"/>
            <w:gridSpan w:val="4"/>
            <w:tcBorders>
              <w:bottom w:val="single" w:sz="8" w:space="0" w:color="auto"/>
            </w:tcBorders>
            <w:vAlign w:val="bottom"/>
          </w:tcPr>
          <w:p w:rsidR="00277292" w:rsidRDefault="00277292" w:rsidP="00277292">
            <w:pPr>
              <w:spacing w:line="226" w:lineRule="exact"/>
              <w:ind w:right="100"/>
              <w:jc w:val="right"/>
              <w:rPr>
                <w:sz w:val="20"/>
                <w:szCs w:val="20"/>
              </w:rPr>
            </w:pPr>
            <w:r>
              <w:rPr>
                <w:rFonts w:eastAsia="Times New Roman"/>
                <w:sz w:val="20"/>
                <w:szCs w:val="20"/>
              </w:rPr>
              <w:t>0,96</w:t>
            </w:r>
          </w:p>
        </w:tc>
        <w:tc>
          <w:tcPr>
            <w:tcW w:w="20" w:type="dxa"/>
            <w:vAlign w:val="bottom"/>
          </w:tcPr>
          <w:p w:rsidR="00277292" w:rsidRDefault="00277292" w:rsidP="00277292">
            <w:pPr>
              <w:rPr>
                <w:sz w:val="1"/>
                <w:szCs w:val="1"/>
              </w:rPr>
            </w:pPr>
          </w:p>
        </w:tc>
      </w:tr>
      <w:tr w:rsidR="00277292" w:rsidTr="000516EA">
        <w:trPr>
          <w:trHeight w:val="268"/>
        </w:trPr>
        <w:tc>
          <w:tcPr>
            <w:tcW w:w="1097" w:type="dxa"/>
            <w:gridSpan w:val="3"/>
            <w:tcBorders>
              <w:bottom w:val="single" w:sz="8" w:space="0" w:color="auto"/>
            </w:tcBorders>
            <w:vAlign w:val="bottom"/>
          </w:tcPr>
          <w:p w:rsidR="00277292" w:rsidRDefault="00277292" w:rsidP="00277292">
            <w:pPr>
              <w:spacing w:line="245" w:lineRule="exact"/>
              <w:ind w:left="120"/>
              <w:rPr>
                <w:sz w:val="20"/>
                <w:szCs w:val="20"/>
              </w:rPr>
            </w:pPr>
            <w:r>
              <w:rPr>
                <w:rFonts w:eastAsia="Times New Roman"/>
                <w:sz w:val="28"/>
                <w:szCs w:val="28"/>
                <w:vertAlign w:val="subscript"/>
              </w:rPr>
              <w:t>9</w:t>
            </w:r>
            <w:r>
              <w:rPr>
                <w:rFonts w:eastAsia="Times New Roman"/>
                <w:sz w:val="11"/>
                <w:szCs w:val="11"/>
              </w:rPr>
              <w:t>ème</w:t>
            </w:r>
          </w:p>
        </w:tc>
        <w:tc>
          <w:tcPr>
            <w:tcW w:w="259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sz w:val="20"/>
                <w:szCs w:val="20"/>
              </w:rPr>
              <w:t>Inconnu</w:t>
            </w:r>
          </w:p>
        </w:tc>
        <w:tc>
          <w:tcPr>
            <w:tcW w:w="25" w:type="dxa"/>
            <w:tcBorders>
              <w:bottom w:val="single" w:sz="8" w:space="0" w:color="auto"/>
            </w:tcBorders>
            <w:vAlign w:val="bottom"/>
          </w:tcPr>
          <w:p w:rsidR="00277292" w:rsidRDefault="00277292" w:rsidP="00277292">
            <w:pPr>
              <w:rPr>
                <w:sz w:val="21"/>
                <w:szCs w:val="21"/>
              </w:rPr>
            </w:pPr>
          </w:p>
        </w:tc>
        <w:tc>
          <w:tcPr>
            <w:tcW w:w="2679" w:type="dxa"/>
            <w:tcBorders>
              <w:bottom w:val="single" w:sz="8" w:space="0" w:color="auto"/>
            </w:tcBorders>
            <w:vAlign w:val="bottom"/>
          </w:tcPr>
          <w:p w:rsidR="00277292" w:rsidRDefault="00277292" w:rsidP="00277292">
            <w:pPr>
              <w:spacing w:line="224" w:lineRule="exact"/>
              <w:ind w:left="100"/>
              <w:rPr>
                <w:sz w:val="20"/>
                <w:szCs w:val="20"/>
              </w:rPr>
            </w:pPr>
            <w:r>
              <w:rPr>
                <w:rFonts w:eastAsia="Times New Roman"/>
                <w:sz w:val="20"/>
                <w:szCs w:val="20"/>
              </w:rPr>
              <w:t>(la Lodje)</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1,03</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0,98</w:t>
            </w:r>
          </w:p>
        </w:tc>
        <w:tc>
          <w:tcPr>
            <w:tcW w:w="1020" w:type="dxa"/>
            <w:gridSpan w:val="4"/>
            <w:tcBorders>
              <w:bottom w:val="single" w:sz="8" w:space="0" w:color="auto"/>
            </w:tcBorders>
            <w:vAlign w:val="bottom"/>
          </w:tcPr>
          <w:p w:rsidR="00277292" w:rsidRDefault="00277292" w:rsidP="00277292">
            <w:pPr>
              <w:spacing w:line="224" w:lineRule="exact"/>
              <w:ind w:right="100"/>
              <w:jc w:val="right"/>
              <w:rPr>
                <w:sz w:val="20"/>
                <w:szCs w:val="20"/>
              </w:rPr>
            </w:pPr>
            <w:r>
              <w:rPr>
                <w:rFonts w:eastAsia="Times New Roman"/>
                <w:sz w:val="20"/>
                <w:szCs w:val="20"/>
              </w:rPr>
              <w:t>0,96</w:t>
            </w:r>
          </w:p>
        </w:tc>
        <w:tc>
          <w:tcPr>
            <w:tcW w:w="20" w:type="dxa"/>
            <w:vAlign w:val="bottom"/>
          </w:tcPr>
          <w:p w:rsidR="00277292" w:rsidRDefault="00277292" w:rsidP="00277292">
            <w:pPr>
              <w:rPr>
                <w:sz w:val="1"/>
                <w:szCs w:val="1"/>
              </w:rPr>
            </w:pPr>
          </w:p>
        </w:tc>
      </w:tr>
      <w:tr w:rsidR="00277292" w:rsidTr="008371D1">
        <w:trPr>
          <w:trHeight w:val="266"/>
        </w:trPr>
        <w:tc>
          <w:tcPr>
            <w:tcW w:w="1097" w:type="dxa"/>
            <w:gridSpan w:val="3"/>
            <w:tcBorders>
              <w:bottom w:val="single" w:sz="8" w:space="0" w:color="auto"/>
            </w:tcBorders>
            <w:vAlign w:val="bottom"/>
          </w:tcPr>
          <w:p w:rsidR="00277292" w:rsidRDefault="00277292" w:rsidP="00277292">
            <w:pPr>
              <w:spacing w:line="246" w:lineRule="exact"/>
              <w:ind w:left="120"/>
              <w:rPr>
                <w:sz w:val="20"/>
                <w:szCs w:val="20"/>
              </w:rPr>
            </w:pPr>
            <w:r>
              <w:rPr>
                <w:rFonts w:eastAsia="Times New Roman"/>
                <w:sz w:val="28"/>
                <w:szCs w:val="28"/>
                <w:vertAlign w:val="subscript"/>
              </w:rPr>
              <w:t>10</w:t>
            </w:r>
            <w:r>
              <w:rPr>
                <w:rFonts w:eastAsia="Times New Roman"/>
                <w:sz w:val="11"/>
                <w:szCs w:val="11"/>
              </w:rPr>
              <w:t>ème</w:t>
            </w:r>
          </w:p>
        </w:tc>
        <w:tc>
          <w:tcPr>
            <w:tcW w:w="2599" w:type="dxa"/>
            <w:tcBorders>
              <w:bottom w:val="single" w:sz="8" w:space="0" w:color="auto"/>
            </w:tcBorders>
            <w:vAlign w:val="bottom"/>
          </w:tcPr>
          <w:p w:rsidR="00277292" w:rsidRDefault="00277292" w:rsidP="00277292">
            <w:pPr>
              <w:spacing w:line="219" w:lineRule="exact"/>
              <w:ind w:left="100"/>
              <w:rPr>
                <w:sz w:val="20"/>
                <w:szCs w:val="20"/>
              </w:rPr>
            </w:pPr>
            <w:r>
              <w:rPr>
                <w:rFonts w:eastAsia="Times New Roman"/>
                <w:i/>
                <w:iCs/>
                <w:sz w:val="20"/>
                <w:szCs w:val="20"/>
              </w:rPr>
              <w:t>Sphathodea arborea</w:t>
            </w:r>
          </w:p>
        </w:tc>
        <w:tc>
          <w:tcPr>
            <w:tcW w:w="25" w:type="dxa"/>
            <w:tcBorders>
              <w:bottom w:val="single" w:sz="8" w:space="0" w:color="auto"/>
            </w:tcBorders>
            <w:vAlign w:val="bottom"/>
          </w:tcPr>
          <w:p w:rsidR="00277292" w:rsidRDefault="00277292" w:rsidP="00277292">
            <w:pPr>
              <w:rPr>
                <w:sz w:val="23"/>
                <w:szCs w:val="23"/>
              </w:rPr>
            </w:pPr>
          </w:p>
        </w:tc>
        <w:tc>
          <w:tcPr>
            <w:tcW w:w="2679" w:type="dxa"/>
            <w:tcBorders>
              <w:bottom w:val="single" w:sz="8" w:space="0" w:color="auto"/>
            </w:tcBorders>
            <w:vAlign w:val="bottom"/>
          </w:tcPr>
          <w:p w:rsidR="00277292" w:rsidRDefault="00277292" w:rsidP="00277292">
            <w:pPr>
              <w:spacing w:line="226" w:lineRule="exact"/>
              <w:ind w:left="100"/>
              <w:rPr>
                <w:sz w:val="20"/>
                <w:szCs w:val="20"/>
              </w:rPr>
            </w:pPr>
            <w:r>
              <w:rPr>
                <w:rFonts w:eastAsia="Times New Roman"/>
                <w:sz w:val="20"/>
                <w:szCs w:val="20"/>
              </w:rPr>
              <w:t>Tulipier du Gabon</w:t>
            </w:r>
          </w:p>
        </w:tc>
        <w:tc>
          <w:tcPr>
            <w:tcW w:w="980" w:type="dxa"/>
            <w:gridSpan w:val="3"/>
            <w:tcBorders>
              <w:bottom w:val="single" w:sz="8" w:space="0" w:color="auto"/>
            </w:tcBorders>
            <w:vAlign w:val="bottom"/>
          </w:tcPr>
          <w:p w:rsidR="00277292" w:rsidRDefault="00277292" w:rsidP="00277292">
            <w:pPr>
              <w:jc w:val="right"/>
              <w:rPr>
                <w:sz w:val="20"/>
                <w:szCs w:val="20"/>
              </w:rPr>
            </w:pPr>
            <w:r>
              <w:rPr>
                <w:rFonts w:eastAsia="Times New Roman"/>
                <w:sz w:val="20"/>
                <w:szCs w:val="20"/>
              </w:rPr>
              <w:t>1,03</w:t>
            </w:r>
          </w:p>
        </w:tc>
        <w:tc>
          <w:tcPr>
            <w:tcW w:w="1000" w:type="dxa"/>
            <w:gridSpan w:val="3"/>
            <w:tcBorders>
              <w:bottom w:val="single" w:sz="8" w:space="0" w:color="auto"/>
            </w:tcBorders>
            <w:vAlign w:val="bottom"/>
          </w:tcPr>
          <w:p w:rsidR="00277292" w:rsidRDefault="00277292" w:rsidP="00277292">
            <w:pPr>
              <w:ind w:right="100"/>
              <w:jc w:val="right"/>
              <w:rPr>
                <w:sz w:val="20"/>
                <w:szCs w:val="20"/>
              </w:rPr>
            </w:pPr>
            <w:r>
              <w:rPr>
                <w:rFonts w:eastAsia="Times New Roman"/>
                <w:sz w:val="20"/>
                <w:szCs w:val="20"/>
              </w:rPr>
              <w:t>0,98</w:t>
            </w:r>
          </w:p>
        </w:tc>
        <w:tc>
          <w:tcPr>
            <w:tcW w:w="1020" w:type="dxa"/>
            <w:gridSpan w:val="4"/>
            <w:tcBorders>
              <w:bottom w:val="single" w:sz="8" w:space="0" w:color="auto"/>
            </w:tcBorders>
            <w:vAlign w:val="bottom"/>
          </w:tcPr>
          <w:p w:rsidR="00277292" w:rsidRDefault="00277292" w:rsidP="00277292">
            <w:pPr>
              <w:spacing w:line="226" w:lineRule="exact"/>
              <w:ind w:right="100"/>
              <w:jc w:val="right"/>
              <w:rPr>
                <w:sz w:val="20"/>
                <w:szCs w:val="20"/>
              </w:rPr>
            </w:pPr>
            <w:r>
              <w:rPr>
                <w:rFonts w:eastAsia="Times New Roman"/>
                <w:sz w:val="20"/>
                <w:szCs w:val="20"/>
              </w:rPr>
              <w:t>0,96</w:t>
            </w:r>
          </w:p>
        </w:tc>
        <w:tc>
          <w:tcPr>
            <w:tcW w:w="20" w:type="dxa"/>
            <w:vAlign w:val="bottom"/>
          </w:tcPr>
          <w:p w:rsidR="00277292" w:rsidRDefault="00277292" w:rsidP="00277292">
            <w:pPr>
              <w:rPr>
                <w:sz w:val="1"/>
                <w:szCs w:val="1"/>
              </w:rPr>
            </w:pPr>
          </w:p>
        </w:tc>
      </w:tr>
      <w:tr w:rsidR="00277292" w:rsidTr="00277292">
        <w:trPr>
          <w:trHeight w:val="234"/>
        </w:trPr>
        <w:tc>
          <w:tcPr>
            <w:tcW w:w="1097" w:type="dxa"/>
            <w:gridSpan w:val="3"/>
            <w:tcBorders>
              <w:bottom w:val="single" w:sz="8" w:space="0" w:color="auto"/>
            </w:tcBorders>
            <w:vAlign w:val="bottom"/>
          </w:tcPr>
          <w:p w:rsidR="00277292" w:rsidRDefault="00277292" w:rsidP="00277292">
            <w:pPr>
              <w:spacing w:line="208" w:lineRule="exact"/>
              <w:ind w:left="120"/>
              <w:rPr>
                <w:sz w:val="20"/>
                <w:szCs w:val="20"/>
              </w:rPr>
            </w:pPr>
            <w:r>
              <w:rPr>
                <w:rFonts w:eastAsia="Times New Roman"/>
                <w:b/>
                <w:bCs/>
                <w:sz w:val="20"/>
                <w:szCs w:val="20"/>
              </w:rPr>
              <w:t>Restantes</w:t>
            </w:r>
          </w:p>
        </w:tc>
        <w:tc>
          <w:tcPr>
            <w:tcW w:w="2599" w:type="dxa"/>
            <w:tcBorders>
              <w:top w:val="single" w:sz="8" w:space="0" w:color="B3B3B3"/>
              <w:bottom w:val="single" w:sz="8" w:space="0" w:color="auto"/>
            </w:tcBorders>
            <w:shd w:val="clear" w:color="auto" w:fill="B3B3B3"/>
            <w:vAlign w:val="bottom"/>
          </w:tcPr>
          <w:p w:rsidR="00277292" w:rsidRDefault="00277292" w:rsidP="00277292">
            <w:pPr>
              <w:rPr>
                <w:sz w:val="20"/>
                <w:szCs w:val="20"/>
              </w:rPr>
            </w:pPr>
          </w:p>
        </w:tc>
        <w:tc>
          <w:tcPr>
            <w:tcW w:w="25" w:type="dxa"/>
            <w:tcBorders>
              <w:bottom w:val="single" w:sz="8" w:space="0" w:color="auto"/>
            </w:tcBorders>
            <w:vAlign w:val="bottom"/>
          </w:tcPr>
          <w:p w:rsidR="00277292" w:rsidRDefault="00277292" w:rsidP="00277292">
            <w:pPr>
              <w:rPr>
                <w:sz w:val="20"/>
                <w:szCs w:val="20"/>
              </w:rPr>
            </w:pPr>
          </w:p>
        </w:tc>
        <w:tc>
          <w:tcPr>
            <w:tcW w:w="2679" w:type="dxa"/>
            <w:tcBorders>
              <w:top w:val="single" w:sz="8" w:space="0" w:color="B3B3B3"/>
              <w:bottom w:val="single" w:sz="8" w:space="0" w:color="auto"/>
            </w:tcBorders>
            <w:shd w:val="clear" w:color="auto" w:fill="B3B3B3"/>
            <w:vAlign w:val="bottom"/>
          </w:tcPr>
          <w:p w:rsidR="00277292" w:rsidRDefault="00277292" w:rsidP="00277292">
            <w:pPr>
              <w:rPr>
                <w:sz w:val="20"/>
                <w:szCs w:val="20"/>
              </w:rPr>
            </w:pPr>
          </w:p>
        </w:tc>
        <w:tc>
          <w:tcPr>
            <w:tcW w:w="20" w:type="dxa"/>
            <w:tcBorders>
              <w:top w:val="single" w:sz="8" w:space="0" w:color="B3B3B3"/>
              <w:bottom w:val="single" w:sz="8" w:space="0" w:color="auto"/>
            </w:tcBorders>
            <w:vAlign w:val="bottom"/>
          </w:tcPr>
          <w:p w:rsidR="00277292" w:rsidRDefault="00277292" w:rsidP="00277292">
            <w:pPr>
              <w:rPr>
                <w:sz w:val="20"/>
                <w:szCs w:val="20"/>
              </w:rPr>
            </w:pPr>
          </w:p>
        </w:tc>
        <w:tc>
          <w:tcPr>
            <w:tcW w:w="960" w:type="dxa"/>
            <w:gridSpan w:val="2"/>
            <w:tcBorders>
              <w:bottom w:val="single" w:sz="8" w:space="0" w:color="auto"/>
            </w:tcBorders>
            <w:vAlign w:val="bottom"/>
          </w:tcPr>
          <w:p w:rsidR="00277292" w:rsidRDefault="00277292" w:rsidP="00277292">
            <w:pPr>
              <w:spacing w:line="212" w:lineRule="exact"/>
              <w:jc w:val="right"/>
              <w:rPr>
                <w:sz w:val="20"/>
                <w:szCs w:val="20"/>
              </w:rPr>
            </w:pPr>
            <w:r>
              <w:rPr>
                <w:rFonts w:eastAsia="Times New Roman"/>
                <w:sz w:val="20"/>
                <w:szCs w:val="20"/>
              </w:rPr>
              <w:t>27,33</w:t>
            </w:r>
          </w:p>
        </w:tc>
        <w:tc>
          <w:tcPr>
            <w:tcW w:w="1000" w:type="dxa"/>
            <w:gridSpan w:val="3"/>
            <w:tcBorders>
              <w:bottom w:val="single" w:sz="8" w:space="0" w:color="auto"/>
            </w:tcBorders>
            <w:vAlign w:val="bottom"/>
          </w:tcPr>
          <w:p w:rsidR="00277292" w:rsidRDefault="00277292" w:rsidP="00277292">
            <w:pPr>
              <w:spacing w:line="212" w:lineRule="exact"/>
              <w:ind w:right="100"/>
              <w:jc w:val="right"/>
              <w:rPr>
                <w:sz w:val="20"/>
                <w:szCs w:val="20"/>
              </w:rPr>
            </w:pPr>
            <w:r>
              <w:rPr>
                <w:rFonts w:eastAsia="Times New Roman"/>
                <w:sz w:val="20"/>
                <w:szCs w:val="20"/>
              </w:rPr>
              <w:t>27,38</w:t>
            </w:r>
          </w:p>
        </w:tc>
        <w:tc>
          <w:tcPr>
            <w:tcW w:w="1020" w:type="dxa"/>
            <w:gridSpan w:val="4"/>
            <w:tcBorders>
              <w:bottom w:val="single" w:sz="8" w:space="0" w:color="auto"/>
            </w:tcBorders>
            <w:vAlign w:val="bottom"/>
          </w:tcPr>
          <w:p w:rsidR="00277292" w:rsidRDefault="00277292" w:rsidP="00277292">
            <w:pPr>
              <w:spacing w:line="212" w:lineRule="exact"/>
              <w:ind w:right="100"/>
              <w:jc w:val="right"/>
              <w:rPr>
                <w:sz w:val="20"/>
                <w:szCs w:val="20"/>
              </w:rPr>
            </w:pPr>
            <w:r>
              <w:rPr>
                <w:rFonts w:eastAsia="Times New Roman"/>
                <w:sz w:val="20"/>
                <w:szCs w:val="20"/>
              </w:rPr>
              <w:t>25,9</w:t>
            </w:r>
          </w:p>
        </w:tc>
        <w:tc>
          <w:tcPr>
            <w:tcW w:w="20" w:type="dxa"/>
            <w:vAlign w:val="bottom"/>
          </w:tcPr>
          <w:p w:rsidR="00277292" w:rsidRDefault="00277292" w:rsidP="00277292">
            <w:pPr>
              <w:rPr>
                <w:sz w:val="1"/>
                <w:szCs w:val="1"/>
              </w:rPr>
            </w:pPr>
          </w:p>
        </w:tc>
      </w:tr>
      <w:tr w:rsidR="00277292" w:rsidTr="00277292">
        <w:trPr>
          <w:trHeight w:val="222"/>
        </w:trPr>
        <w:tc>
          <w:tcPr>
            <w:tcW w:w="1097" w:type="dxa"/>
            <w:gridSpan w:val="3"/>
            <w:vAlign w:val="bottom"/>
          </w:tcPr>
          <w:p w:rsidR="00277292" w:rsidRDefault="00277292" w:rsidP="00277292">
            <w:pPr>
              <w:spacing w:line="219" w:lineRule="exact"/>
              <w:ind w:left="120"/>
              <w:rPr>
                <w:sz w:val="20"/>
                <w:szCs w:val="20"/>
              </w:rPr>
            </w:pPr>
            <w:r>
              <w:rPr>
                <w:rFonts w:eastAsia="Times New Roman"/>
                <w:b/>
                <w:bCs/>
                <w:sz w:val="20"/>
                <w:szCs w:val="20"/>
              </w:rPr>
              <w:t>TOTAL</w:t>
            </w:r>
          </w:p>
        </w:tc>
        <w:tc>
          <w:tcPr>
            <w:tcW w:w="2599" w:type="dxa"/>
            <w:tcBorders>
              <w:top w:val="single" w:sz="8" w:space="0" w:color="B3B3B3"/>
            </w:tcBorders>
            <w:shd w:val="clear" w:color="auto" w:fill="B3B3B3"/>
            <w:vAlign w:val="bottom"/>
          </w:tcPr>
          <w:p w:rsidR="00277292" w:rsidRDefault="00277292" w:rsidP="00277292">
            <w:pPr>
              <w:rPr>
                <w:sz w:val="19"/>
                <w:szCs w:val="19"/>
              </w:rPr>
            </w:pPr>
          </w:p>
        </w:tc>
        <w:tc>
          <w:tcPr>
            <w:tcW w:w="25" w:type="dxa"/>
            <w:vAlign w:val="bottom"/>
          </w:tcPr>
          <w:p w:rsidR="00277292" w:rsidRDefault="00277292" w:rsidP="00277292">
            <w:pPr>
              <w:rPr>
                <w:sz w:val="19"/>
                <w:szCs w:val="19"/>
              </w:rPr>
            </w:pPr>
          </w:p>
        </w:tc>
        <w:tc>
          <w:tcPr>
            <w:tcW w:w="2679" w:type="dxa"/>
            <w:tcBorders>
              <w:top w:val="single" w:sz="8" w:space="0" w:color="B3B3B3"/>
            </w:tcBorders>
            <w:shd w:val="clear" w:color="auto" w:fill="B3B3B3"/>
            <w:vAlign w:val="bottom"/>
          </w:tcPr>
          <w:p w:rsidR="00277292" w:rsidRDefault="00277292" w:rsidP="00277292">
            <w:pPr>
              <w:rPr>
                <w:sz w:val="19"/>
                <w:szCs w:val="19"/>
              </w:rPr>
            </w:pPr>
          </w:p>
        </w:tc>
        <w:tc>
          <w:tcPr>
            <w:tcW w:w="20" w:type="dxa"/>
            <w:tcBorders>
              <w:top w:val="single" w:sz="8" w:space="0" w:color="B3B3B3"/>
            </w:tcBorders>
            <w:vAlign w:val="bottom"/>
          </w:tcPr>
          <w:p w:rsidR="00277292" w:rsidRDefault="00277292" w:rsidP="00277292">
            <w:pPr>
              <w:rPr>
                <w:sz w:val="19"/>
                <w:szCs w:val="19"/>
              </w:rPr>
            </w:pPr>
          </w:p>
        </w:tc>
        <w:tc>
          <w:tcPr>
            <w:tcW w:w="960" w:type="dxa"/>
            <w:gridSpan w:val="2"/>
            <w:vAlign w:val="bottom"/>
          </w:tcPr>
          <w:p w:rsidR="00277292" w:rsidRDefault="00277292" w:rsidP="00277292">
            <w:pPr>
              <w:spacing w:line="223" w:lineRule="exact"/>
              <w:jc w:val="right"/>
              <w:rPr>
                <w:sz w:val="20"/>
                <w:szCs w:val="20"/>
              </w:rPr>
            </w:pPr>
            <w:r>
              <w:rPr>
                <w:rFonts w:eastAsia="Times New Roman"/>
                <w:b/>
                <w:bCs/>
                <w:sz w:val="20"/>
                <w:szCs w:val="20"/>
              </w:rPr>
              <w:t>51</w:t>
            </w:r>
          </w:p>
        </w:tc>
        <w:tc>
          <w:tcPr>
            <w:tcW w:w="1000" w:type="dxa"/>
            <w:gridSpan w:val="3"/>
            <w:vAlign w:val="bottom"/>
          </w:tcPr>
          <w:p w:rsidR="00277292" w:rsidRDefault="00277292" w:rsidP="00277292">
            <w:pPr>
              <w:spacing w:line="223" w:lineRule="exact"/>
              <w:ind w:right="100"/>
              <w:jc w:val="right"/>
              <w:rPr>
                <w:sz w:val="20"/>
                <w:szCs w:val="20"/>
              </w:rPr>
            </w:pPr>
            <w:r>
              <w:rPr>
                <w:rFonts w:eastAsia="Times New Roman"/>
                <w:b/>
                <w:bCs/>
                <w:sz w:val="20"/>
                <w:szCs w:val="20"/>
              </w:rPr>
              <w:t>50</w:t>
            </w:r>
          </w:p>
        </w:tc>
        <w:tc>
          <w:tcPr>
            <w:tcW w:w="1020" w:type="dxa"/>
            <w:gridSpan w:val="4"/>
            <w:vAlign w:val="bottom"/>
          </w:tcPr>
          <w:p w:rsidR="00277292" w:rsidRDefault="00277292" w:rsidP="00277292">
            <w:pPr>
              <w:spacing w:line="223" w:lineRule="exact"/>
              <w:ind w:right="100"/>
              <w:jc w:val="right"/>
              <w:rPr>
                <w:sz w:val="20"/>
                <w:szCs w:val="20"/>
              </w:rPr>
            </w:pPr>
            <w:r>
              <w:rPr>
                <w:rFonts w:eastAsia="Times New Roman"/>
                <w:b/>
                <w:bCs/>
                <w:sz w:val="20"/>
                <w:szCs w:val="20"/>
              </w:rPr>
              <w:t>48</w:t>
            </w:r>
          </w:p>
        </w:tc>
        <w:tc>
          <w:tcPr>
            <w:tcW w:w="20" w:type="dxa"/>
            <w:vAlign w:val="bottom"/>
          </w:tcPr>
          <w:p w:rsidR="00277292" w:rsidRDefault="00277292" w:rsidP="00277292">
            <w:pPr>
              <w:rPr>
                <w:sz w:val="1"/>
                <w:szCs w:val="1"/>
              </w:rPr>
            </w:pPr>
          </w:p>
        </w:tc>
      </w:tr>
    </w:tbl>
    <w:p w:rsidR="000516EA" w:rsidRPr="003F6CFB" w:rsidRDefault="003F6CFB" w:rsidP="003F6CFB">
      <w:pPr>
        <w:tabs>
          <w:tab w:val="left" w:pos="380"/>
        </w:tabs>
        <w:spacing w:line="226" w:lineRule="auto"/>
        <w:ind w:left="-142" w:right="-851"/>
        <w:jc w:val="both"/>
        <w:rPr>
          <w:rFonts w:eastAsia="Times New Roman"/>
          <w:b/>
          <w:bCs/>
          <w:i/>
          <w:sz w:val="21"/>
          <w:szCs w:val="21"/>
        </w:rPr>
      </w:pPr>
      <w:r w:rsidRPr="003F6CFB">
        <w:rPr>
          <w:i/>
          <w:sz w:val="21"/>
          <w:szCs w:val="21"/>
        </w:rPr>
        <w:t>Source : évaluation des ressources forestières mondiales 2010 en Guinée Bissau</w:t>
      </w:r>
      <w:r>
        <w:rPr>
          <w:i/>
          <w:sz w:val="21"/>
          <w:szCs w:val="21"/>
        </w:rPr>
        <w:t>, FAO</w:t>
      </w:r>
    </w:p>
    <w:p w:rsidR="00345951" w:rsidRDefault="00345951" w:rsidP="008371D1">
      <w:pPr>
        <w:tabs>
          <w:tab w:val="left" w:pos="380"/>
        </w:tabs>
        <w:spacing w:line="226" w:lineRule="auto"/>
        <w:ind w:left="380" w:right="-851"/>
        <w:jc w:val="both"/>
        <w:rPr>
          <w:rFonts w:eastAsia="Times New Roman"/>
          <w:sz w:val="20"/>
          <w:szCs w:val="20"/>
        </w:rPr>
      </w:pPr>
    </w:p>
    <w:p w:rsidR="00C51D69" w:rsidRDefault="00EF1D28" w:rsidP="008371D1">
      <w:pPr>
        <w:tabs>
          <w:tab w:val="left" w:pos="380"/>
        </w:tabs>
        <w:spacing w:line="226" w:lineRule="auto"/>
        <w:ind w:left="380" w:right="-851"/>
        <w:jc w:val="both"/>
        <w:rPr>
          <w:rFonts w:eastAsia="Times New Roman"/>
          <w:sz w:val="20"/>
          <w:szCs w:val="20"/>
        </w:rPr>
      </w:pPr>
      <w:r>
        <w:rPr>
          <w:rFonts w:eastAsia="Times New Roman"/>
          <w:sz w:val="20"/>
          <w:szCs w:val="20"/>
        </w:rPr>
        <w:t>Note :</w:t>
      </w:r>
      <w:r w:rsidR="00C51D69">
        <w:rPr>
          <w:rFonts w:eastAsia="Times New Roman"/>
          <w:sz w:val="20"/>
          <w:szCs w:val="20"/>
        </w:rPr>
        <w:t xml:space="preserve"> La position se rapporte au degré d’importance en termes de matériel sur pied. Par ex. la 1</w:t>
      </w:r>
      <w:r w:rsidR="00C51D69">
        <w:rPr>
          <w:rFonts w:eastAsia="Times New Roman"/>
          <w:sz w:val="25"/>
          <w:szCs w:val="25"/>
          <w:vertAlign w:val="superscript"/>
        </w:rPr>
        <w:t>ère</w:t>
      </w:r>
      <w:r w:rsidR="00C51D69">
        <w:rPr>
          <w:rFonts w:eastAsia="Times New Roman"/>
          <w:sz w:val="20"/>
          <w:szCs w:val="20"/>
        </w:rPr>
        <w:t xml:space="preserve"> position correspondra à l’espèce ayant le volume sur pied le plus élevé. L’an 2000 est l’année de référence à utiliser pour définir la liste des espèces et la position de chaque espèce.</w:t>
      </w:r>
    </w:p>
    <w:p w:rsidR="00BF3C58" w:rsidRDefault="00967ADB" w:rsidP="00083B97">
      <w:pPr>
        <w:spacing w:before="120" w:after="120"/>
        <w:ind w:left="-284" w:right="-851"/>
        <w:jc w:val="both"/>
      </w:pPr>
      <w:r w:rsidRPr="00967ADB">
        <w:t>La production du bois et du charbon végétal pour les nécessités énergétiques et domestiques, l’élevage extensif, l'exploitation du bois, la pratique traditionnelle de l'agriculture basée sur le défrichement et les feux de brousses constituent les principales causes de dégradation des forêts au niveau du pays. Ceci démontre la nécessité urgente de comprendre ce phénomène pour pouvoir intervenir au niveau des communautés, car l'intention est de changer les habitudes et les comportements</w:t>
      </w:r>
      <w:r w:rsidR="00E62750">
        <w:t>.</w:t>
      </w:r>
      <w:r w:rsidRPr="00967ADB">
        <w:t xml:space="preserve"> </w:t>
      </w:r>
    </w:p>
    <w:p w:rsidR="000261DD" w:rsidRPr="008371D1" w:rsidRDefault="00315143" w:rsidP="008371D1">
      <w:pPr>
        <w:ind w:left="20"/>
        <w:jc w:val="center"/>
        <w:rPr>
          <w:sz w:val="21"/>
          <w:szCs w:val="21"/>
        </w:rPr>
      </w:pPr>
      <w:bookmarkStart w:id="177" w:name="_Toc73522614"/>
      <w:r w:rsidRPr="008371D1">
        <w:rPr>
          <w:rFonts w:eastAsia="Times New Roman"/>
          <w:b/>
          <w:sz w:val="21"/>
          <w:szCs w:val="21"/>
          <w:u w:val="single"/>
        </w:rPr>
        <w:t xml:space="preserve">Tableau </w:t>
      </w:r>
      <w:r w:rsidRPr="008371D1">
        <w:rPr>
          <w:rFonts w:eastAsia="Times New Roman"/>
          <w:b/>
          <w:sz w:val="21"/>
          <w:szCs w:val="21"/>
          <w:u w:val="single"/>
        </w:rPr>
        <w:fldChar w:fldCharType="begin"/>
      </w:r>
      <w:r w:rsidRPr="008371D1">
        <w:rPr>
          <w:rFonts w:eastAsia="Times New Roman"/>
          <w:b/>
          <w:sz w:val="21"/>
          <w:szCs w:val="21"/>
          <w:u w:val="single"/>
        </w:rPr>
        <w:instrText xml:space="preserve"> </w:instrText>
      </w:r>
      <w:r w:rsidR="006C5620">
        <w:rPr>
          <w:rFonts w:eastAsia="Times New Roman"/>
          <w:b/>
          <w:sz w:val="21"/>
          <w:szCs w:val="21"/>
          <w:u w:val="single"/>
        </w:rPr>
        <w:instrText>SEQ</w:instrText>
      </w:r>
      <w:r w:rsidRPr="008371D1">
        <w:rPr>
          <w:rFonts w:eastAsia="Times New Roman"/>
          <w:b/>
          <w:sz w:val="21"/>
          <w:szCs w:val="21"/>
          <w:u w:val="single"/>
        </w:rPr>
        <w:instrText xml:space="preserve"> Tableau \* ARABIC </w:instrText>
      </w:r>
      <w:r w:rsidRPr="008371D1">
        <w:rPr>
          <w:rFonts w:eastAsia="Times New Roman"/>
          <w:b/>
          <w:sz w:val="21"/>
          <w:szCs w:val="21"/>
          <w:u w:val="single"/>
        </w:rPr>
        <w:fldChar w:fldCharType="separate"/>
      </w:r>
      <w:r w:rsidR="00BB7875">
        <w:rPr>
          <w:rFonts w:eastAsia="Times New Roman"/>
          <w:b/>
          <w:noProof/>
          <w:sz w:val="21"/>
          <w:szCs w:val="21"/>
          <w:u w:val="single"/>
        </w:rPr>
        <w:t>8</w:t>
      </w:r>
      <w:r w:rsidRPr="008371D1">
        <w:rPr>
          <w:rFonts w:eastAsia="Times New Roman"/>
          <w:sz w:val="21"/>
          <w:szCs w:val="21"/>
          <w:u w:val="single"/>
        </w:rPr>
        <w:fldChar w:fldCharType="end"/>
      </w:r>
      <w:r w:rsidRPr="008371D1">
        <w:rPr>
          <w:rFonts w:eastAsia="Times New Roman"/>
          <w:b/>
          <w:sz w:val="21"/>
          <w:szCs w:val="21"/>
          <w:u w:val="single"/>
        </w:rPr>
        <w:t xml:space="preserve">: </w:t>
      </w:r>
      <w:r w:rsidR="000261DD" w:rsidRPr="008371D1">
        <w:rPr>
          <w:rFonts w:eastAsia="Times New Roman"/>
          <w:sz w:val="21"/>
          <w:szCs w:val="21"/>
          <w:u w:val="single"/>
        </w:rPr>
        <w:t>Les données concernant le bois de feu</w:t>
      </w:r>
      <w:r w:rsidR="000261DD" w:rsidRPr="008371D1">
        <w:rPr>
          <w:rFonts w:eastAsia="Times New Roman"/>
          <w:sz w:val="21"/>
          <w:szCs w:val="21"/>
        </w:rPr>
        <w:t xml:space="preserve"> sont les suivantes (en tonnes) :</w:t>
      </w:r>
      <w:bookmarkEnd w:id="177"/>
    </w:p>
    <w:p w:rsidR="000261DD" w:rsidRDefault="000261DD" w:rsidP="000261DD">
      <w:pPr>
        <w:spacing w:line="266" w:lineRule="exact"/>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00"/>
        <w:gridCol w:w="1660"/>
        <w:gridCol w:w="860"/>
        <w:gridCol w:w="2040"/>
      </w:tblGrid>
      <w:tr w:rsidR="00AE10A8" w:rsidTr="00654E14">
        <w:trPr>
          <w:trHeight w:val="253"/>
          <w:jc w:val="center"/>
        </w:trPr>
        <w:tc>
          <w:tcPr>
            <w:tcW w:w="1600" w:type="dxa"/>
            <w:vAlign w:val="bottom"/>
          </w:tcPr>
          <w:p w:rsidR="00AE10A8" w:rsidRDefault="00AE10A8" w:rsidP="00345951">
            <w:pPr>
              <w:ind w:right="500"/>
              <w:jc w:val="center"/>
              <w:rPr>
                <w:sz w:val="20"/>
                <w:szCs w:val="20"/>
              </w:rPr>
            </w:pPr>
            <w:r>
              <w:rPr>
                <w:rFonts w:eastAsia="Times New Roman"/>
                <w:b/>
                <w:bCs/>
                <w:sz w:val="20"/>
                <w:szCs w:val="20"/>
              </w:rPr>
              <w:t>1990</w:t>
            </w:r>
          </w:p>
        </w:tc>
        <w:tc>
          <w:tcPr>
            <w:tcW w:w="2520" w:type="dxa"/>
            <w:gridSpan w:val="2"/>
            <w:vAlign w:val="bottom"/>
          </w:tcPr>
          <w:p w:rsidR="00AE10A8" w:rsidRDefault="00AE10A8" w:rsidP="00345951">
            <w:pPr>
              <w:jc w:val="center"/>
            </w:pPr>
            <w:r>
              <w:rPr>
                <w:rFonts w:eastAsia="Times New Roman"/>
                <w:b/>
                <w:bCs/>
                <w:sz w:val="20"/>
                <w:szCs w:val="20"/>
              </w:rPr>
              <w:t>2000</w:t>
            </w:r>
          </w:p>
        </w:tc>
        <w:tc>
          <w:tcPr>
            <w:tcW w:w="2040" w:type="dxa"/>
            <w:vAlign w:val="bottom"/>
          </w:tcPr>
          <w:p w:rsidR="00AE10A8" w:rsidRDefault="00AE10A8" w:rsidP="00345951">
            <w:pPr>
              <w:ind w:right="740"/>
              <w:jc w:val="center"/>
              <w:rPr>
                <w:sz w:val="20"/>
                <w:szCs w:val="20"/>
              </w:rPr>
            </w:pPr>
            <w:r>
              <w:rPr>
                <w:rFonts w:eastAsia="Times New Roman"/>
                <w:b/>
                <w:bCs/>
                <w:sz w:val="20"/>
                <w:szCs w:val="20"/>
              </w:rPr>
              <w:t>2005</w:t>
            </w:r>
          </w:p>
        </w:tc>
      </w:tr>
      <w:tr w:rsidR="000261DD" w:rsidTr="008371D1">
        <w:trPr>
          <w:trHeight w:val="20"/>
          <w:jc w:val="center"/>
        </w:trPr>
        <w:tc>
          <w:tcPr>
            <w:tcW w:w="1600" w:type="dxa"/>
            <w:vAlign w:val="bottom"/>
          </w:tcPr>
          <w:p w:rsidR="000261DD" w:rsidRDefault="000261DD" w:rsidP="00345951">
            <w:pPr>
              <w:spacing w:line="20" w:lineRule="exact"/>
              <w:jc w:val="center"/>
              <w:rPr>
                <w:sz w:val="1"/>
                <w:szCs w:val="1"/>
              </w:rPr>
            </w:pPr>
          </w:p>
        </w:tc>
        <w:tc>
          <w:tcPr>
            <w:tcW w:w="1660" w:type="dxa"/>
            <w:vAlign w:val="bottom"/>
          </w:tcPr>
          <w:p w:rsidR="000261DD" w:rsidRDefault="000261DD" w:rsidP="00345951">
            <w:pPr>
              <w:spacing w:line="20" w:lineRule="exact"/>
              <w:jc w:val="center"/>
              <w:rPr>
                <w:sz w:val="1"/>
                <w:szCs w:val="1"/>
              </w:rPr>
            </w:pPr>
          </w:p>
        </w:tc>
        <w:tc>
          <w:tcPr>
            <w:tcW w:w="860" w:type="dxa"/>
            <w:vAlign w:val="bottom"/>
          </w:tcPr>
          <w:p w:rsidR="000261DD" w:rsidRDefault="000261DD" w:rsidP="00345951">
            <w:pPr>
              <w:spacing w:line="20" w:lineRule="exact"/>
              <w:jc w:val="center"/>
              <w:rPr>
                <w:sz w:val="1"/>
                <w:szCs w:val="1"/>
              </w:rPr>
            </w:pPr>
          </w:p>
        </w:tc>
        <w:tc>
          <w:tcPr>
            <w:tcW w:w="2040" w:type="dxa"/>
            <w:vAlign w:val="bottom"/>
          </w:tcPr>
          <w:p w:rsidR="000261DD" w:rsidRDefault="000261DD" w:rsidP="00345951">
            <w:pPr>
              <w:spacing w:line="20" w:lineRule="exact"/>
              <w:jc w:val="center"/>
              <w:rPr>
                <w:sz w:val="1"/>
                <w:szCs w:val="1"/>
              </w:rPr>
            </w:pPr>
          </w:p>
        </w:tc>
      </w:tr>
      <w:tr w:rsidR="00AE10A8" w:rsidTr="00654E14">
        <w:trPr>
          <w:trHeight w:val="228"/>
          <w:jc w:val="center"/>
        </w:trPr>
        <w:tc>
          <w:tcPr>
            <w:tcW w:w="1600" w:type="dxa"/>
            <w:vAlign w:val="bottom"/>
          </w:tcPr>
          <w:p w:rsidR="00AE10A8" w:rsidRDefault="00AE10A8" w:rsidP="00345951">
            <w:pPr>
              <w:spacing w:line="229" w:lineRule="exact"/>
              <w:ind w:right="20"/>
              <w:jc w:val="center"/>
              <w:rPr>
                <w:sz w:val="20"/>
                <w:szCs w:val="20"/>
              </w:rPr>
            </w:pPr>
            <w:r>
              <w:rPr>
                <w:rFonts w:eastAsia="Times New Roman"/>
                <w:sz w:val="20"/>
                <w:szCs w:val="20"/>
              </w:rPr>
              <w:t>30000</w:t>
            </w:r>
          </w:p>
        </w:tc>
        <w:tc>
          <w:tcPr>
            <w:tcW w:w="2520" w:type="dxa"/>
            <w:gridSpan w:val="2"/>
            <w:vAlign w:val="bottom"/>
          </w:tcPr>
          <w:p w:rsidR="00AE10A8" w:rsidRDefault="00AE10A8" w:rsidP="00345951">
            <w:pPr>
              <w:spacing w:line="229" w:lineRule="exact"/>
              <w:ind w:right="20"/>
              <w:jc w:val="center"/>
              <w:rPr>
                <w:sz w:val="20"/>
                <w:szCs w:val="20"/>
              </w:rPr>
            </w:pPr>
            <w:r>
              <w:rPr>
                <w:rFonts w:eastAsia="Times New Roman"/>
                <w:sz w:val="20"/>
                <w:szCs w:val="20"/>
              </w:rPr>
              <w:t>45000</w:t>
            </w:r>
          </w:p>
        </w:tc>
        <w:tc>
          <w:tcPr>
            <w:tcW w:w="2040" w:type="dxa"/>
            <w:vAlign w:val="bottom"/>
          </w:tcPr>
          <w:p w:rsidR="00AE10A8" w:rsidRDefault="00AE10A8" w:rsidP="00345951">
            <w:pPr>
              <w:spacing w:line="229" w:lineRule="exact"/>
              <w:ind w:right="20"/>
              <w:jc w:val="center"/>
              <w:rPr>
                <w:sz w:val="20"/>
                <w:szCs w:val="20"/>
              </w:rPr>
            </w:pPr>
            <w:r>
              <w:rPr>
                <w:rFonts w:eastAsia="Times New Roman"/>
                <w:sz w:val="20"/>
                <w:szCs w:val="20"/>
              </w:rPr>
              <w:t>48000</w:t>
            </w:r>
          </w:p>
        </w:tc>
      </w:tr>
    </w:tbl>
    <w:p w:rsidR="00B975BD" w:rsidRPr="003171E1" w:rsidRDefault="003F6CFB" w:rsidP="003171E1">
      <w:pPr>
        <w:tabs>
          <w:tab w:val="left" w:pos="380"/>
        </w:tabs>
        <w:spacing w:line="226" w:lineRule="auto"/>
        <w:ind w:left="-142" w:right="-851"/>
        <w:jc w:val="both"/>
        <w:rPr>
          <w:rFonts w:eastAsia="Times New Roman"/>
          <w:b/>
          <w:bCs/>
          <w:i/>
          <w:sz w:val="21"/>
          <w:szCs w:val="21"/>
        </w:rPr>
      </w:pPr>
      <w:r w:rsidRPr="003F6CFB">
        <w:rPr>
          <w:i/>
          <w:sz w:val="21"/>
          <w:szCs w:val="21"/>
        </w:rPr>
        <w:t>Source : évaluation des ressources forestières mondiales 2010 en Guinée Bissau</w:t>
      </w:r>
      <w:r>
        <w:rPr>
          <w:i/>
          <w:sz w:val="21"/>
          <w:szCs w:val="21"/>
        </w:rPr>
        <w:t>, FAO</w:t>
      </w:r>
    </w:p>
    <w:p w:rsidR="007C0EBB" w:rsidRPr="00A05698" w:rsidRDefault="00BF3C58" w:rsidP="00353702">
      <w:pPr>
        <w:spacing w:before="120" w:after="120"/>
        <w:ind w:left="-284" w:right="-851"/>
        <w:jc w:val="both"/>
      </w:pPr>
      <w:r>
        <w:t xml:space="preserve">La </w:t>
      </w:r>
      <w:r w:rsidR="00DB04F8" w:rsidRPr="00083B97">
        <w:t>prolifération d’anacardiers et leurs plantations dans les terres les plus fertiles constituent aussi une des causes de déforestation dans le pays. Ces dernières années, ce phénomène est de plus en plus pratique courante. Il faut rappeler que le pays est le 5</w:t>
      </w:r>
      <w:r w:rsidR="00DB04F8" w:rsidRPr="00F1624D">
        <w:t xml:space="preserve">ème </w:t>
      </w:r>
      <w:r w:rsidR="00DB04F8" w:rsidRPr="00083B97">
        <w:t xml:space="preserve">producteur mondial de la noix d’anacardier. A l’heure actuelle, elle est en graduelle augmentation, substituant ainsi les zones qu’autrefois étaient occupées par les cultures de céréales, légumineuses et quelques cultures pérennes. </w:t>
      </w:r>
    </w:p>
    <w:p w:rsidR="007C0EBB" w:rsidRPr="00A05698" w:rsidRDefault="007C0EBB" w:rsidP="007D4136">
      <w:pPr>
        <w:spacing w:before="120" w:after="120"/>
        <w:ind w:left="-284" w:right="-851"/>
        <w:jc w:val="both"/>
      </w:pPr>
      <w:r w:rsidRPr="00A05698">
        <w:t>L’économie forestière est particulièrement importante, principalement pour le maintien de l’équilibre écologique, le développement des activités agricoles et le secteur de l’exportation, afin d’accroître les revenus du pays. Avec des effets directs sur divers secteurs de la vie économique, la sécurité alimentaire et la sécurité de l</w:t>
      </w:r>
      <w:r w:rsidR="00A05714" w:rsidRPr="00A05698">
        <w:t>’</w:t>
      </w:r>
      <w:r w:rsidRPr="00A05698">
        <w:t>environnement, le secteur de Prabis a fait l</w:t>
      </w:r>
      <w:r w:rsidR="00A05714" w:rsidRPr="00A05698">
        <w:t>’</w:t>
      </w:r>
      <w:r w:rsidRPr="00A05698">
        <w:t>objet d</w:t>
      </w:r>
      <w:r w:rsidR="00A05714" w:rsidRPr="00A05698">
        <w:t>’</w:t>
      </w:r>
      <w:r w:rsidRPr="00A05698">
        <w:t>une attention particulière de la part des autorités gouvernementales et parlementaires.</w:t>
      </w:r>
    </w:p>
    <w:p w:rsidR="007C0EBB" w:rsidRDefault="007C0EBB" w:rsidP="0026243C">
      <w:pPr>
        <w:spacing w:before="120"/>
        <w:ind w:left="-284" w:right="-851"/>
        <w:jc w:val="both"/>
      </w:pPr>
      <w:r w:rsidRPr="00A05698">
        <w:t>Les mangroves constituent un écosystème essentiel de la Guinée Bissau. Il est extrêmement difficile de se faire une opinion exacte sur l’évolution des superficies de mangroves. Elles couvraient selon les estimations, 476 000 ha en 1940, 347 000 à 206 250 ha dans les années 80, et 315 000 à 210 000 ha dans la décennie 2000. On note que la fourchette haute diminue de 9% alors que la fourchette basse ne varie presque pas. Le calcul d’une tendance 1940-2007, qu’il faut interpréter avec beaucoup de prudence, induit l’hypothèse d’une décroissance des superficies en mangrove de près de 3600 ha entre chacune des observations (IBAP, 2008).</w:t>
      </w:r>
    </w:p>
    <w:p w:rsidR="004160F3" w:rsidRDefault="004160F3" w:rsidP="00A25250">
      <w:pPr>
        <w:spacing w:before="120"/>
        <w:ind w:left="-284" w:right="-851"/>
        <w:jc w:val="both"/>
      </w:pPr>
      <w:r w:rsidRPr="00A25250">
        <w:t xml:space="preserve">La coupe de la mangrove pour la construction et le fumage du poisson dans les zones nord et sud constituent aussi un des facteurs de déforestation de cet écosystème très précieux du point de vue de la biodiversité et de la séquestration du carbone </w:t>
      </w:r>
    </w:p>
    <w:p w:rsidR="00C82A31" w:rsidRPr="00A05698" w:rsidRDefault="00C82A31" w:rsidP="00C82A31">
      <w:pPr>
        <w:spacing w:before="120" w:after="120"/>
        <w:ind w:left="-284" w:right="-851"/>
        <w:jc w:val="both"/>
      </w:pPr>
      <w:r>
        <w:t>Dans la Figure 9</w:t>
      </w:r>
      <w:r w:rsidRPr="00A05698">
        <w:t xml:space="preserve"> ci-dessous qui suit et présentée la Carte d’occupation des sols de la Guinée-Bissau, produite dans le cadre du Projet CARBOVEG-GB, basée sur la classification des images satellite Landsat TM.</w:t>
      </w:r>
    </w:p>
    <w:p w:rsidR="00C82A31" w:rsidRPr="00A05698" w:rsidRDefault="00C82A31" w:rsidP="00C82A31">
      <w:pPr>
        <w:autoSpaceDE w:val="0"/>
        <w:autoSpaceDN w:val="0"/>
        <w:adjustRightInd w:val="0"/>
        <w:jc w:val="both"/>
        <w:rPr>
          <w:rFonts w:eastAsia="Calibri"/>
          <w:sz w:val="18"/>
          <w:szCs w:val="18"/>
        </w:rPr>
      </w:pPr>
      <w:r>
        <w:rPr>
          <w:noProof/>
          <w:lang w:val="pt-PT" w:eastAsia="pt-PT"/>
        </w:rPr>
        <w:drawing>
          <wp:inline distT="0" distB="0" distL="0" distR="0" wp14:anchorId="2A82D79F" wp14:editId="7896C141">
            <wp:extent cx="6595889" cy="332740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17787" cy="3338447"/>
                    </a:xfrm>
                    <a:prstGeom prst="rect">
                      <a:avLst/>
                    </a:prstGeom>
                  </pic:spPr>
                </pic:pic>
              </a:graphicData>
            </a:graphic>
          </wp:inline>
        </w:drawing>
      </w:r>
    </w:p>
    <w:p w:rsidR="00C82A31" w:rsidRPr="00A05698" w:rsidRDefault="00C82A31" w:rsidP="00C82A31">
      <w:pPr>
        <w:autoSpaceDE w:val="0"/>
        <w:autoSpaceDN w:val="0"/>
        <w:adjustRightInd w:val="0"/>
        <w:jc w:val="center"/>
        <w:rPr>
          <w:b/>
          <w:sz w:val="18"/>
          <w:szCs w:val="18"/>
        </w:rPr>
      </w:pPr>
      <w:bookmarkStart w:id="178" w:name="_Toc73522787"/>
      <w:r w:rsidRPr="00A05698">
        <w:rPr>
          <w:b/>
          <w:sz w:val="18"/>
          <w:szCs w:val="18"/>
        </w:rPr>
        <w:t xml:space="preserve">Figure </w:t>
      </w:r>
      <w:r w:rsidRPr="00A05698">
        <w:rPr>
          <w:b/>
          <w:sz w:val="18"/>
          <w:szCs w:val="18"/>
        </w:rPr>
        <w:fldChar w:fldCharType="begin"/>
      </w:r>
      <w:r w:rsidRPr="00A05698">
        <w:rPr>
          <w:b/>
          <w:sz w:val="18"/>
          <w:szCs w:val="18"/>
        </w:rPr>
        <w:instrText xml:space="preserve"> </w:instrText>
      </w:r>
      <w:r w:rsidR="006C5620">
        <w:rPr>
          <w:b/>
          <w:sz w:val="18"/>
          <w:szCs w:val="18"/>
        </w:rPr>
        <w:instrText>SEQ</w:instrText>
      </w:r>
      <w:r w:rsidRPr="00A05698">
        <w:rPr>
          <w:b/>
          <w:sz w:val="18"/>
          <w:szCs w:val="18"/>
        </w:rPr>
        <w:instrText xml:space="preserve"> Figure \* ARABIC </w:instrText>
      </w:r>
      <w:r w:rsidRPr="00A05698">
        <w:rPr>
          <w:b/>
          <w:sz w:val="18"/>
          <w:szCs w:val="18"/>
        </w:rPr>
        <w:fldChar w:fldCharType="separate"/>
      </w:r>
      <w:r w:rsidR="00BE0248">
        <w:rPr>
          <w:b/>
          <w:noProof/>
          <w:sz w:val="18"/>
          <w:szCs w:val="18"/>
        </w:rPr>
        <w:t>5</w:t>
      </w:r>
      <w:r w:rsidRPr="00A05698">
        <w:rPr>
          <w:b/>
          <w:sz w:val="18"/>
          <w:szCs w:val="18"/>
        </w:rPr>
        <w:fldChar w:fldCharType="end"/>
      </w:r>
      <w:r w:rsidRPr="00A05698">
        <w:rPr>
          <w:b/>
          <w:sz w:val="18"/>
          <w:szCs w:val="18"/>
        </w:rPr>
        <w:t> : Carte d’occupation des sols de la Guinée-Bissau</w:t>
      </w:r>
      <w:bookmarkEnd w:id="178"/>
    </w:p>
    <w:p w:rsidR="00C82A31" w:rsidRPr="003171E1" w:rsidRDefault="00C82A31" w:rsidP="003171E1">
      <w:pPr>
        <w:autoSpaceDE w:val="0"/>
        <w:autoSpaceDN w:val="0"/>
        <w:adjustRightInd w:val="0"/>
        <w:jc w:val="center"/>
        <w:rPr>
          <w:rFonts w:eastAsia="Calibri"/>
          <w:i/>
          <w:iCs/>
          <w:sz w:val="20"/>
          <w:szCs w:val="20"/>
        </w:rPr>
      </w:pPr>
      <w:r w:rsidRPr="00A05698">
        <w:rPr>
          <w:i/>
          <w:iCs/>
          <w:sz w:val="20"/>
          <w:szCs w:val="20"/>
        </w:rPr>
        <w:t>Source : Document de Politique Nationale de Développement Forestier de Guinée Bissau (juillet 2012)</w:t>
      </w:r>
    </w:p>
    <w:p w:rsidR="007C0EBB" w:rsidRPr="00A05698" w:rsidRDefault="007C0EBB" w:rsidP="003C76AE">
      <w:pPr>
        <w:pStyle w:val="PargrafodaLista"/>
        <w:numPr>
          <w:ilvl w:val="0"/>
          <w:numId w:val="30"/>
        </w:numPr>
        <w:spacing w:before="100" w:beforeAutospacing="1" w:after="0" w:line="240" w:lineRule="auto"/>
        <w:jc w:val="both"/>
        <w:rPr>
          <w:rFonts w:ascii="Times New Roman" w:eastAsia="Times New Roman" w:hAnsi="Times New Roman"/>
          <w:color w:val="000000"/>
          <w:sz w:val="24"/>
          <w:szCs w:val="24"/>
        </w:rPr>
      </w:pPr>
      <w:r w:rsidRPr="00A05698">
        <w:rPr>
          <w:rFonts w:ascii="Times New Roman" w:hAnsi="Times New Roman"/>
          <w:b/>
          <w:sz w:val="24"/>
          <w:szCs w:val="24"/>
        </w:rPr>
        <w:t>La faune</w:t>
      </w:r>
    </w:p>
    <w:p w:rsidR="007C0EBB" w:rsidRPr="00A05698" w:rsidRDefault="007C0EBB" w:rsidP="007D4136">
      <w:pPr>
        <w:spacing w:before="120" w:after="120"/>
        <w:ind w:left="-284" w:right="-851"/>
        <w:jc w:val="both"/>
      </w:pPr>
      <w:r w:rsidRPr="00A05698">
        <w:t>La faune sauvage et ses habitats jouent toujours le rôle essentiel dans la vie journalière des populations africaines, tant au niveau alimentaire qu’au niveau socioculturel. La chasse traditionnelle, les danses, les masques, les totems et tabous, les cérémonies d’initiation sont des exemples où la faune sauvage intervient en Guinée Bissau.</w:t>
      </w:r>
    </w:p>
    <w:p w:rsidR="007D1D36" w:rsidRPr="00B172DC" w:rsidRDefault="007D1D36" w:rsidP="008371D1">
      <w:pPr>
        <w:spacing w:before="120" w:after="120"/>
        <w:ind w:left="-284" w:right="-851"/>
        <w:jc w:val="both"/>
      </w:pPr>
      <w:r w:rsidRPr="00B172DC">
        <w:t>L’inventaire quantitatif de la faune au niveau national réalisé par DGFC/UICN (1989), révèle la présence d’une importante diversité de mammifères. Le résultat de cet inventaire indique l’existence de 64 espèces de mammifères en Guinée-Bissau (11 espèces de primates, 2 de polidotes, 9 de rongeurs ; 21 de carnivores, 1 de “tubulidentés”, 1 de sérénides, des ongulés) ; 374 espèces d’oiseaux et 39 espèces de reptiles. L’absence des espèces de grande portée est assez notoire (éléphants, buffles, lions, “sim sim”, “boca branco”, etc.). Les zones côtières présentent des caractéristiques spéciales en termes de diversité génétique et servent de pôle de la concentration des oiseaux migrateurs.</w:t>
      </w:r>
    </w:p>
    <w:p w:rsidR="007C0EBB" w:rsidRPr="00A05698" w:rsidRDefault="007C0EBB" w:rsidP="007D4136">
      <w:pPr>
        <w:spacing w:before="120" w:after="120"/>
        <w:ind w:left="-284" w:right="-851"/>
        <w:jc w:val="both"/>
      </w:pPr>
      <w:r w:rsidRPr="00A05698">
        <w:t>La dégradation de la couverture forestière actuellement affecte énormément la forme de la diversité biologique des écosystèmes forestiers. De plus avec la prolifération des clubs de chasse, il y a toute une nécessité d’actualiser un inventaire faunistique pour ne pas continuer à autoriser la chasse sans une connaissance préalable des conditions des espèces en place et de leur niveau de vulnérabilité.</w:t>
      </w:r>
    </w:p>
    <w:p w:rsidR="007C0EBB" w:rsidRPr="00A05698" w:rsidRDefault="007C0EBB" w:rsidP="007D4136">
      <w:pPr>
        <w:spacing w:before="120" w:after="120"/>
        <w:ind w:left="-284" w:right="-851"/>
        <w:jc w:val="both"/>
      </w:pPr>
      <w:r w:rsidRPr="00A05698">
        <w:t>Un autre phénomène d’envergure à signaler est l’installation de nouveaux villages dans les couloirs d’immigration des grands mammifères. Ces installations anarchiques contribuent à éloigner les éléphants dont le nombre a diminué. Il faut développer des stratégies pour décourager ces pratiques. Le problème c’est que ces mêmes communautés ont participé à l’identification et à la délimitation de ces couloirs.</w:t>
      </w:r>
    </w:p>
    <w:p w:rsidR="007C0EBB" w:rsidRPr="00A05698" w:rsidRDefault="007C0EBB" w:rsidP="007D4136">
      <w:pPr>
        <w:spacing w:before="120" w:after="120"/>
        <w:ind w:left="-284" w:right="-851"/>
        <w:jc w:val="both"/>
      </w:pPr>
      <w:r w:rsidRPr="00A05698">
        <w:t>La chasse nationale et celle des étrangers résidents sont, par exemple, peu organisées et peu suivies avec un non-respect des contrats d’abattage. Le constat actuel est à une grande diminution des visites étrangères et à la fermeture de plusieurs campements de chasse.</w:t>
      </w:r>
    </w:p>
    <w:p w:rsidR="007C0EBB" w:rsidRPr="00A05698" w:rsidRDefault="003F1D52"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79" w:name="_Toc535396932"/>
      <w:bookmarkStart w:id="180" w:name="_Toc6310472"/>
      <w:bookmarkStart w:id="181" w:name="_Toc51084441"/>
      <w:r w:rsidRPr="00A05698">
        <w:rPr>
          <w:rFonts w:ascii="Times New Roman" w:hAnsi="Times New Roman"/>
          <w:b/>
          <w:sz w:val="24"/>
          <w:szCs w:val="24"/>
        </w:rPr>
        <w:t>4</w:t>
      </w:r>
      <w:r w:rsidR="007C0EBB" w:rsidRPr="00A05698">
        <w:rPr>
          <w:rFonts w:ascii="Times New Roman" w:hAnsi="Times New Roman"/>
          <w:b/>
          <w:sz w:val="24"/>
          <w:szCs w:val="24"/>
        </w:rPr>
        <w:t>.3.9. Les aires protégées</w:t>
      </w:r>
      <w:bookmarkEnd w:id="179"/>
      <w:bookmarkEnd w:id="180"/>
      <w:bookmarkEnd w:id="181"/>
      <w:r w:rsidR="007C0EBB" w:rsidRPr="00A05698">
        <w:rPr>
          <w:rFonts w:ascii="Times New Roman" w:hAnsi="Times New Roman"/>
          <w:b/>
          <w:sz w:val="24"/>
          <w:szCs w:val="24"/>
        </w:rPr>
        <w:t xml:space="preserve"> </w:t>
      </w:r>
    </w:p>
    <w:p w:rsidR="005C302E" w:rsidRPr="005C302E" w:rsidRDefault="00A57DCB" w:rsidP="005C302E">
      <w:pPr>
        <w:spacing w:before="120" w:after="120"/>
        <w:ind w:left="-284" w:right="-851"/>
        <w:jc w:val="both"/>
      </w:pPr>
      <w:r w:rsidRPr="00A05698">
        <w:t>En Guinée</w:t>
      </w:r>
      <w:r w:rsidR="007C0EBB" w:rsidRPr="00A05698">
        <w:t xml:space="preserve">-Bissau,  il  existe  un  réseau  composé </w:t>
      </w:r>
      <w:r w:rsidR="005C302E" w:rsidRPr="005C302E">
        <w:t>de huit (8) parcs nationaux et parcs naturels (catégorie II2 de l'UICN), trois (3) corridors écologiques, une (1) réserve de biosphère, quatre (4) sites Ramsar (dans le cadre de la Convention de Convention de Ramsar) et 104 forêts communautaires.</w:t>
      </w:r>
    </w:p>
    <w:p w:rsidR="007C0EBB" w:rsidRDefault="005C302E" w:rsidP="008371D1">
      <w:pPr>
        <w:spacing w:before="120" w:after="120"/>
        <w:ind w:left="-284" w:right="-851"/>
        <w:jc w:val="both"/>
      </w:pPr>
      <w:r w:rsidRPr="005C302E">
        <w:t xml:space="preserve">Parmi ces parcs et corridors on peut citer </w:t>
      </w:r>
      <w:r w:rsidR="00A57DCB" w:rsidRPr="005C302E">
        <w:t>quelques-uns</w:t>
      </w:r>
      <w:r w:rsidRPr="005C302E">
        <w:t xml:space="preserve"> comme :</w:t>
      </w:r>
      <w:r w:rsidR="00EF1F8F">
        <w:t xml:space="preserve"> </w:t>
      </w:r>
      <w:r w:rsidRPr="005C302E">
        <w:rPr>
          <w:bCs/>
        </w:rPr>
        <w:t>le parc National d’Orango, situé au Sud de l´Archipel des Bijagos,</w:t>
      </w:r>
      <w:r w:rsidR="00EF1F8F">
        <w:rPr>
          <w:bCs/>
        </w:rPr>
        <w:t xml:space="preserve"> </w:t>
      </w:r>
      <w:r w:rsidRPr="005C302E">
        <w:rPr>
          <w:bCs/>
        </w:rPr>
        <w:t>le parc Naturel des « Tarrafes » do Rio Cacheu, situé au Nord–ouest du pays, le Parc Naturel des Lacs de Cufada, situé dans la partie sud du pays, le parc National João-Vieira Poilão situé au Sud-est de l’Archipel des Bijagos,</w:t>
      </w:r>
      <w:r w:rsidR="00EF1F8F">
        <w:t xml:space="preserve"> </w:t>
      </w:r>
      <w:r w:rsidRPr="005C302E">
        <w:rPr>
          <w:bCs/>
        </w:rPr>
        <w:t>l’aire Marine Protégée Communautaire</w:t>
      </w:r>
      <w:r w:rsidRPr="005C302E">
        <w:t xml:space="preserve"> des Îles Formosa située au </w:t>
      </w:r>
      <w:r w:rsidR="00EF1F8F">
        <w:t xml:space="preserve">Nord de l´Archipel des Bijagós, </w:t>
      </w:r>
      <w:r w:rsidRPr="005C302E">
        <w:t>le Parc National des Matas de Canta</w:t>
      </w:r>
      <w:r w:rsidR="00EF1F8F">
        <w:t xml:space="preserve">nhez situé au Sud-ouest du pays, les </w:t>
      </w:r>
      <w:r w:rsidRPr="005C302E">
        <w:t>Corredors écologiques de Tchetche, Salifo-Xitole et Cuntabane-Quebo (loi nº11/2017 – aires protégées_Complexe Dulombi-Boé-Tchetche).</w:t>
      </w:r>
      <w:r w:rsidR="001744C6">
        <w:t xml:space="preserve"> (</w:t>
      </w:r>
      <w:r w:rsidR="00345951">
        <w:t>Source</w:t>
      </w:r>
      <w:r w:rsidR="001744C6">
        <w:t xml:space="preserve"> IBAP, 2020)</w:t>
      </w:r>
    </w:p>
    <w:p w:rsidR="00914B4C" w:rsidRPr="00914B4C" w:rsidRDefault="00914B4C" w:rsidP="00914B4C">
      <w:pPr>
        <w:spacing w:before="120" w:after="120"/>
        <w:ind w:left="-284" w:right="-851"/>
        <w:jc w:val="both"/>
      </w:pPr>
      <w:r w:rsidRPr="00914B4C">
        <w:t xml:space="preserve">La démographie consiste l’une des problèmes majeurs </w:t>
      </w:r>
      <w:r w:rsidR="00391EA0">
        <w:t>p</w:t>
      </w:r>
      <w:r w:rsidRPr="00914B4C">
        <w:t>ar l’accroissement de la population dû à des mouvements locaux, notamment suite aux conflits des années passées. Cela a provoqué la création de nouveaux villages autour des aires protégées. Il y a eu aussi une multiplication des infrastructures et des campements touristiques dans certaines régions. Ainsi, ce</w:t>
      </w:r>
      <w:r w:rsidR="00391EA0">
        <w:t>tte</w:t>
      </w:r>
      <w:r w:rsidRPr="00914B4C">
        <w:t xml:space="preserve"> situation se caractérise par le risque de disparition de couloirs de migration.</w:t>
      </w:r>
    </w:p>
    <w:p w:rsidR="00315143" w:rsidRDefault="00914B4C" w:rsidP="003171E1">
      <w:pPr>
        <w:spacing w:before="120" w:after="120"/>
        <w:ind w:left="-284" w:right="-851"/>
        <w:jc w:val="both"/>
      </w:pPr>
      <w:r w:rsidRPr="00914B4C">
        <w:t>La déforestation est surtout un problème à noter dans plusieurs régions car l’agriculture itinérante, les fermes agricoles (anacardiers surtout), la fabrication des pirogues, le braconnage, la production de charbon, et l’exploitation de rônier sont autant de facteurs de déforestation des aires protégées.</w:t>
      </w:r>
      <w:bookmarkStart w:id="182" w:name="_Toc535396934"/>
      <w:bookmarkStart w:id="183" w:name="_Toc6310474"/>
      <w:bookmarkStart w:id="184" w:name="_Toc51084442"/>
    </w:p>
    <w:p w:rsidR="008D3328" w:rsidRPr="00A05698" w:rsidRDefault="008D3328" w:rsidP="00345951">
      <w:pPr>
        <w:pStyle w:val="Primeiroavanodecorpodetexto2"/>
        <w:spacing w:line="240" w:lineRule="auto"/>
        <w:ind w:left="0" w:firstLine="0"/>
        <w:rPr>
          <w:rFonts w:ascii="Times New Roman" w:hAnsi="Times New Roman"/>
          <w:sz w:val="24"/>
          <w:szCs w:val="24"/>
        </w:rPr>
      </w:pPr>
      <w:r w:rsidRPr="00A05698">
        <w:rPr>
          <w:noProof/>
          <w:lang w:val="pt-PT" w:eastAsia="pt-PT"/>
        </w:rPr>
        <w:drawing>
          <wp:anchor distT="0" distB="0" distL="114300" distR="114300" simplePos="0" relativeHeight="251660373" behindDoc="0" locked="0" layoutInCell="1" allowOverlap="1" wp14:anchorId="5751C845" wp14:editId="777CDB13">
            <wp:simplePos x="0" y="0"/>
            <wp:positionH relativeFrom="column">
              <wp:posOffset>-304800</wp:posOffset>
            </wp:positionH>
            <wp:positionV relativeFrom="paragraph">
              <wp:posOffset>342900</wp:posOffset>
            </wp:positionV>
            <wp:extent cx="6563995" cy="4114800"/>
            <wp:effectExtent l="25400" t="25400" r="14605" b="25400"/>
            <wp:wrapTight wrapText="bothSides">
              <wp:wrapPolygon edited="0">
                <wp:start x="-84" y="-133"/>
                <wp:lineTo x="-84" y="21600"/>
                <wp:lineTo x="21564" y="21600"/>
                <wp:lineTo x="21564" y="-133"/>
                <wp:lineTo x="-84" y="-133"/>
              </wp:wrapPolygon>
            </wp:wrapTight>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val="0"/>
                        </a:ext>
                      </a:extLst>
                    </a:blip>
                    <a:stretch>
                      <a:fillRect/>
                    </a:stretch>
                  </pic:blipFill>
                  <pic:spPr>
                    <a:xfrm>
                      <a:off x="0" y="0"/>
                      <a:ext cx="6563995" cy="4114800"/>
                    </a:xfrm>
                    <a:prstGeom prst="rect">
                      <a:avLst/>
                    </a:prstGeom>
                    <a:ln>
                      <a:solidFill>
                        <a:schemeClr val="accent1"/>
                      </a:solid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05698">
        <w:rPr>
          <w:rFonts w:ascii="Times New Roman" w:hAnsi="Times New Roman"/>
          <w:sz w:val="24"/>
          <w:szCs w:val="24"/>
        </w:rPr>
        <w:t xml:space="preserve">Les Aires protégées du pays </w:t>
      </w:r>
      <w:r>
        <w:rPr>
          <w:rFonts w:ascii="Times New Roman" w:hAnsi="Times New Roman"/>
          <w:sz w:val="24"/>
          <w:szCs w:val="24"/>
        </w:rPr>
        <w:t>s</w:t>
      </w:r>
      <w:r w:rsidR="00A57DCB">
        <w:rPr>
          <w:rFonts w:ascii="Times New Roman" w:hAnsi="Times New Roman"/>
          <w:sz w:val="24"/>
          <w:szCs w:val="24"/>
        </w:rPr>
        <w:t>ont présentées dans la figure 6</w:t>
      </w:r>
      <w:r w:rsidRPr="00A05698">
        <w:rPr>
          <w:rFonts w:ascii="Times New Roman" w:hAnsi="Times New Roman"/>
          <w:sz w:val="24"/>
          <w:szCs w:val="24"/>
        </w:rPr>
        <w:t xml:space="preserve"> ci-dessous.</w:t>
      </w:r>
    </w:p>
    <w:p w:rsidR="008D3328" w:rsidRPr="00A05698" w:rsidRDefault="008D3328" w:rsidP="008D3328">
      <w:pPr>
        <w:pStyle w:val="Legenda"/>
        <w:jc w:val="center"/>
        <w:rPr>
          <w:rFonts w:eastAsia="Times New Roman"/>
        </w:rPr>
      </w:pPr>
      <w:bookmarkStart w:id="185" w:name="_Toc4770178"/>
      <w:bookmarkStart w:id="186" w:name="_Toc34921337"/>
      <w:bookmarkStart w:id="187" w:name="_Toc63695939"/>
      <w:bookmarkStart w:id="188" w:name="_Toc73522788"/>
      <w:r w:rsidRPr="00A05698">
        <w:t xml:space="preserve">Figure </w:t>
      </w:r>
      <w:r w:rsidR="00D00D1D">
        <w:fldChar w:fldCharType="begin"/>
      </w:r>
      <w:r w:rsidR="00D00D1D">
        <w:instrText xml:space="preserve"> SEQ Figure \* ARABIC </w:instrText>
      </w:r>
      <w:r w:rsidR="00D00D1D">
        <w:fldChar w:fldCharType="separate"/>
      </w:r>
      <w:r w:rsidR="00BE0248">
        <w:rPr>
          <w:noProof/>
        </w:rPr>
        <w:t>6</w:t>
      </w:r>
      <w:r w:rsidR="00D00D1D">
        <w:rPr>
          <w:noProof/>
        </w:rPr>
        <w:fldChar w:fldCharType="end"/>
      </w:r>
      <w:r w:rsidRPr="00A05698">
        <w:t xml:space="preserve"> </w:t>
      </w:r>
      <w:r w:rsidRPr="00A05698">
        <w:rPr>
          <w:rFonts w:eastAsia="Times New Roman"/>
        </w:rPr>
        <w:t>:</w:t>
      </w:r>
      <w:r w:rsidRPr="00A05698">
        <w:rPr>
          <w:b w:val="0"/>
          <w:sz w:val="24"/>
          <w:szCs w:val="24"/>
        </w:rPr>
        <w:t xml:space="preserve"> </w:t>
      </w:r>
      <w:r w:rsidRPr="00A05698">
        <w:rPr>
          <w:rFonts w:eastAsia="Times New Roman"/>
        </w:rPr>
        <w:t>Aires protégées du pays</w:t>
      </w:r>
      <w:bookmarkEnd w:id="185"/>
      <w:bookmarkEnd w:id="186"/>
      <w:bookmarkEnd w:id="187"/>
      <w:bookmarkEnd w:id="188"/>
    </w:p>
    <w:p w:rsidR="008D3328" w:rsidRPr="003171E1" w:rsidRDefault="008D3328" w:rsidP="003171E1">
      <w:pPr>
        <w:spacing w:before="120" w:after="120"/>
        <w:ind w:left="-284" w:right="-851"/>
        <w:jc w:val="both"/>
        <w:rPr>
          <w:rFonts w:eastAsia="Times New Roman"/>
          <w:color w:val="000000"/>
          <w:highlight w:val="green"/>
        </w:rPr>
      </w:pPr>
    </w:p>
    <w:p w:rsidR="007C0EBB" w:rsidRPr="00A05698" w:rsidRDefault="00A5213A" w:rsidP="004F4212">
      <w:pPr>
        <w:pStyle w:val="PargrafodaLista"/>
        <w:keepNext/>
        <w:spacing w:before="240" w:after="240" w:line="240" w:lineRule="auto"/>
        <w:ind w:left="450" w:right="284" w:hanging="450"/>
        <w:jc w:val="both"/>
        <w:outlineLvl w:val="1"/>
        <w:rPr>
          <w:rFonts w:ascii="Times New Roman" w:hAnsi="Times New Roman"/>
          <w:b/>
          <w:sz w:val="24"/>
          <w:szCs w:val="24"/>
        </w:rPr>
      </w:pPr>
      <w:bookmarkStart w:id="189" w:name="_Toc73459736"/>
      <w:r w:rsidRPr="00A05698">
        <w:rPr>
          <w:rFonts w:ascii="Times New Roman" w:hAnsi="Times New Roman"/>
          <w:b/>
          <w:sz w:val="24"/>
          <w:szCs w:val="24"/>
        </w:rPr>
        <w:t>4</w:t>
      </w:r>
      <w:r w:rsidR="007C0EBB" w:rsidRPr="00A05698">
        <w:rPr>
          <w:rFonts w:ascii="Times New Roman" w:hAnsi="Times New Roman"/>
          <w:b/>
          <w:sz w:val="24"/>
          <w:szCs w:val="24"/>
        </w:rPr>
        <w:t>.4. Activités socio-économiques et culturelles de la zone d’implantation du projet</w:t>
      </w:r>
      <w:bookmarkEnd w:id="182"/>
      <w:bookmarkEnd w:id="183"/>
      <w:bookmarkEnd w:id="184"/>
      <w:bookmarkEnd w:id="189"/>
    </w:p>
    <w:p w:rsidR="007C0EBB" w:rsidRPr="00A05698" w:rsidRDefault="007C0EBB" w:rsidP="004F4212">
      <w:pPr>
        <w:pStyle w:val="PargrafodaLista"/>
        <w:keepNext/>
        <w:spacing w:before="240" w:after="240" w:line="240" w:lineRule="auto"/>
        <w:ind w:left="450" w:right="284" w:hanging="450"/>
        <w:jc w:val="both"/>
        <w:rPr>
          <w:rFonts w:ascii="Times New Roman" w:hAnsi="Times New Roman"/>
          <w:b/>
          <w:sz w:val="24"/>
          <w:szCs w:val="24"/>
        </w:rPr>
      </w:pPr>
    </w:p>
    <w:p w:rsidR="007C0EBB" w:rsidRPr="00A05698" w:rsidRDefault="004E5433"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90" w:name="_Toc535396935"/>
      <w:bookmarkStart w:id="191" w:name="_Toc6310475"/>
      <w:bookmarkStart w:id="192" w:name="_Toc51084443"/>
      <w:r w:rsidRPr="00A05698">
        <w:rPr>
          <w:rFonts w:ascii="Times New Roman" w:hAnsi="Times New Roman"/>
          <w:b/>
          <w:sz w:val="24"/>
          <w:szCs w:val="24"/>
        </w:rPr>
        <w:t>4</w:t>
      </w:r>
      <w:r w:rsidR="007C0EBB" w:rsidRPr="00A05698">
        <w:rPr>
          <w:rFonts w:ascii="Times New Roman" w:hAnsi="Times New Roman"/>
          <w:b/>
          <w:sz w:val="24"/>
          <w:szCs w:val="24"/>
        </w:rPr>
        <w:t>.4.1. Répartition Spatiale de la Population et Densité (Censo 2009)</w:t>
      </w:r>
      <w:bookmarkEnd w:id="190"/>
      <w:bookmarkEnd w:id="191"/>
      <w:bookmarkEnd w:id="192"/>
    </w:p>
    <w:p w:rsidR="00A5213A" w:rsidRPr="00A05698" w:rsidRDefault="007C0EBB" w:rsidP="00A5213A">
      <w:pPr>
        <w:spacing w:before="120" w:after="120"/>
        <w:ind w:left="-284" w:right="-851"/>
        <w:jc w:val="both"/>
      </w:pPr>
      <w:r w:rsidRPr="00A05698">
        <w:t xml:space="preserve">D’après les résultats préliminaires du RGPH, mené en mars 2009 par l’Institut National de la Statistique et du Recensement (INEC), la population totale du pays est estimée à 1 449 230 habitants, dont 755.859 sont de sexe masculin et 792.300 de sexe féminin. Les subdivisions administratives de la Guinée Bissau sont au nombre de neuf : huit régions (Cacheu, Oio, Gabu, </w:t>
      </w:r>
      <w:r w:rsidR="00561D67" w:rsidRPr="00A05698">
        <w:t>Bafata</w:t>
      </w:r>
      <w:r w:rsidRPr="00A05698">
        <w:t xml:space="preserve">, </w:t>
      </w:r>
      <w:r w:rsidR="00561D67" w:rsidRPr="00A05698">
        <w:t>Quinara</w:t>
      </w:r>
      <w:r w:rsidRPr="00A05698">
        <w:t>, Tombali, Bolama Bijagós et Biombo) et le secteu</w:t>
      </w:r>
      <w:r w:rsidR="006553A6">
        <w:t>r autonome de Bissau (tableau 9</w:t>
      </w:r>
      <w:r w:rsidRPr="00A05698">
        <w:t>).</w:t>
      </w:r>
      <w:bookmarkStart w:id="193" w:name="_Toc4770107"/>
      <w:bookmarkStart w:id="194" w:name="_Toc51084846"/>
    </w:p>
    <w:p w:rsidR="007C0EBB" w:rsidRPr="00A05698" w:rsidRDefault="007C0EBB" w:rsidP="00E41C1A">
      <w:pPr>
        <w:pStyle w:val="Primeiroavanodecorpodetexto2"/>
        <w:spacing w:after="0" w:line="240" w:lineRule="auto"/>
        <w:jc w:val="center"/>
        <w:rPr>
          <w:rFonts w:ascii="Times New Roman" w:hAnsi="Times New Roman"/>
          <w:b/>
        </w:rPr>
      </w:pPr>
      <w:bookmarkStart w:id="195" w:name="_Toc73522615"/>
      <w:r w:rsidRPr="00A05698">
        <w:rPr>
          <w:rFonts w:ascii="Times New Roman" w:hAnsi="Times New Roman"/>
          <w:b/>
        </w:rPr>
        <w:t xml:space="preserve">Tableau </w:t>
      </w:r>
      <w:r w:rsidR="00121744" w:rsidRPr="00A05698">
        <w:rPr>
          <w:rFonts w:ascii="Times New Roman" w:hAnsi="Times New Roman"/>
          <w:b/>
        </w:rPr>
        <w:fldChar w:fldCharType="begin"/>
      </w:r>
      <w:r w:rsidR="00121744" w:rsidRPr="00A05698">
        <w:rPr>
          <w:rFonts w:ascii="Times New Roman" w:hAnsi="Times New Roman"/>
          <w:b/>
        </w:rPr>
        <w:instrText xml:space="preserve"> </w:instrText>
      </w:r>
      <w:r w:rsidR="006C5620">
        <w:rPr>
          <w:rFonts w:ascii="Times New Roman" w:hAnsi="Times New Roman"/>
          <w:b/>
        </w:rPr>
        <w:instrText>SEQ</w:instrText>
      </w:r>
      <w:r w:rsidR="00121744" w:rsidRPr="00A05698">
        <w:rPr>
          <w:rFonts w:ascii="Times New Roman" w:hAnsi="Times New Roman"/>
          <w:b/>
        </w:rPr>
        <w:instrText xml:space="preserve"> Tableau \* ARABIC </w:instrText>
      </w:r>
      <w:r w:rsidR="00121744" w:rsidRPr="00A05698">
        <w:rPr>
          <w:rFonts w:ascii="Times New Roman" w:hAnsi="Times New Roman"/>
          <w:b/>
        </w:rPr>
        <w:fldChar w:fldCharType="separate"/>
      </w:r>
      <w:r w:rsidR="00BB7875">
        <w:rPr>
          <w:rFonts w:ascii="Times New Roman" w:hAnsi="Times New Roman"/>
          <w:b/>
          <w:noProof/>
        </w:rPr>
        <w:t>9</w:t>
      </w:r>
      <w:r w:rsidR="00121744" w:rsidRPr="00A05698">
        <w:rPr>
          <w:rFonts w:ascii="Times New Roman" w:hAnsi="Times New Roman"/>
          <w:b/>
        </w:rPr>
        <w:fldChar w:fldCharType="end"/>
      </w:r>
      <w:r w:rsidRPr="00A05698">
        <w:rPr>
          <w:rFonts w:ascii="Times New Roman" w:hAnsi="Times New Roman"/>
          <w:b/>
        </w:rPr>
        <w:t>: Répartition Spatiale de la Population et Densité (Censo 2009)</w:t>
      </w:r>
      <w:bookmarkEnd w:id="193"/>
      <w:bookmarkEnd w:id="194"/>
      <w:bookmarkEnd w:id="195"/>
    </w:p>
    <w:tbl>
      <w:tblPr>
        <w:tblStyle w:val="Tabelacomgrelha"/>
        <w:tblW w:w="0" w:type="auto"/>
        <w:tblInd w:w="-318" w:type="dxa"/>
        <w:tblLook w:val="04A0" w:firstRow="1" w:lastRow="0" w:firstColumn="1" w:lastColumn="0" w:noHBand="0" w:noVBand="1"/>
      </w:tblPr>
      <w:tblGrid>
        <w:gridCol w:w="3225"/>
        <w:gridCol w:w="1723"/>
        <w:gridCol w:w="2344"/>
        <w:gridCol w:w="2314"/>
      </w:tblGrid>
      <w:tr w:rsidR="007C0EBB" w:rsidRPr="00A05698" w:rsidTr="00242A77">
        <w:tc>
          <w:tcPr>
            <w:tcW w:w="3485" w:type="dxa"/>
            <w:shd w:val="clear" w:color="auto" w:fill="FFF2CC" w:themeFill="accent4" w:themeFillTint="33"/>
            <w:vAlign w:val="center"/>
          </w:tcPr>
          <w:p w:rsidR="007C0EBB" w:rsidRPr="00A05698" w:rsidRDefault="007C0EBB" w:rsidP="004F4212">
            <w:pPr>
              <w:jc w:val="center"/>
              <w:rPr>
                <w:b/>
              </w:rPr>
            </w:pPr>
            <w:r w:rsidRPr="00A05698">
              <w:rPr>
                <w:b/>
              </w:rPr>
              <w:t>PAYS</w:t>
            </w:r>
          </w:p>
        </w:tc>
        <w:tc>
          <w:tcPr>
            <w:tcW w:w="1787" w:type="dxa"/>
            <w:shd w:val="clear" w:color="auto" w:fill="FFF2CC" w:themeFill="accent4" w:themeFillTint="33"/>
            <w:vAlign w:val="center"/>
          </w:tcPr>
          <w:p w:rsidR="007C0EBB" w:rsidRPr="00A05698" w:rsidRDefault="007C0EBB" w:rsidP="004F4212">
            <w:pPr>
              <w:jc w:val="center"/>
              <w:rPr>
                <w:b/>
              </w:rPr>
            </w:pPr>
            <w:r w:rsidRPr="00A05698">
              <w:rPr>
                <w:b/>
              </w:rPr>
              <w:t>Superficie (km2)</w:t>
            </w:r>
          </w:p>
        </w:tc>
        <w:tc>
          <w:tcPr>
            <w:tcW w:w="2482" w:type="dxa"/>
            <w:shd w:val="clear" w:color="auto" w:fill="FFF2CC" w:themeFill="accent4" w:themeFillTint="33"/>
            <w:vAlign w:val="center"/>
          </w:tcPr>
          <w:p w:rsidR="007C0EBB" w:rsidRPr="00A05698" w:rsidRDefault="007C0EBB" w:rsidP="004F4212">
            <w:pPr>
              <w:jc w:val="center"/>
              <w:rPr>
                <w:b/>
              </w:rPr>
            </w:pPr>
            <w:r w:rsidRPr="00A05698">
              <w:rPr>
                <w:b/>
              </w:rPr>
              <w:t>Population résidents</w:t>
            </w:r>
          </w:p>
        </w:tc>
        <w:tc>
          <w:tcPr>
            <w:tcW w:w="2477" w:type="dxa"/>
            <w:shd w:val="clear" w:color="auto" w:fill="FFF2CC" w:themeFill="accent4" w:themeFillTint="33"/>
            <w:vAlign w:val="center"/>
          </w:tcPr>
          <w:p w:rsidR="007C0EBB" w:rsidRPr="00A05698" w:rsidRDefault="007C0EBB" w:rsidP="004F4212">
            <w:pPr>
              <w:jc w:val="center"/>
              <w:rPr>
                <w:b/>
              </w:rPr>
            </w:pPr>
            <w:r w:rsidRPr="00A05698">
              <w:rPr>
                <w:b/>
              </w:rPr>
              <w:t>Densité hab/km2</w:t>
            </w:r>
          </w:p>
        </w:tc>
      </w:tr>
      <w:tr w:rsidR="007C0EBB" w:rsidRPr="00A05698" w:rsidTr="00242A77">
        <w:tc>
          <w:tcPr>
            <w:tcW w:w="5272" w:type="dxa"/>
            <w:gridSpan w:val="2"/>
            <w:vAlign w:val="center"/>
          </w:tcPr>
          <w:p w:rsidR="007C0EBB" w:rsidRPr="00A05698" w:rsidRDefault="007C0EBB" w:rsidP="004F4212">
            <w:pPr>
              <w:rPr>
                <w:b/>
              </w:rPr>
            </w:pPr>
          </w:p>
        </w:tc>
        <w:tc>
          <w:tcPr>
            <w:tcW w:w="4959" w:type="dxa"/>
            <w:gridSpan w:val="2"/>
            <w:shd w:val="clear" w:color="auto" w:fill="FFF2CC" w:themeFill="accent4" w:themeFillTint="33"/>
            <w:vAlign w:val="center"/>
          </w:tcPr>
          <w:p w:rsidR="007C0EBB" w:rsidRPr="00A05698" w:rsidRDefault="007C0EBB" w:rsidP="004F4212">
            <w:pPr>
              <w:jc w:val="center"/>
              <w:rPr>
                <w:b/>
              </w:rPr>
            </w:pPr>
            <w:r w:rsidRPr="00A05698">
              <w:rPr>
                <w:b/>
              </w:rPr>
              <w:t>2009</w:t>
            </w:r>
          </w:p>
        </w:tc>
      </w:tr>
      <w:tr w:rsidR="007C0EBB" w:rsidRPr="00A05698" w:rsidTr="00242A77">
        <w:tc>
          <w:tcPr>
            <w:tcW w:w="3485" w:type="dxa"/>
            <w:vAlign w:val="center"/>
          </w:tcPr>
          <w:p w:rsidR="007C0EBB" w:rsidRPr="00A05698" w:rsidRDefault="007C0EBB" w:rsidP="004F4212">
            <w:pPr>
              <w:rPr>
                <w:b/>
              </w:rPr>
            </w:pPr>
            <w:r w:rsidRPr="00A05698">
              <w:rPr>
                <w:b/>
              </w:rPr>
              <w:t>Guinée-Bissau</w:t>
            </w:r>
          </w:p>
        </w:tc>
        <w:tc>
          <w:tcPr>
            <w:tcW w:w="1787" w:type="dxa"/>
            <w:vAlign w:val="center"/>
          </w:tcPr>
          <w:p w:rsidR="007C0EBB" w:rsidRPr="00A05698" w:rsidRDefault="007C0EBB" w:rsidP="004F4212">
            <w:pPr>
              <w:jc w:val="center"/>
              <w:rPr>
                <w:b/>
              </w:rPr>
            </w:pPr>
            <w:r w:rsidRPr="00A05698">
              <w:rPr>
                <w:b/>
              </w:rPr>
              <w:t>36 125</w:t>
            </w:r>
          </w:p>
        </w:tc>
        <w:tc>
          <w:tcPr>
            <w:tcW w:w="2482" w:type="dxa"/>
            <w:vAlign w:val="center"/>
          </w:tcPr>
          <w:p w:rsidR="007C0EBB" w:rsidRPr="00A05698" w:rsidRDefault="007C0EBB" w:rsidP="004F4212">
            <w:pPr>
              <w:jc w:val="center"/>
              <w:rPr>
                <w:b/>
              </w:rPr>
            </w:pPr>
            <w:r w:rsidRPr="00A05698">
              <w:rPr>
                <w:b/>
              </w:rPr>
              <w:t>1 449 230</w:t>
            </w:r>
          </w:p>
        </w:tc>
        <w:tc>
          <w:tcPr>
            <w:tcW w:w="2477" w:type="dxa"/>
            <w:vAlign w:val="center"/>
          </w:tcPr>
          <w:p w:rsidR="007C0EBB" w:rsidRPr="00A05698" w:rsidRDefault="007C0EBB" w:rsidP="004F4212">
            <w:pPr>
              <w:jc w:val="center"/>
              <w:rPr>
                <w:b/>
              </w:rPr>
            </w:pPr>
            <w:r w:rsidRPr="00A05698">
              <w:rPr>
                <w:b/>
              </w:rPr>
              <w:t>40,1</w:t>
            </w:r>
          </w:p>
        </w:tc>
      </w:tr>
      <w:tr w:rsidR="007C0EBB" w:rsidRPr="00A05698" w:rsidTr="00242A77">
        <w:trPr>
          <w:trHeight w:val="309"/>
        </w:trPr>
        <w:tc>
          <w:tcPr>
            <w:tcW w:w="3485" w:type="dxa"/>
            <w:shd w:val="clear" w:color="auto" w:fill="FFF2CC" w:themeFill="accent4" w:themeFillTint="33"/>
            <w:vAlign w:val="center"/>
          </w:tcPr>
          <w:p w:rsidR="007C0EBB" w:rsidRPr="00A05698" w:rsidRDefault="007C0EBB" w:rsidP="004F4212">
            <w:pPr>
              <w:jc w:val="center"/>
              <w:rPr>
                <w:b/>
                <w:sz w:val="4"/>
                <w:szCs w:val="4"/>
              </w:rPr>
            </w:pPr>
            <w:r w:rsidRPr="00A05698">
              <w:rPr>
                <w:b/>
              </w:rPr>
              <w:t>REGIONS</w:t>
            </w:r>
          </w:p>
        </w:tc>
        <w:tc>
          <w:tcPr>
            <w:tcW w:w="6746" w:type="dxa"/>
            <w:gridSpan w:val="3"/>
            <w:shd w:val="clear" w:color="auto" w:fill="FFF2CC" w:themeFill="accent4" w:themeFillTint="33"/>
            <w:vAlign w:val="center"/>
          </w:tcPr>
          <w:p w:rsidR="007C0EBB" w:rsidRPr="00A05698" w:rsidRDefault="007C0EBB" w:rsidP="004F4212">
            <w:pPr>
              <w:jc w:val="center"/>
              <w:rPr>
                <w:b/>
              </w:rPr>
            </w:pPr>
          </w:p>
        </w:tc>
      </w:tr>
      <w:tr w:rsidR="007C0EBB" w:rsidRPr="00A05698" w:rsidTr="00242A77">
        <w:tc>
          <w:tcPr>
            <w:tcW w:w="3485" w:type="dxa"/>
            <w:vAlign w:val="center"/>
          </w:tcPr>
          <w:p w:rsidR="007C0EBB" w:rsidRPr="00A05698" w:rsidRDefault="007C0EBB" w:rsidP="004F4212">
            <w:pPr>
              <w:rPr>
                <w:b/>
              </w:rPr>
            </w:pPr>
            <w:r w:rsidRPr="00A05698">
              <w:rPr>
                <w:b/>
              </w:rPr>
              <w:t>1. Région de Gabu</w:t>
            </w:r>
          </w:p>
        </w:tc>
        <w:tc>
          <w:tcPr>
            <w:tcW w:w="1787" w:type="dxa"/>
            <w:vAlign w:val="center"/>
          </w:tcPr>
          <w:p w:rsidR="007C0EBB" w:rsidRPr="00A05698" w:rsidRDefault="007C0EBB" w:rsidP="004F4212">
            <w:pPr>
              <w:jc w:val="center"/>
              <w:rPr>
                <w:b/>
              </w:rPr>
            </w:pPr>
            <w:r w:rsidRPr="00A05698">
              <w:rPr>
                <w:b/>
              </w:rPr>
              <w:t>9 150,0</w:t>
            </w:r>
          </w:p>
        </w:tc>
        <w:tc>
          <w:tcPr>
            <w:tcW w:w="2482" w:type="dxa"/>
            <w:vAlign w:val="center"/>
          </w:tcPr>
          <w:p w:rsidR="007C0EBB" w:rsidRPr="00A05698" w:rsidRDefault="007C0EBB" w:rsidP="004F4212">
            <w:pPr>
              <w:jc w:val="center"/>
              <w:rPr>
                <w:b/>
              </w:rPr>
            </w:pPr>
            <w:r w:rsidRPr="00A05698">
              <w:rPr>
                <w:b/>
              </w:rPr>
              <w:t>205 608</w:t>
            </w:r>
          </w:p>
        </w:tc>
        <w:tc>
          <w:tcPr>
            <w:tcW w:w="2477" w:type="dxa"/>
            <w:vAlign w:val="center"/>
          </w:tcPr>
          <w:p w:rsidR="007C0EBB" w:rsidRPr="00A05698" w:rsidRDefault="007C0EBB" w:rsidP="004F4212">
            <w:pPr>
              <w:jc w:val="center"/>
              <w:rPr>
                <w:b/>
              </w:rPr>
            </w:pPr>
            <w:r w:rsidRPr="00A05698">
              <w:rPr>
                <w:b/>
              </w:rPr>
              <w:t>22,5</w:t>
            </w:r>
          </w:p>
        </w:tc>
      </w:tr>
      <w:tr w:rsidR="007C0EBB" w:rsidRPr="00A05698" w:rsidTr="00242A77">
        <w:tc>
          <w:tcPr>
            <w:tcW w:w="3485" w:type="dxa"/>
            <w:vAlign w:val="center"/>
          </w:tcPr>
          <w:p w:rsidR="007C0EBB" w:rsidRPr="00A05698" w:rsidRDefault="007C0EBB" w:rsidP="004F4212">
            <w:pPr>
              <w:rPr>
                <w:b/>
              </w:rPr>
            </w:pPr>
            <w:r w:rsidRPr="00A05698">
              <w:rPr>
                <w:b/>
              </w:rPr>
              <w:t xml:space="preserve">2. Région de </w:t>
            </w:r>
            <w:r w:rsidR="00561D67" w:rsidRPr="00A05698">
              <w:rPr>
                <w:b/>
              </w:rPr>
              <w:t>Bafata</w:t>
            </w:r>
          </w:p>
        </w:tc>
        <w:tc>
          <w:tcPr>
            <w:tcW w:w="1787" w:type="dxa"/>
            <w:vAlign w:val="center"/>
          </w:tcPr>
          <w:p w:rsidR="007C0EBB" w:rsidRPr="00A05698" w:rsidRDefault="007C0EBB" w:rsidP="004F4212">
            <w:pPr>
              <w:jc w:val="center"/>
              <w:rPr>
                <w:b/>
              </w:rPr>
            </w:pPr>
            <w:r w:rsidRPr="00A05698">
              <w:rPr>
                <w:b/>
              </w:rPr>
              <w:t>5 981,1</w:t>
            </w:r>
          </w:p>
        </w:tc>
        <w:tc>
          <w:tcPr>
            <w:tcW w:w="2482" w:type="dxa"/>
            <w:vAlign w:val="center"/>
          </w:tcPr>
          <w:p w:rsidR="007C0EBB" w:rsidRPr="00A05698" w:rsidRDefault="007C0EBB" w:rsidP="004F4212">
            <w:pPr>
              <w:jc w:val="center"/>
              <w:rPr>
                <w:b/>
              </w:rPr>
            </w:pPr>
            <w:r w:rsidRPr="00A05698">
              <w:rPr>
                <w:b/>
              </w:rPr>
              <w:t>200 884</w:t>
            </w:r>
          </w:p>
        </w:tc>
        <w:tc>
          <w:tcPr>
            <w:tcW w:w="2477" w:type="dxa"/>
            <w:vAlign w:val="center"/>
          </w:tcPr>
          <w:p w:rsidR="007C0EBB" w:rsidRPr="00A05698" w:rsidRDefault="007C0EBB" w:rsidP="004F4212">
            <w:pPr>
              <w:jc w:val="center"/>
              <w:rPr>
                <w:b/>
              </w:rPr>
            </w:pPr>
            <w:r w:rsidRPr="00A05698">
              <w:rPr>
                <w:b/>
              </w:rPr>
              <w:t>33,6</w:t>
            </w:r>
          </w:p>
        </w:tc>
      </w:tr>
      <w:tr w:rsidR="007C0EBB" w:rsidRPr="00A05698" w:rsidTr="00242A77">
        <w:tc>
          <w:tcPr>
            <w:tcW w:w="3485" w:type="dxa"/>
            <w:vAlign w:val="center"/>
          </w:tcPr>
          <w:p w:rsidR="007C0EBB" w:rsidRPr="00A05698" w:rsidRDefault="007C0EBB" w:rsidP="004F4212">
            <w:pPr>
              <w:rPr>
                <w:b/>
              </w:rPr>
            </w:pPr>
            <w:r w:rsidRPr="00A05698">
              <w:rPr>
                <w:b/>
              </w:rPr>
              <w:t xml:space="preserve">3. Région </w:t>
            </w:r>
            <w:r w:rsidR="00E611AD" w:rsidRPr="00A05698">
              <w:rPr>
                <w:b/>
              </w:rPr>
              <w:t>d’Oio</w:t>
            </w:r>
          </w:p>
        </w:tc>
        <w:tc>
          <w:tcPr>
            <w:tcW w:w="1787" w:type="dxa"/>
            <w:vAlign w:val="center"/>
          </w:tcPr>
          <w:p w:rsidR="007C0EBB" w:rsidRPr="00A05698" w:rsidRDefault="007C0EBB" w:rsidP="004F4212">
            <w:pPr>
              <w:jc w:val="center"/>
              <w:rPr>
                <w:b/>
              </w:rPr>
            </w:pPr>
            <w:r w:rsidRPr="00A05698">
              <w:rPr>
                <w:b/>
              </w:rPr>
              <w:t>5 403,4</w:t>
            </w:r>
          </w:p>
        </w:tc>
        <w:tc>
          <w:tcPr>
            <w:tcW w:w="2482" w:type="dxa"/>
            <w:vAlign w:val="center"/>
          </w:tcPr>
          <w:p w:rsidR="007C0EBB" w:rsidRPr="00A05698" w:rsidRDefault="007C0EBB" w:rsidP="004F4212">
            <w:pPr>
              <w:jc w:val="center"/>
              <w:rPr>
                <w:b/>
              </w:rPr>
            </w:pPr>
            <w:r w:rsidRPr="00A05698">
              <w:rPr>
                <w:b/>
              </w:rPr>
              <w:t>215 259</w:t>
            </w:r>
          </w:p>
        </w:tc>
        <w:tc>
          <w:tcPr>
            <w:tcW w:w="2477" w:type="dxa"/>
            <w:vAlign w:val="center"/>
          </w:tcPr>
          <w:p w:rsidR="007C0EBB" w:rsidRPr="00A05698" w:rsidRDefault="007C0EBB" w:rsidP="004F4212">
            <w:pPr>
              <w:jc w:val="center"/>
              <w:rPr>
                <w:b/>
              </w:rPr>
            </w:pPr>
            <w:r w:rsidRPr="00A05698">
              <w:rPr>
                <w:b/>
              </w:rPr>
              <w:t>39,8</w:t>
            </w:r>
          </w:p>
        </w:tc>
      </w:tr>
      <w:tr w:rsidR="007C0EBB" w:rsidRPr="00A05698" w:rsidTr="00242A77">
        <w:tc>
          <w:tcPr>
            <w:tcW w:w="3485" w:type="dxa"/>
            <w:vAlign w:val="center"/>
          </w:tcPr>
          <w:p w:rsidR="007C0EBB" w:rsidRPr="00A05698" w:rsidRDefault="007C0EBB" w:rsidP="004F4212">
            <w:pPr>
              <w:rPr>
                <w:b/>
              </w:rPr>
            </w:pPr>
            <w:r w:rsidRPr="00A05698">
              <w:rPr>
                <w:b/>
              </w:rPr>
              <w:t>4. Région de Cacheu</w:t>
            </w:r>
          </w:p>
        </w:tc>
        <w:tc>
          <w:tcPr>
            <w:tcW w:w="1787" w:type="dxa"/>
            <w:vAlign w:val="center"/>
          </w:tcPr>
          <w:p w:rsidR="007C0EBB" w:rsidRPr="00A05698" w:rsidRDefault="007C0EBB" w:rsidP="004F4212">
            <w:pPr>
              <w:jc w:val="center"/>
              <w:rPr>
                <w:b/>
              </w:rPr>
            </w:pPr>
            <w:r w:rsidRPr="00A05698">
              <w:rPr>
                <w:b/>
              </w:rPr>
              <w:t>5 174,9</w:t>
            </w:r>
          </w:p>
        </w:tc>
        <w:tc>
          <w:tcPr>
            <w:tcW w:w="2482" w:type="dxa"/>
            <w:vAlign w:val="center"/>
          </w:tcPr>
          <w:p w:rsidR="007C0EBB" w:rsidRPr="00A05698" w:rsidRDefault="007C0EBB" w:rsidP="004F4212">
            <w:pPr>
              <w:jc w:val="center"/>
              <w:rPr>
                <w:b/>
              </w:rPr>
            </w:pPr>
            <w:r w:rsidRPr="00A05698">
              <w:rPr>
                <w:b/>
              </w:rPr>
              <w:t>185 053</w:t>
            </w:r>
          </w:p>
        </w:tc>
        <w:tc>
          <w:tcPr>
            <w:tcW w:w="2477" w:type="dxa"/>
            <w:vAlign w:val="center"/>
          </w:tcPr>
          <w:p w:rsidR="007C0EBB" w:rsidRPr="00A05698" w:rsidRDefault="007C0EBB" w:rsidP="004F4212">
            <w:pPr>
              <w:jc w:val="center"/>
              <w:rPr>
                <w:b/>
              </w:rPr>
            </w:pPr>
            <w:r w:rsidRPr="00A05698">
              <w:rPr>
                <w:b/>
              </w:rPr>
              <w:t>35,8</w:t>
            </w:r>
          </w:p>
        </w:tc>
      </w:tr>
      <w:tr w:rsidR="007C0EBB" w:rsidRPr="00A05698" w:rsidTr="00242A77">
        <w:tc>
          <w:tcPr>
            <w:tcW w:w="3485" w:type="dxa"/>
            <w:vAlign w:val="center"/>
          </w:tcPr>
          <w:p w:rsidR="007C0EBB" w:rsidRPr="00A05698" w:rsidRDefault="007C0EBB" w:rsidP="004F4212">
            <w:pPr>
              <w:rPr>
                <w:b/>
              </w:rPr>
            </w:pPr>
            <w:r w:rsidRPr="00A05698">
              <w:rPr>
                <w:b/>
              </w:rPr>
              <w:t>5. Région de Tombali</w:t>
            </w:r>
          </w:p>
        </w:tc>
        <w:tc>
          <w:tcPr>
            <w:tcW w:w="1787" w:type="dxa"/>
            <w:vAlign w:val="center"/>
          </w:tcPr>
          <w:p w:rsidR="007C0EBB" w:rsidRPr="00A05698" w:rsidRDefault="007C0EBB" w:rsidP="004F4212">
            <w:pPr>
              <w:jc w:val="center"/>
              <w:rPr>
                <w:b/>
              </w:rPr>
            </w:pPr>
            <w:r w:rsidRPr="00A05698">
              <w:rPr>
                <w:b/>
              </w:rPr>
              <w:t>3 736,5</w:t>
            </w:r>
          </w:p>
        </w:tc>
        <w:tc>
          <w:tcPr>
            <w:tcW w:w="2482" w:type="dxa"/>
            <w:vAlign w:val="center"/>
          </w:tcPr>
          <w:p w:rsidR="007C0EBB" w:rsidRPr="00A05698" w:rsidRDefault="007C0EBB" w:rsidP="004F4212">
            <w:pPr>
              <w:jc w:val="center"/>
              <w:rPr>
                <w:b/>
              </w:rPr>
            </w:pPr>
            <w:r w:rsidRPr="00A05698">
              <w:rPr>
                <w:b/>
              </w:rPr>
              <w:t>91 089</w:t>
            </w:r>
          </w:p>
        </w:tc>
        <w:tc>
          <w:tcPr>
            <w:tcW w:w="2477" w:type="dxa"/>
            <w:vAlign w:val="center"/>
          </w:tcPr>
          <w:p w:rsidR="007C0EBB" w:rsidRPr="00A05698" w:rsidRDefault="007C0EBB" w:rsidP="004F4212">
            <w:pPr>
              <w:jc w:val="center"/>
              <w:rPr>
                <w:b/>
              </w:rPr>
            </w:pPr>
            <w:r w:rsidRPr="00A05698">
              <w:rPr>
                <w:b/>
              </w:rPr>
              <w:t>24,4</w:t>
            </w:r>
          </w:p>
        </w:tc>
      </w:tr>
      <w:tr w:rsidR="007C0EBB" w:rsidRPr="00A05698" w:rsidTr="00242A77">
        <w:tc>
          <w:tcPr>
            <w:tcW w:w="3485" w:type="dxa"/>
            <w:vAlign w:val="center"/>
          </w:tcPr>
          <w:p w:rsidR="007C0EBB" w:rsidRPr="00A05698" w:rsidRDefault="007C0EBB" w:rsidP="004F4212">
            <w:pPr>
              <w:rPr>
                <w:b/>
              </w:rPr>
            </w:pPr>
            <w:r w:rsidRPr="00A05698">
              <w:rPr>
                <w:b/>
              </w:rPr>
              <w:t xml:space="preserve">6. Région de </w:t>
            </w:r>
            <w:r w:rsidR="00561D67" w:rsidRPr="00A05698">
              <w:rPr>
                <w:b/>
              </w:rPr>
              <w:t>Quinara</w:t>
            </w:r>
          </w:p>
        </w:tc>
        <w:tc>
          <w:tcPr>
            <w:tcW w:w="1787" w:type="dxa"/>
            <w:vAlign w:val="center"/>
          </w:tcPr>
          <w:p w:rsidR="007C0EBB" w:rsidRPr="00A05698" w:rsidRDefault="007C0EBB" w:rsidP="004F4212">
            <w:pPr>
              <w:jc w:val="center"/>
              <w:rPr>
                <w:b/>
              </w:rPr>
            </w:pPr>
            <w:r w:rsidRPr="00A05698">
              <w:rPr>
                <w:b/>
              </w:rPr>
              <w:t>3 138,4</w:t>
            </w:r>
          </w:p>
        </w:tc>
        <w:tc>
          <w:tcPr>
            <w:tcW w:w="2482" w:type="dxa"/>
            <w:vAlign w:val="center"/>
          </w:tcPr>
          <w:p w:rsidR="007C0EBB" w:rsidRPr="00A05698" w:rsidRDefault="007C0EBB" w:rsidP="004F4212">
            <w:pPr>
              <w:jc w:val="center"/>
              <w:rPr>
                <w:b/>
              </w:rPr>
            </w:pPr>
            <w:r w:rsidRPr="00A05698">
              <w:rPr>
                <w:b/>
              </w:rPr>
              <w:t>60 777</w:t>
            </w:r>
          </w:p>
        </w:tc>
        <w:tc>
          <w:tcPr>
            <w:tcW w:w="2477" w:type="dxa"/>
            <w:vAlign w:val="center"/>
          </w:tcPr>
          <w:p w:rsidR="007C0EBB" w:rsidRPr="00A05698" w:rsidRDefault="007C0EBB" w:rsidP="004F4212">
            <w:pPr>
              <w:jc w:val="center"/>
              <w:rPr>
                <w:b/>
              </w:rPr>
            </w:pPr>
            <w:r w:rsidRPr="00A05698">
              <w:rPr>
                <w:b/>
              </w:rPr>
              <w:t>19,4</w:t>
            </w:r>
          </w:p>
        </w:tc>
      </w:tr>
      <w:tr w:rsidR="007C0EBB" w:rsidRPr="00A05698" w:rsidTr="00242A77">
        <w:tc>
          <w:tcPr>
            <w:tcW w:w="3485" w:type="dxa"/>
            <w:vAlign w:val="center"/>
          </w:tcPr>
          <w:p w:rsidR="007C0EBB" w:rsidRPr="00A05698" w:rsidRDefault="007C0EBB" w:rsidP="004F4212">
            <w:pPr>
              <w:rPr>
                <w:b/>
              </w:rPr>
            </w:pPr>
            <w:r w:rsidRPr="00A05698">
              <w:rPr>
                <w:b/>
              </w:rPr>
              <w:t>7. Région de Bolama Bijagós</w:t>
            </w:r>
          </w:p>
        </w:tc>
        <w:tc>
          <w:tcPr>
            <w:tcW w:w="1787" w:type="dxa"/>
            <w:vAlign w:val="center"/>
          </w:tcPr>
          <w:p w:rsidR="007C0EBB" w:rsidRPr="00A05698" w:rsidRDefault="007C0EBB" w:rsidP="004F4212">
            <w:pPr>
              <w:jc w:val="center"/>
              <w:rPr>
                <w:b/>
              </w:rPr>
            </w:pPr>
            <w:r w:rsidRPr="00A05698">
              <w:rPr>
                <w:b/>
              </w:rPr>
              <w:t>2 624,4</w:t>
            </w:r>
          </w:p>
        </w:tc>
        <w:tc>
          <w:tcPr>
            <w:tcW w:w="2482" w:type="dxa"/>
            <w:vAlign w:val="center"/>
          </w:tcPr>
          <w:p w:rsidR="007C0EBB" w:rsidRPr="00A05698" w:rsidRDefault="007C0EBB" w:rsidP="004F4212">
            <w:pPr>
              <w:jc w:val="center"/>
              <w:rPr>
                <w:b/>
              </w:rPr>
            </w:pPr>
            <w:r w:rsidRPr="00A05698">
              <w:rPr>
                <w:b/>
              </w:rPr>
              <w:t>32 424</w:t>
            </w:r>
          </w:p>
        </w:tc>
        <w:tc>
          <w:tcPr>
            <w:tcW w:w="2477" w:type="dxa"/>
            <w:vAlign w:val="center"/>
          </w:tcPr>
          <w:p w:rsidR="007C0EBB" w:rsidRPr="00A05698" w:rsidRDefault="007C0EBB" w:rsidP="004F4212">
            <w:pPr>
              <w:jc w:val="center"/>
              <w:rPr>
                <w:b/>
              </w:rPr>
            </w:pPr>
            <w:r w:rsidRPr="00A05698">
              <w:rPr>
                <w:b/>
              </w:rPr>
              <w:t>12,4</w:t>
            </w:r>
          </w:p>
        </w:tc>
      </w:tr>
      <w:tr w:rsidR="007C0EBB" w:rsidRPr="00A05698" w:rsidTr="00242A77">
        <w:tc>
          <w:tcPr>
            <w:tcW w:w="3485" w:type="dxa"/>
            <w:vAlign w:val="center"/>
          </w:tcPr>
          <w:p w:rsidR="007C0EBB" w:rsidRPr="00A05698" w:rsidRDefault="007C0EBB" w:rsidP="004F4212">
            <w:pPr>
              <w:rPr>
                <w:b/>
              </w:rPr>
            </w:pPr>
            <w:r w:rsidRPr="00A05698">
              <w:rPr>
                <w:b/>
              </w:rPr>
              <w:t>8. Région de Biombo</w:t>
            </w:r>
          </w:p>
        </w:tc>
        <w:tc>
          <w:tcPr>
            <w:tcW w:w="1787" w:type="dxa"/>
            <w:vAlign w:val="center"/>
          </w:tcPr>
          <w:p w:rsidR="007C0EBB" w:rsidRPr="00A05698" w:rsidRDefault="007C0EBB" w:rsidP="004F4212">
            <w:pPr>
              <w:jc w:val="center"/>
              <w:rPr>
                <w:b/>
              </w:rPr>
            </w:pPr>
            <w:r w:rsidRPr="00A05698">
              <w:rPr>
                <w:b/>
              </w:rPr>
              <w:t>838,8</w:t>
            </w:r>
          </w:p>
        </w:tc>
        <w:tc>
          <w:tcPr>
            <w:tcW w:w="2482" w:type="dxa"/>
            <w:vAlign w:val="center"/>
          </w:tcPr>
          <w:p w:rsidR="007C0EBB" w:rsidRPr="00A05698" w:rsidRDefault="007C0EBB" w:rsidP="004F4212">
            <w:pPr>
              <w:jc w:val="center"/>
              <w:rPr>
                <w:b/>
              </w:rPr>
            </w:pPr>
            <w:r w:rsidRPr="00A05698">
              <w:rPr>
                <w:b/>
              </w:rPr>
              <w:t>93 039</w:t>
            </w:r>
          </w:p>
        </w:tc>
        <w:tc>
          <w:tcPr>
            <w:tcW w:w="2477" w:type="dxa"/>
            <w:vAlign w:val="center"/>
          </w:tcPr>
          <w:p w:rsidR="007C0EBB" w:rsidRPr="00A05698" w:rsidRDefault="007C0EBB" w:rsidP="004F4212">
            <w:pPr>
              <w:jc w:val="center"/>
              <w:rPr>
                <w:b/>
              </w:rPr>
            </w:pPr>
            <w:r w:rsidRPr="00A05698">
              <w:rPr>
                <w:b/>
              </w:rPr>
              <w:t>110,9</w:t>
            </w:r>
          </w:p>
        </w:tc>
      </w:tr>
      <w:tr w:rsidR="007C0EBB" w:rsidRPr="00A05698" w:rsidTr="00242A77">
        <w:tc>
          <w:tcPr>
            <w:tcW w:w="3485" w:type="dxa"/>
            <w:vAlign w:val="center"/>
          </w:tcPr>
          <w:p w:rsidR="007C0EBB" w:rsidRPr="00A05698" w:rsidRDefault="007C0EBB" w:rsidP="004F4212">
            <w:pPr>
              <w:rPr>
                <w:b/>
              </w:rPr>
            </w:pPr>
            <w:r w:rsidRPr="00A05698">
              <w:rPr>
                <w:b/>
              </w:rPr>
              <w:t>9. Secteur Autonome de Bissau</w:t>
            </w:r>
          </w:p>
        </w:tc>
        <w:tc>
          <w:tcPr>
            <w:tcW w:w="1787" w:type="dxa"/>
            <w:vAlign w:val="center"/>
          </w:tcPr>
          <w:p w:rsidR="007C0EBB" w:rsidRPr="00A05698" w:rsidRDefault="007C0EBB" w:rsidP="004F4212">
            <w:pPr>
              <w:jc w:val="center"/>
              <w:rPr>
                <w:b/>
              </w:rPr>
            </w:pPr>
            <w:r w:rsidRPr="00A05698">
              <w:rPr>
                <w:b/>
              </w:rPr>
              <w:t>77,5</w:t>
            </w:r>
          </w:p>
        </w:tc>
        <w:tc>
          <w:tcPr>
            <w:tcW w:w="2482" w:type="dxa"/>
            <w:vAlign w:val="center"/>
          </w:tcPr>
          <w:p w:rsidR="007C0EBB" w:rsidRPr="00A05698" w:rsidRDefault="007C0EBB" w:rsidP="004F4212">
            <w:pPr>
              <w:jc w:val="center"/>
              <w:rPr>
                <w:b/>
              </w:rPr>
            </w:pPr>
            <w:r w:rsidRPr="00A05698">
              <w:rPr>
                <w:b/>
              </w:rPr>
              <w:t>365 097</w:t>
            </w:r>
          </w:p>
        </w:tc>
        <w:tc>
          <w:tcPr>
            <w:tcW w:w="2477" w:type="dxa"/>
            <w:vAlign w:val="center"/>
          </w:tcPr>
          <w:p w:rsidR="007C0EBB" w:rsidRPr="00A05698" w:rsidRDefault="007C0EBB" w:rsidP="004F4212">
            <w:pPr>
              <w:jc w:val="center"/>
              <w:rPr>
                <w:b/>
              </w:rPr>
            </w:pPr>
            <w:r w:rsidRPr="00A05698">
              <w:rPr>
                <w:b/>
              </w:rPr>
              <w:t>4 710,9</w:t>
            </w:r>
          </w:p>
        </w:tc>
      </w:tr>
    </w:tbl>
    <w:p w:rsidR="007C0EBB" w:rsidRPr="00A05698" w:rsidRDefault="007C0EBB" w:rsidP="004F4212">
      <w:pPr>
        <w:jc w:val="both"/>
      </w:pPr>
    </w:p>
    <w:p w:rsidR="00DD401A" w:rsidRPr="00A05698" w:rsidRDefault="00DD401A" w:rsidP="00DD401A">
      <w:pPr>
        <w:spacing w:before="120" w:after="120"/>
        <w:ind w:left="-284" w:right="-851"/>
        <w:jc w:val="both"/>
      </w:pPr>
      <w:r w:rsidRPr="00A05698">
        <w:t>Ainsi, au 30 avril 2021, la population de Guinée-Bissau sera de 2.064.265 habitants. Elle été 2.019.829 habitants au 30 avril 2020. Le taux de croissance annuel étant de 2,2%.</w:t>
      </w:r>
    </w:p>
    <w:p w:rsidR="007C0EBB" w:rsidRPr="00A05698" w:rsidRDefault="004E5433"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196" w:name="_Toc532558499"/>
      <w:bookmarkStart w:id="197" w:name="_Toc535396936"/>
      <w:bookmarkStart w:id="198" w:name="_Toc6310476"/>
      <w:bookmarkStart w:id="199" w:name="_Toc51084444"/>
      <w:r w:rsidRPr="00A05698">
        <w:rPr>
          <w:rFonts w:ascii="Times New Roman" w:hAnsi="Times New Roman"/>
          <w:b/>
          <w:sz w:val="24"/>
          <w:szCs w:val="24"/>
        </w:rPr>
        <w:t>4</w:t>
      </w:r>
      <w:r w:rsidR="007C0EBB" w:rsidRPr="00A05698">
        <w:rPr>
          <w:rFonts w:ascii="Times New Roman" w:hAnsi="Times New Roman"/>
          <w:b/>
          <w:sz w:val="24"/>
          <w:szCs w:val="24"/>
        </w:rPr>
        <w:t>.4.2.  Ethnies</w:t>
      </w:r>
      <w:bookmarkEnd w:id="196"/>
      <w:bookmarkEnd w:id="197"/>
      <w:bookmarkEnd w:id="198"/>
      <w:bookmarkEnd w:id="199"/>
    </w:p>
    <w:p w:rsidR="007C0EBB" w:rsidRPr="00A05698" w:rsidRDefault="007C0EBB" w:rsidP="00023148">
      <w:pPr>
        <w:ind w:left="-284" w:right="-851"/>
        <w:jc w:val="both"/>
      </w:pPr>
      <w:r w:rsidRPr="00A05698">
        <w:t>Les différentes </w:t>
      </w:r>
      <w:hyperlink r:id="rId38" w:history="1">
        <w:r w:rsidRPr="00A05698">
          <w:t>communautés ethniques</w:t>
        </w:r>
      </w:hyperlink>
      <w:r w:rsidRPr="00A05698">
        <w:t> de Guinée-Bissau sont en de nombreux endroits - et notamment à </w:t>
      </w:r>
      <w:hyperlink r:id="rId39" w:history="1">
        <w:r w:rsidRPr="00A05698">
          <w:t>Bissau</w:t>
        </w:r>
      </w:hyperlink>
      <w:r w:rsidRPr="00A05698">
        <w:t>, totalement mélangées même si à l</w:t>
      </w:r>
      <w:r w:rsidR="00A05714" w:rsidRPr="00A05698">
        <w:t>’</w:t>
      </w:r>
      <w:r w:rsidRPr="00A05698">
        <w:t>intérieur même d</w:t>
      </w:r>
      <w:r w:rsidR="00A05714" w:rsidRPr="00A05698">
        <w:t>’</w:t>
      </w:r>
      <w:r w:rsidRPr="00A05698">
        <w:t>un village, les quartiers peuvent être divisés en quartiers ethniques. Les migrations à l</w:t>
      </w:r>
      <w:r w:rsidR="00A05714" w:rsidRPr="00A05698">
        <w:t>’</w:t>
      </w:r>
      <w:r w:rsidRPr="00A05698">
        <w:t>intérieur du territoire sont cependant importantes : migrations vers les villes (exode rural), migrations hors de zones de conflit (guerre en Casamance, </w:t>
      </w:r>
      <w:hyperlink r:id="rId40" w:history="1">
        <w:r w:rsidRPr="00A05698">
          <w:t>évènements de la fin des années 90</w:t>
        </w:r>
      </w:hyperlink>
      <w:r w:rsidRPr="00A05698">
        <w:t>), etc.</w:t>
      </w:r>
    </w:p>
    <w:p w:rsidR="007C0EBB" w:rsidRPr="00A05698" w:rsidRDefault="007C0EBB" w:rsidP="00023148">
      <w:pPr>
        <w:spacing w:before="120" w:after="120"/>
        <w:ind w:left="-284" w:right="-851"/>
        <w:jc w:val="both"/>
      </w:pPr>
      <w:r w:rsidRPr="00A05698">
        <w:t>Cette carte (fig.10) n</w:t>
      </w:r>
      <w:r w:rsidR="00A05714" w:rsidRPr="00A05698">
        <w:t>’</w:t>
      </w:r>
      <w:r w:rsidRPr="00A05698">
        <w:t>est donc qu</w:t>
      </w:r>
      <w:r w:rsidR="00A05714" w:rsidRPr="00A05698">
        <w:t>’</w:t>
      </w:r>
      <w:r w:rsidRPr="00A05698">
        <w:t>une représentation graphique de la répartition des grands groupes ethniques à travers le territoire bissau-guinéen. Elle ne prend pas en compte les nombreuses zones dans lesquelles certaines communautés sont minoritaires mais très présentes. Il n</w:t>
      </w:r>
      <w:r w:rsidR="00A05714" w:rsidRPr="00A05698">
        <w:t>’</w:t>
      </w:r>
      <w:r w:rsidRPr="00A05698">
        <w:t>est également pas rare qu</w:t>
      </w:r>
      <w:r w:rsidR="00A05714" w:rsidRPr="00A05698">
        <w:t>’</w:t>
      </w:r>
      <w:r w:rsidRPr="00A05698">
        <w:t>à l</w:t>
      </w:r>
      <w:r w:rsidR="00A05714" w:rsidRPr="00A05698">
        <w:t>’</w:t>
      </w:r>
      <w:r w:rsidRPr="00A05698">
        <w:t>intérieur d</w:t>
      </w:r>
      <w:r w:rsidR="00A05714" w:rsidRPr="00A05698">
        <w:t>’</w:t>
      </w:r>
      <w:r w:rsidRPr="00A05698">
        <w:t>une zone majoritairement occupée par des </w:t>
      </w:r>
      <w:hyperlink r:id="rId41" w:history="1">
        <w:r w:rsidRPr="00A05698">
          <w:t>Balantes</w:t>
        </w:r>
      </w:hyperlink>
      <w:r w:rsidRPr="00A05698">
        <w:t> - par exemple - un village 100% </w:t>
      </w:r>
      <w:hyperlink r:id="rId42" w:history="1">
        <w:r w:rsidRPr="00A05698">
          <w:t>manjak</w:t>
        </w:r>
      </w:hyperlink>
      <w:r w:rsidRPr="00A05698">
        <w:t> ait été créé.</w:t>
      </w:r>
    </w:p>
    <w:p w:rsidR="007C0EBB" w:rsidRPr="00A05698" w:rsidRDefault="007C0EBB" w:rsidP="00023148">
      <w:pPr>
        <w:spacing w:before="120" w:after="120"/>
        <w:ind w:left="-284" w:right="-851"/>
        <w:jc w:val="both"/>
      </w:pPr>
      <w:r w:rsidRPr="00A05698">
        <w:t>Répartition approximative des </w:t>
      </w:r>
      <w:hyperlink r:id="rId43" w:history="1">
        <w:r w:rsidRPr="00A05698">
          <w:t>groupes ethniques</w:t>
        </w:r>
      </w:hyperlink>
      <w:r w:rsidRPr="00A05698">
        <w:t> : </w:t>
      </w:r>
      <w:hyperlink r:id="rId44" w:history="1">
        <w:r w:rsidRPr="00A05698">
          <w:t>Balantes</w:t>
        </w:r>
      </w:hyperlink>
      <w:r w:rsidRPr="00A05698">
        <w:t> 30%, </w:t>
      </w:r>
      <w:hyperlink r:id="rId45" w:history="1">
        <w:r w:rsidRPr="00A05698">
          <w:t>Peulhs</w:t>
        </w:r>
      </w:hyperlink>
      <w:r w:rsidRPr="00A05698">
        <w:t> 20%, Mandingues 14%, </w:t>
      </w:r>
      <w:hyperlink r:id="rId46" w:history="1">
        <w:r w:rsidRPr="00A05698">
          <w:t>Manjaks</w:t>
        </w:r>
      </w:hyperlink>
      <w:r w:rsidRPr="00A05698">
        <w:t> 13%, </w:t>
      </w:r>
      <w:hyperlink r:id="rId47" w:history="1">
        <w:r w:rsidRPr="00A05698">
          <w:t>Papels</w:t>
        </w:r>
      </w:hyperlink>
      <w:r w:rsidRPr="00A05698">
        <w:t> 7%, Beafadas 3%, </w:t>
      </w:r>
      <w:hyperlink r:id="rId48" w:history="1">
        <w:r w:rsidRPr="00A05698">
          <w:t>Mankagnes</w:t>
        </w:r>
      </w:hyperlink>
      <w:r w:rsidRPr="00A05698">
        <w:t> 3%, </w:t>
      </w:r>
      <w:hyperlink r:id="rId49" w:history="1">
        <w:r w:rsidRPr="00A05698">
          <w:t>Bijagos</w:t>
        </w:r>
      </w:hyperlink>
      <w:r w:rsidRPr="00A05698">
        <w:t> 2,5%</w:t>
      </w:r>
    </w:p>
    <w:p w:rsidR="007C0EBB" w:rsidRPr="00A05698" w:rsidRDefault="007C0EBB" w:rsidP="004F4212">
      <w:pPr>
        <w:autoSpaceDE w:val="0"/>
        <w:autoSpaceDN w:val="0"/>
        <w:adjustRightInd w:val="0"/>
        <w:ind w:left="-284"/>
        <w:jc w:val="both"/>
        <w:rPr>
          <w:color w:val="000000"/>
        </w:rPr>
      </w:pPr>
    </w:p>
    <w:p w:rsidR="007C0EBB" w:rsidRPr="00A05698" w:rsidRDefault="007C0EBB" w:rsidP="004F4212">
      <w:pPr>
        <w:pStyle w:val="NormalWeb"/>
        <w:shd w:val="clear" w:color="auto" w:fill="48796A"/>
        <w:jc w:val="center"/>
        <w:rPr>
          <w:color w:val="FFFFCC"/>
          <w:sz w:val="18"/>
          <w:szCs w:val="18"/>
        </w:rPr>
      </w:pPr>
      <w:r w:rsidRPr="00A05698">
        <w:rPr>
          <w:noProof/>
          <w:color w:val="FFFFCC"/>
          <w:sz w:val="18"/>
          <w:szCs w:val="18"/>
          <w:lang w:val="pt-PT" w:eastAsia="pt-PT"/>
        </w:rPr>
        <w:drawing>
          <wp:inline distT="0" distB="0" distL="0" distR="0" wp14:anchorId="286EB7AF" wp14:editId="3A898306">
            <wp:extent cx="6315354" cy="4267200"/>
            <wp:effectExtent l="0" t="0" r="9525" b="0"/>
            <wp:docPr id="44" name="Image 44" descr="Répartition géographiques des ethnies de Guinée-Bis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partition géographiques des ethnies de Guinée-Bissau"/>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370843" cy="4304693"/>
                    </a:xfrm>
                    <a:prstGeom prst="rect">
                      <a:avLst/>
                    </a:prstGeom>
                    <a:noFill/>
                    <a:ln>
                      <a:noFill/>
                    </a:ln>
                  </pic:spPr>
                </pic:pic>
              </a:graphicData>
            </a:graphic>
          </wp:inline>
        </w:drawing>
      </w:r>
    </w:p>
    <w:p w:rsidR="007C0EBB" w:rsidRPr="00A05698" w:rsidRDefault="007C0EBB" w:rsidP="004F42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
    <w:p w:rsidR="007C0EBB" w:rsidRPr="00A05698" w:rsidRDefault="007C0EBB" w:rsidP="004F4212">
      <w:pPr>
        <w:pStyle w:val="Primeiroavanodecorpodetexto2"/>
        <w:spacing w:line="240" w:lineRule="auto"/>
        <w:rPr>
          <w:rFonts w:ascii="Times New Roman" w:hAnsi="Times New Roman"/>
          <w:b/>
          <w:color w:val="000000"/>
        </w:rPr>
      </w:pPr>
      <w:bookmarkStart w:id="200" w:name="_Toc4770179"/>
      <w:bookmarkStart w:id="201" w:name="_Toc34921338"/>
      <w:bookmarkStart w:id="202" w:name="_Toc73522789"/>
      <w:r w:rsidRPr="00A05698">
        <w:rPr>
          <w:rFonts w:ascii="Times New Roman" w:hAnsi="Times New Roman"/>
          <w:b/>
        </w:rPr>
        <w:t xml:space="preserve">Figure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Figure \* ARABIC </w:instrText>
      </w:r>
      <w:r w:rsidRPr="00A05698">
        <w:rPr>
          <w:rFonts w:ascii="Times New Roman" w:hAnsi="Times New Roman"/>
          <w:b/>
        </w:rPr>
        <w:fldChar w:fldCharType="separate"/>
      </w:r>
      <w:r w:rsidR="00BE0248">
        <w:rPr>
          <w:rFonts w:ascii="Times New Roman" w:hAnsi="Times New Roman"/>
          <w:b/>
          <w:noProof/>
        </w:rPr>
        <w:t>7</w:t>
      </w:r>
      <w:r w:rsidRPr="00A05698">
        <w:rPr>
          <w:rFonts w:ascii="Times New Roman" w:hAnsi="Times New Roman"/>
          <w:b/>
        </w:rPr>
        <w:fldChar w:fldCharType="end"/>
      </w:r>
      <w:r w:rsidRPr="00A05698">
        <w:rPr>
          <w:rFonts w:ascii="Times New Roman" w:hAnsi="Times New Roman"/>
          <w:b/>
        </w:rPr>
        <w:t> : représentation graphique de la répartition des grands groupes ethniques</w:t>
      </w:r>
      <w:bookmarkEnd w:id="200"/>
      <w:bookmarkEnd w:id="201"/>
      <w:bookmarkEnd w:id="202"/>
    </w:p>
    <w:p w:rsidR="007C0EBB" w:rsidRPr="00A05698" w:rsidRDefault="007C0EBB" w:rsidP="00E6467D">
      <w:pPr>
        <w:ind w:left="-284" w:right="-851"/>
        <w:jc w:val="both"/>
      </w:pPr>
      <w:r w:rsidRPr="00A05698">
        <w:t>La langue officielle est le portugais, mais le créole est une des langues interethniques la plus parlée, notamment à Bissau. Toutefois, les ethnies principales conservent leurs langues d</w:t>
      </w:r>
      <w:r w:rsidR="00A05714" w:rsidRPr="00A05698">
        <w:t>’</w:t>
      </w:r>
      <w:r w:rsidRPr="00A05698">
        <w:t xml:space="preserve">origine. </w:t>
      </w:r>
    </w:p>
    <w:p w:rsidR="007C0EBB" w:rsidRPr="00A05698" w:rsidRDefault="004E5433"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203" w:name="_Toc535396937"/>
      <w:bookmarkStart w:id="204" w:name="_Toc6310477"/>
      <w:bookmarkStart w:id="205" w:name="_Toc51084445"/>
      <w:r w:rsidRPr="00A05698">
        <w:rPr>
          <w:rFonts w:ascii="Times New Roman" w:hAnsi="Times New Roman"/>
          <w:b/>
          <w:sz w:val="24"/>
          <w:szCs w:val="24"/>
        </w:rPr>
        <w:t>4</w:t>
      </w:r>
      <w:r w:rsidR="007C0EBB" w:rsidRPr="00A05698">
        <w:rPr>
          <w:rFonts w:ascii="Times New Roman" w:hAnsi="Times New Roman"/>
          <w:b/>
          <w:sz w:val="24"/>
          <w:szCs w:val="24"/>
        </w:rPr>
        <w:t>.4.3.  Religions</w:t>
      </w:r>
      <w:bookmarkEnd w:id="203"/>
      <w:bookmarkEnd w:id="204"/>
      <w:bookmarkEnd w:id="205"/>
    </w:p>
    <w:p w:rsidR="007C0EBB" w:rsidRPr="00A05698" w:rsidRDefault="007C0EBB" w:rsidP="00E6467D">
      <w:pPr>
        <w:ind w:left="-284" w:right="-851"/>
        <w:jc w:val="both"/>
      </w:pPr>
      <w:r w:rsidRPr="00A05698">
        <w:t>Au niveau de la religion, on distingue trois (03) principales religions qui sont : 19,7 % chrétiens,</w:t>
      </w:r>
      <w:r w:rsidR="00391EA0">
        <w:t xml:space="preserve"> </w:t>
      </w:r>
      <w:r w:rsidRPr="00A05698">
        <w:t>30,1% musulmans, 30,9% religions traditionnelles.</w:t>
      </w:r>
    </w:p>
    <w:p w:rsidR="007C0EBB" w:rsidRPr="00A05698" w:rsidRDefault="004E5433"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206" w:name="_Toc535396940"/>
      <w:bookmarkStart w:id="207" w:name="_Toc6310480"/>
      <w:bookmarkStart w:id="208" w:name="_Toc51084446"/>
      <w:r w:rsidRPr="00A05698">
        <w:rPr>
          <w:rFonts w:ascii="Times New Roman" w:hAnsi="Times New Roman"/>
          <w:b/>
          <w:sz w:val="24"/>
          <w:szCs w:val="24"/>
        </w:rPr>
        <w:t>4</w:t>
      </w:r>
      <w:r w:rsidR="007C0EBB" w:rsidRPr="00A05698">
        <w:rPr>
          <w:rFonts w:ascii="Times New Roman" w:hAnsi="Times New Roman"/>
          <w:b/>
          <w:sz w:val="24"/>
          <w:szCs w:val="24"/>
        </w:rPr>
        <w:t>.4.4. Ressources agricoles</w:t>
      </w:r>
      <w:bookmarkEnd w:id="206"/>
      <w:bookmarkEnd w:id="207"/>
      <w:bookmarkEnd w:id="208"/>
    </w:p>
    <w:p w:rsidR="007C0EBB" w:rsidRPr="00A05698" w:rsidRDefault="007C0EBB" w:rsidP="00E6467D">
      <w:pPr>
        <w:ind w:left="-284" w:right="-851"/>
        <w:jc w:val="both"/>
      </w:pPr>
      <w:r w:rsidRPr="00A05698">
        <w:t>L</w:t>
      </w:r>
      <w:r w:rsidR="00A05714" w:rsidRPr="00A05698">
        <w:t>’</w:t>
      </w:r>
      <w:r w:rsidRPr="00A05698">
        <w:t>agriculture est considérée comme la base de l</w:t>
      </w:r>
      <w:r w:rsidR="00A05714" w:rsidRPr="00A05698">
        <w:t>’</w:t>
      </w:r>
      <w:r w:rsidRPr="00A05698">
        <w:t xml:space="preserve">économie de la Guinée-Bissau </w:t>
      </w:r>
      <w:r w:rsidR="0060580B" w:rsidRPr="00A05698">
        <w:t xml:space="preserve">du fait de </w:t>
      </w:r>
      <w:r w:rsidRPr="00A05698">
        <w:t xml:space="preserve">son poids </w:t>
      </w:r>
      <w:r w:rsidR="0060580B" w:rsidRPr="00A05698">
        <w:t>sur</w:t>
      </w:r>
      <w:r w:rsidRPr="00A05698">
        <w:t xml:space="preserve"> l</w:t>
      </w:r>
      <w:r w:rsidR="00A05714" w:rsidRPr="00A05698">
        <w:t>’</w:t>
      </w:r>
      <w:r w:rsidRPr="00A05698">
        <w:t>économie nationale et dans la consommation de la population (Plan d</w:t>
      </w:r>
      <w:r w:rsidR="00A05714" w:rsidRPr="00A05698">
        <w:t>’</w:t>
      </w:r>
      <w:r w:rsidRPr="00A05698">
        <w:t>action de la Charte de la politique de développement agricole, décembre 1997). Il contribue pour 50% au produit intérieur brut (PIB), emploie le plus environ 80% de la population active et, en 1999, fournissait environ 95,2% des recettes d</w:t>
      </w:r>
      <w:r w:rsidR="00A05714" w:rsidRPr="00A05698">
        <w:t>’</w:t>
      </w:r>
      <w:r w:rsidRPr="00A05698">
        <w:t>exportation totales du pays. La zone en faveur des activités agricoles couvre une superficie de 1 100 000 hectares, soit un tiers de la superficie totale du pays.</w:t>
      </w:r>
    </w:p>
    <w:p w:rsidR="00E6467D" w:rsidRPr="00A05698" w:rsidRDefault="00E6467D" w:rsidP="00E6467D">
      <w:pPr>
        <w:ind w:left="-284" w:right="-851"/>
        <w:jc w:val="both"/>
      </w:pPr>
    </w:p>
    <w:p w:rsidR="007C0EBB" w:rsidRPr="00A05698" w:rsidRDefault="007C0EBB" w:rsidP="00E6467D">
      <w:pPr>
        <w:ind w:left="-284" w:right="-851"/>
        <w:jc w:val="both"/>
      </w:pPr>
      <w:r w:rsidRPr="00A05698">
        <w:t>La superficie utilisée n</w:t>
      </w:r>
      <w:r w:rsidR="00A05714" w:rsidRPr="00A05698">
        <w:t>’</w:t>
      </w:r>
      <w:r w:rsidRPr="00A05698">
        <w:t>est que de 400 000 hectares, dont 220 000 sont consacrés aux cultures de riz, d</w:t>
      </w:r>
      <w:r w:rsidR="00A05714" w:rsidRPr="00A05698">
        <w:t>’</w:t>
      </w:r>
      <w:r w:rsidRPr="00A05698">
        <w:t>arachides, de manioc, de maïs, de sorgho, de pomme de terre et patates douces, entre autres. Sur les 180 000 hectares restants, davantage de cultures commerciales telles que la noix de cajou, les noix de palme, les fruits tropicaux et autres (Plan d’action pour les PMA, page 8, 2000) sont réalisées.</w:t>
      </w:r>
    </w:p>
    <w:p w:rsidR="00E33F83" w:rsidRPr="00A05698" w:rsidRDefault="00E33F83" w:rsidP="00E6467D">
      <w:pPr>
        <w:ind w:left="-284" w:right="-851"/>
        <w:jc w:val="both"/>
      </w:pPr>
    </w:p>
    <w:p w:rsidR="00E33F83" w:rsidRPr="00A05698" w:rsidRDefault="007C0EBB" w:rsidP="00711376">
      <w:pPr>
        <w:ind w:left="-284" w:right="-851"/>
        <w:jc w:val="both"/>
      </w:pPr>
      <w:r w:rsidRPr="00A05698">
        <w:t>Bien que défini comme le secteur prioritaire dans la stratégie de développement du pays, la réalité est que les ressources attribuées à ce secteur ont été insuffisantes pour le développement attendu. Les données du Plan d</w:t>
      </w:r>
      <w:r w:rsidR="00A05714" w:rsidRPr="00A05698">
        <w:t>’</w:t>
      </w:r>
      <w:r w:rsidRPr="00A05698">
        <w:t>action pour les PMA indiquent que, pendant la période 1997-1999, les ressources financières allouées à ce secteur n</w:t>
      </w:r>
      <w:r w:rsidR="00A05714" w:rsidRPr="00A05698">
        <w:t>’</w:t>
      </w:r>
      <w:r w:rsidRPr="00A05698">
        <w:t>ont pas dépassé en moyenne 0,86% du produit intérieur brut (PIB). Malgré son importance pour garantir la subsistance d</w:t>
      </w:r>
      <w:r w:rsidR="00A05714" w:rsidRPr="00A05698">
        <w:t>’</w:t>
      </w:r>
      <w:r w:rsidRPr="00A05698">
        <w:t>une grande majorité de la population, le secteur agricole a connu un développement bien en deçà des attentes, les agriculteurs ayant un faible niveau de formation face aux technologies modernes, l</w:t>
      </w:r>
      <w:r w:rsidR="00A05714" w:rsidRPr="00A05698">
        <w:t>’</w:t>
      </w:r>
      <w:r w:rsidRPr="00A05698">
        <w:t>accès à un crédit limité, travaillant souvent la terre pour le compte de tiers, principalement dans les entreprises exportatrices et à faible productivité agraire dans les propriétés individuelles.</w:t>
      </w:r>
    </w:p>
    <w:p w:rsidR="007C0EBB" w:rsidRPr="00A05698" w:rsidRDefault="007C0EBB" w:rsidP="00E6467D">
      <w:pPr>
        <w:ind w:left="-284" w:right="-851"/>
        <w:jc w:val="both"/>
      </w:pPr>
      <w:r w:rsidRPr="00A05698">
        <w:t>Cependant, le secteur a enregistré une certaine croissance, à la fois en volume et en valeur, grâce aux investissements privés. Par exemple, la production à prix constants (1986) de 1990 à 1999, stimulée par l’amélioration relative des prix à la production, est passée de 42,9 milliards de francs en 1990 à 54,2 milliards de francs en 1999, soit plus de 26%.</w:t>
      </w:r>
    </w:p>
    <w:p w:rsidR="007C0EBB" w:rsidRPr="00A05698" w:rsidRDefault="007C0EBB" w:rsidP="00E6467D">
      <w:pPr>
        <w:ind w:left="-284" w:right="-851"/>
        <w:jc w:val="both"/>
      </w:pPr>
      <w:r w:rsidRPr="00A05698">
        <w:t>La production céréalière a également augmenté entre 1994 et 1997, à l</w:t>
      </w:r>
      <w:r w:rsidR="00A05714" w:rsidRPr="00A05698">
        <w:t>’</w:t>
      </w:r>
      <w:r w:rsidRPr="00A05698">
        <w:t>exception de 1996, où la production a enregistré un taux négatif de -1,6%. En 1998, à la suite d</w:t>
      </w:r>
      <w:r w:rsidR="00A05714" w:rsidRPr="00A05698">
        <w:t>’</w:t>
      </w:r>
      <w:r w:rsidRPr="00A05698">
        <w:t>un conflit politique militaire, la production de céréales a diminué de 6%. Cette tendance s’est inversée en 1999, même si elle reste insuffisante pour couvrir les besoins alimentaires de la population.</w:t>
      </w:r>
    </w:p>
    <w:p w:rsidR="00E33F83" w:rsidRDefault="007C0EBB" w:rsidP="004E5433">
      <w:pPr>
        <w:ind w:left="-284" w:right="-851"/>
        <w:jc w:val="both"/>
      </w:pPr>
      <w:r w:rsidRPr="00A05698">
        <w:t>La production de tubercules, de patates douces, de légumes et de fruits a augmenté entre 1994 et 1997, respectivement de 80%, 91% et 156%.</w:t>
      </w:r>
    </w:p>
    <w:p w:rsidR="00A74F4A" w:rsidRDefault="00A74F4A" w:rsidP="004E5433">
      <w:pPr>
        <w:ind w:left="-284" w:right="-851"/>
        <w:jc w:val="both"/>
      </w:pPr>
    </w:p>
    <w:p w:rsidR="00A74F4A" w:rsidRPr="00A05698" w:rsidRDefault="00A74F4A" w:rsidP="000756FA">
      <w:pPr>
        <w:ind w:left="-284" w:right="-851"/>
        <w:jc w:val="both"/>
      </w:pPr>
      <w:r>
        <w:t>Ainsi, les femmes sont beaucoup plus impliquées au niveau national dans le secteur de la production du riz mais aussi dans les secteurs de transformation des produit</w:t>
      </w:r>
      <w:r w:rsidR="00391EA0">
        <w:t>s</w:t>
      </w:r>
      <w:r>
        <w:t xml:space="preserve"> agricoles. Avec la création des nouvelles associations comme ANAE et d’autre soutenus par les organisations humanitaires et les bailleurs permet une croissance rapidement des activités agricoles et maraichers dans leur zone. Des études sont </w:t>
      </w:r>
      <w:r w:rsidR="00B412D3">
        <w:t>entrainées</w:t>
      </w:r>
      <w:r>
        <w:t xml:space="preserve"> d’être </w:t>
      </w:r>
      <w:r w:rsidR="00391EA0">
        <w:t>menées pour recenser l’ensemble</w:t>
      </w:r>
      <w:r>
        <w:t xml:space="preserve"> des associations des femmes qui intervient dans le secteur de la production agricole mais aussi de la transformation. </w:t>
      </w:r>
    </w:p>
    <w:p w:rsidR="00E33F83" w:rsidRPr="00A05698" w:rsidRDefault="00B9175D" w:rsidP="004B61F9">
      <w:pPr>
        <w:pStyle w:val="PargrafodaLista"/>
        <w:keepNext/>
        <w:spacing w:before="240" w:after="240" w:line="240" w:lineRule="auto"/>
        <w:ind w:left="1866" w:right="284" w:firstLine="258"/>
        <w:jc w:val="both"/>
        <w:outlineLvl w:val="2"/>
        <w:rPr>
          <w:rFonts w:ascii="Times New Roman" w:hAnsi="Times New Roman"/>
          <w:b/>
          <w:sz w:val="24"/>
          <w:szCs w:val="24"/>
        </w:rPr>
      </w:pPr>
      <w:r w:rsidRPr="00A05698">
        <w:rPr>
          <w:rFonts w:ascii="Times New Roman" w:hAnsi="Times New Roman"/>
          <w:b/>
          <w:sz w:val="24"/>
          <w:szCs w:val="24"/>
        </w:rPr>
        <w:t>4.</w:t>
      </w:r>
      <w:r w:rsidR="004E5433" w:rsidRPr="00A05698">
        <w:rPr>
          <w:rFonts w:ascii="Times New Roman" w:hAnsi="Times New Roman"/>
          <w:b/>
          <w:sz w:val="24"/>
          <w:szCs w:val="24"/>
        </w:rPr>
        <w:t xml:space="preserve">4.4.1 </w:t>
      </w:r>
      <w:r w:rsidRPr="00A05698">
        <w:rPr>
          <w:rFonts w:ascii="Times New Roman" w:hAnsi="Times New Roman"/>
          <w:b/>
          <w:sz w:val="24"/>
          <w:szCs w:val="24"/>
        </w:rPr>
        <w:t>Evaluation de la production céréalière</w:t>
      </w:r>
      <w:r w:rsidR="00711376" w:rsidRPr="00A05698">
        <w:rPr>
          <w:rFonts w:ascii="Times New Roman" w:hAnsi="Times New Roman"/>
          <w:b/>
          <w:sz w:val="24"/>
          <w:szCs w:val="24"/>
        </w:rPr>
        <w:t xml:space="preserve"> en 2020 et 2021</w:t>
      </w:r>
    </w:p>
    <w:p w:rsidR="009B5A8F" w:rsidRPr="00A05698" w:rsidRDefault="009B5A8F" w:rsidP="004B61F9">
      <w:pPr>
        <w:ind w:left="-284" w:right="-851"/>
        <w:jc w:val="both"/>
      </w:pPr>
      <w:r w:rsidRPr="00A05698">
        <w:t xml:space="preserve">La production prévisionnelle brute céréalière totale (riz, maïs, sorgho, mil, fonio) pour la campagne 2020/2021 est estimée à 257.504 tonnes. </w:t>
      </w:r>
      <w:r w:rsidR="005F14C1">
        <w:t>Ainsi, grâce à l’augmentation des superficies</w:t>
      </w:r>
      <w:r w:rsidR="00976E2D">
        <w:t>, e</w:t>
      </w:r>
      <w:r w:rsidRPr="00A05698">
        <w:t xml:space="preserve">lle accuse une hausse de 7,0% par rapport à la production céréalière totale définitive de la campagne agricole précédente qui était de 239.576 tonnes et une hausse de 15,0% par rapport à la moyenne des 5 dernières années (221.666 tonnes). La production prévisionnelle totale de céréales sèches est estimée à 59.362 tonnes contre 52.576 tonnes de la campagne agricole 2019/2020. Elle accuse une hausse de 11,4% et de 27,8% par rapport à celles de la moyenne des 5 dernières années (2015/2019).  Les données par cultures sont présentées dans le tableau </w:t>
      </w:r>
      <w:r w:rsidR="00C144CC" w:rsidRPr="00A05698">
        <w:t>1</w:t>
      </w:r>
      <w:r w:rsidRPr="00A05698">
        <w:t>3 ci-après :</w:t>
      </w:r>
    </w:p>
    <w:p w:rsidR="00C144CC" w:rsidRPr="00A05698" w:rsidRDefault="00C144CC" w:rsidP="004B61F9">
      <w:pPr>
        <w:ind w:left="-284" w:right="-851"/>
        <w:jc w:val="both"/>
      </w:pPr>
    </w:p>
    <w:p w:rsidR="00C144CC" w:rsidRPr="00A05698" w:rsidRDefault="00C144CC" w:rsidP="00C144CC">
      <w:pPr>
        <w:pStyle w:val="Primeiroavanodecorpodetexto2"/>
        <w:spacing w:after="0" w:line="240" w:lineRule="auto"/>
        <w:jc w:val="center"/>
        <w:rPr>
          <w:rFonts w:ascii="Times New Roman" w:hAnsi="Times New Roman"/>
          <w:b/>
        </w:rPr>
      </w:pPr>
      <w:bookmarkStart w:id="209" w:name="_Toc73522616"/>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D51AB3">
        <w:rPr>
          <w:rFonts w:ascii="Times New Roman" w:hAnsi="Times New Roman"/>
          <w:b/>
          <w:noProof/>
        </w:rPr>
        <w:t>10</w:t>
      </w:r>
      <w:r w:rsidRPr="00A05698">
        <w:rPr>
          <w:rFonts w:ascii="Times New Roman" w:hAnsi="Times New Roman"/>
          <w:b/>
        </w:rPr>
        <w:fldChar w:fldCharType="end"/>
      </w:r>
      <w:r w:rsidRPr="00A05698">
        <w:rPr>
          <w:rFonts w:ascii="Times New Roman" w:hAnsi="Times New Roman"/>
          <w:b/>
        </w:rPr>
        <w:t>: Evaluation de la production céréalière en 2020 et 2021</w:t>
      </w:r>
      <w:bookmarkEnd w:id="209"/>
    </w:p>
    <w:p w:rsidR="009B5A8F" w:rsidRPr="00A05698" w:rsidRDefault="009B5A8F" w:rsidP="009B5A8F">
      <w:pPr>
        <w:tabs>
          <w:tab w:val="left" w:pos="360"/>
        </w:tabs>
        <w:overflowPunct w:val="0"/>
        <w:autoSpaceDE w:val="0"/>
        <w:autoSpaceDN w:val="0"/>
        <w:adjustRightInd w:val="0"/>
        <w:jc w:val="center"/>
        <w:textAlignment w:val="baseline"/>
        <w:rPr>
          <w:bCs/>
          <w:iCs/>
          <w:color w:val="FF0000"/>
        </w:rPr>
      </w:pPr>
      <w:r w:rsidRPr="00A05698">
        <w:rPr>
          <w:noProof/>
          <w:lang w:val="pt-PT" w:eastAsia="pt-PT"/>
        </w:rPr>
        <w:drawing>
          <wp:inline distT="0" distB="0" distL="0" distR="0" wp14:anchorId="48745DD6" wp14:editId="3340C0B8">
            <wp:extent cx="5107305" cy="3737113"/>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a:extLst>
                        <a:ext uri="{28A0092B-C50C-407E-A947-70E740481C1C}">
                          <a14:useLocalDpi xmlns:a14="http://schemas.microsoft.com/office/drawing/2010/main" val="0"/>
                        </a:ext>
                      </a:extLst>
                    </a:blip>
                    <a:srcRect t="4000" b="32074"/>
                    <a:stretch/>
                  </pic:blipFill>
                  <pic:spPr bwMode="auto">
                    <a:xfrm>
                      <a:off x="0" y="0"/>
                      <a:ext cx="5121057" cy="3747176"/>
                    </a:xfrm>
                    <a:prstGeom prst="rect">
                      <a:avLst/>
                    </a:prstGeom>
                    <a:noFill/>
                    <a:ln>
                      <a:noFill/>
                    </a:ln>
                    <a:extLst>
                      <a:ext uri="{53640926-AAD7-44D8-BBD7-CCE9431645EC}">
                        <a14:shadowObscured xmlns:a14="http://schemas.microsoft.com/office/drawing/2010/main"/>
                      </a:ext>
                    </a:extLst>
                  </pic:spPr>
                </pic:pic>
              </a:graphicData>
            </a:graphic>
          </wp:inline>
        </w:drawing>
      </w:r>
    </w:p>
    <w:p w:rsidR="00711376" w:rsidRPr="00A05698" w:rsidRDefault="00F7502F" w:rsidP="00F7502F">
      <w:pPr>
        <w:jc w:val="center"/>
      </w:pPr>
      <w:r w:rsidRPr="00A05698">
        <w:rPr>
          <w:noProof/>
          <w:lang w:val="pt-PT" w:eastAsia="pt-PT"/>
        </w:rPr>
        <w:drawing>
          <wp:inline distT="0" distB="0" distL="0" distR="0" wp14:anchorId="562E34D9" wp14:editId="45AE5926">
            <wp:extent cx="5106715" cy="2027224"/>
            <wp:effectExtent l="0" t="0" r="0" b="508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a:extLst>
                        <a:ext uri="{28A0092B-C50C-407E-A947-70E740481C1C}">
                          <a14:useLocalDpi xmlns:a14="http://schemas.microsoft.com/office/drawing/2010/main" val="0"/>
                        </a:ext>
                      </a:extLst>
                    </a:blip>
                    <a:srcRect t="67355"/>
                    <a:stretch/>
                  </pic:blipFill>
                  <pic:spPr bwMode="auto">
                    <a:xfrm>
                      <a:off x="0" y="0"/>
                      <a:ext cx="5108575" cy="2027962"/>
                    </a:xfrm>
                    <a:prstGeom prst="rect">
                      <a:avLst/>
                    </a:prstGeom>
                    <a:noFill/>
                    <a:ln>
                      <a:noFill/>
                    </a:ln>
                    <a:extLst>
                      <a:ext uri="{53640926-AAD7-44D8-BBD7-CCE9431645EC}">
                        <a14:shadowObscured xmlns:a14="http://schemas.microsoft.com/office/drawing/2010/main"/>
                      </a:ext>
                    </a:extLst>
                  </pic:spPr>
                </pic:pic>
              </a:graphicData>
            </a:graphic>
          </wp:inline>
        </w:drawing>
      </w:r>
    </w:p>
    <w:p w:rsidR="00F7502F" w:rsidRPr="00A22110" w:rsidRDefault="00F7502F" w:rsidP="009B5A8F">
      <w:pPr>
        <w:jc w:val="both"/>
        <w:rPr>
          <w:i/>
        </w:rPr>
      </w:pPr>
      <w:r w:rsidRPr="00A22110">
        <w:rPr>
          <w:i/>
        </w:rPr>
        <w:t>Source : S</w:t>
      </w:r>
      <w:r w:rsidR="00AD7B4B">
        <w:rPr>
          <w:i/>
        </w:rPr>
        <w:t>ervice de statistique agricole</w:t>
      </w:r>
      <w:r w:rsidRPr="00A22110">
        <w:rPr>
          <w:i/>
        </w:rPr>
        <w:t>/MADR</w:t>
      </w:r>
      <w:r w:rsidR="00AD7B4B">
        <w:rPr>
          <w:i/>
        </w:rPr>
        <w:t>, 2021</w:t>
      </w:r>
    </w:p>
    <w:p w:rsidR="00BF7D87" w:rsidRPr="00A05698" w:rsidRDefault="00BF7D87" w:rsidP="009B5A8F">
      <w:pPr>
        <w:jc w:val="both"/>
      </w:pPr>
    </w:p>
    <w:p w:rsidR="009B5A8F" w:rsidRPr="00A05698" w:rsidRDefault="009B5A8F" w:rsidP="00A605D6">
      <w:pPr>
        <w:ind w:left="-284" w:right="-851"/>
        <w:jc w:val="both"/>
      </w:pPr>
      <w:r w:rsidRPr="00A05698">
        <w:t xml:space="preserve">En considérant les différents types de production du riz (pluvial, bas-fonds et mangrove), il ressort que le riz enregistre une production de 198.142 tonnes, soit une hausse de 5.6 % par rapport à celle de l’année dernière et de 11.4% par rapport à la moyenne des 5 dernières années. </w:t>
      </w:r>
    </w:p>
    <w:p w:rsidR="009B5A8F" w:rsidRPr="00A05698" w:rsidRDefault="009B5A8F" w:rsidP="00A605D6">
      <w:pPr>
        <w:ind w:left="-284" w:right="-851"/>
        <w:jc w:val="both"/>
      </w:pPr>
      <w:r w:rsidRPr="00A05698">
        <w:t>En ce qui concerne les céréales sèches, on constate une hausse de production de 28.2% pour le maïs, 18.1% pour le mil suite à une augmentation des superficies et des rendements et une baisse respective de 5.9% et 40,0% pour le sorgho et le fonio par rapport à l’</w:t>
      </w:r>
      <w:r w:rsidR="00085071" w:rsidRPr="00A05698">
        <w:t>année</w:t>
      </w:r>
      <w:r w:rsidRPr="00A05698">
        <w:t xml:space="preserve"> dernière.</w:t>
      </w:r>
    </w:p>
    <w:p w:rsidR="00D01330" w:rsidRPr="00A05698" w:rsidRDefault="00D01330" w:rsidP="00A605D6">
      <w:pPr>
        <w:ind w:left="-284" w:right="-851"/>
        <w:jc w:val="both"/>
      </w:pPr>
    </w:p>
    <w:p w:rsidR="009B5A8F" w:rsidRPr="00A05698" w:rsidRDefault="009B5A8F" w:rsidP="00157035">
      <w:pPr>
        <w:pStyle w:val="PargrafodaLista"/>
        <w:numPr>
          <w:ilvl w:val="0"/>
          <w:numId w:val="104"/>
        </w:numPr>
        <w:ind w:right="-851"/>
        <w:jc w:val="both"/>
        <w:rPr>
          <w:rFonts w:ascii="Times New Roman" w:hAnsi="Times New Roman"/>
          <w:b/>
          <w:sz w:val="24"/>
          <w:szCs w:val="24"/>
          <w:u w:val="single"/>
        </w:rPr>
      </w:pPr>
      <w:r w:rsidRPr="00A05698">
        <w:rPr>
          <w:rFonts w:ascii="Times New Roman" w:hAnsi="Times New Roman"/>
          <w:b/>
          <w:sz w:val="24"/>
          <w:szCs w:val="24"/>
          <w:u w:val="single"/>
        </w:rPr>
        <w:t>Racines et tubercules</w:t>
      </w:r>
    </w:p>
    <w:p w:rsidR="00D01330" w:rsidRPr="00A05698" w:rsidRDefault="009B5A8F" w:rsidP="002036A0">
      <w:pPr>
        <w:ind w:left="-284" w:right="-851"/>
        <w:jc w:val="both"/>
      </w:pPr>
      <w:r w:rsidRPr="00A05698">
        <w:t xml:space="preserve">Pour les tubercules, le manioc accuse une hausse de 1,7% par rapport à l’année </w:t>
      </w:r>
      <w:r w:rsidR="00D01330" w:rsidRPr="00A05698">
        <w:t>dernière</w:t>
      </w:r>
      <w:r w:rsidRPr="00A05698">
        <w:t xml:space="preserve"> et une baisse de 7,1% pour la patate douce et une hausse de 12.4 % et de 7.9 % par rapport à la moyenne des 5 dernières années. </w:t>
      </w:r>
    </w:p>
    <w:p w:rsidR="009B5A8F" w:rsidRPr="00A05698" w:rsidRDefault="009B5A8F" w:rsidP="00157035">
      <w:pPr>
        <w:pStyle w:val="PargrafodaLista"/>
        <w:numPr>
          <w:ilvl w:val="0"/>
          <w:numId w:val="104"/>
        </w:numPr>
        <w:ind w:right="-851"/>
        <w:jc w:val="both"/>
        <w:rPr>
          <w:rFonts w:ascii="Times New Roman" w:hAnsi="Times New Roman"/>
          <w:b/>
          <w:sz w:val="24"/>
          <w:szCs w:val="24"/>
          <w:u w:val="single"/>
        </w:rPr>
      </w:pPr>
      <w:r w:rsidRPr="00A05698">
        <w:rPr>
          <w:rFonts w:ascii="Times New Roman" w:hAnsi="Times New Roman"/>
          <w:b/>
          <w:sz w:val="24"/>
          <w:szCs w:val="24"/>
          <w:u w:val="single"/>
        </w:rPr>
        <w:t>Légumineuse</w:t>
      </w:r>
    </w:p>
    <w:p w:rsidR="009B5A8F" w:rsidRPr="00A05698" w:rsidRDefault="009B5A8F" w:rsidP="00D01330">
      <w:pPr>
        <w:ind w:left="-284" w:right="-851"/>
        <w:jc w:val="both"/>
      </w:pPr>
      <w:r w:rsidRPr="00A05698">
        <w:t xml:space="preserve">Pour les légumineuses, l’arachide et niébé accusent une hausse de 2.7% et 21,3% respectivement par rapport à l’année passée et de 10.6% et 39,3% par rapport à la moyenne des 5 dernières années respectivement. </w:t>
      </w:r>
    </w:p>
    <w:p w:rsidR="00D01330" w:rsidRPr="00A05698" w:rsidRDefault="00D01330" w:rsidP="00D01330">
      <w:pPr>
        <w:ind w:left="-284" w:right="-851"/>
        <w:jc w:val="both"/>
      </w:pPr>
    </w:p>
    <w:p w:rsidR="009B5A8F" w:rsidRPr="00A05698" w:rsidRDefault="009B5A8F" w:rsidP="00157035">
      <w:pPr>
        <w:pStyle w:val="PargrafodaLista"/>
        <w:numPr>
          <w:ilvl w:val="0"/>
          <w:numId w:val="104"/>
        </w:numPr>
        <w:ind w:right="-851"/>
        <w:jc w:val="both"/>
        <w:rPr>
          <w:rFonts w:ascii="Times New Roman" w:hAnsi="Times New Roman"/>
          <w:b/>
          <w:sz w:val="24"/>
          <w:szCs w:val="24"/>
          <w:u w:val="single"/>
        </w:rPr>
      </w:pPr>
      <w:r w:rsidRPr="00A05698">
        <w:rPr>
          <w:rFonts w:ascii="Times New Roman" w:hAnsi="Times New Roman"/>
          <w:b/>
          <w:sz w:val="24"/>
          <w:szCs w:val="24"/>
          <w:u w:val="single"/>
        </w:rPr>
        <w:t xml:space="preserve">Autres productions agricoles </w:t>
      </w:r>
    </w:p>
    <w:p w:rsidR="009B5A8F" w:rsidRPr="00A05698" w:rsidRDefault="009B5A8F" w:rsidP="003E7907">
      <w:pPr>
        <w:ind w:left="-284" w:right="-851"/>
        <w:jc w:val="both"/>
      </w:pPr>
      <w:r w:rsidRPr="00A05698">
        <w:t xml:space="preserve">La production prévisionnelle totale d’Oléagineux est de 117.588 tonnes contre 110.905 tonnes de la campagne agricole 2019/2020. Elle accuse une hausse de 6,0 % par rapport à la production de la campagne précédente. </w:t>
      </w:r>
    </w:p>
    <w:p w:rsidR="009B5A8F" w:rsidRPr="00A05698" w:rsidRDefault="009B5A8F" w:rsidP="003E7907">
      <w:pPr>
        <w:ind w:left="-284" w:right="-851"/>
        <w:jc w:val="both"/>
      </w:pPr>
      <w:r w:rsidRPr="00A05698">
        <w:t>Pour les Légumes et légumineuses, la production prévisionnelle totale de la campagne agricole 2020/2021 est de 1.599.307 tonnes. Elle accuse une hausse de 2,7 % par rapport à la production de la campagne précédente qui était de 1.556.903 tonnes. Les données par cultures s</w:t>
      </w:r>
      <w:r w:rsidR="00480073">
        <w:t>ont présentées dans le tableau 11</w:t>
      </w:r>
      <w:r w:rsidRPr="00A05698">
        <w:t xml:space="preserve"> ci-après :</w:t>
      </w:r>
    </w:p>
    <w:tbl>
      <w:tblPr>
        <w:tblW w:w="7514" w:type="dxa"/>
        <w:jc w:val="center"/>
        <w:tblCellMar>
          <w:left w:w="70" w:type="dxa"/>
          <w:right w:w="70" w:type="dxa"/>
        </w:tblCellMar>
        <w:tblLook w:val="04A0" w:firstRow="1" w:lastRow="0" w:firstColumn="1" w:lastColumn="0" w:noHBand="0" w:noVBand="1"/>
      </w:tblPr>
      <w:tblGrid>
        <w:gridCol w:w="2977"/>
        <w:gridCol w:w="2131"/>
        <w:gridCol w:w="1355"/>
        <w:gridCol w:w="1051"/>
      </w:tblGrid>
      <w:tr w:rsidR="009B5A8F" w:rsidRPr="00A05698" w:rsidTr="0070386B">
        <w:trPr>
          <w:trHeight w:val="315"/>
          <w:jc w:val="center"/>
        </w:trPr>
        <w:tc>
          <w:tcPr>
            <w:tcW w:w="7514" w:type="dxa"/>
            <w:gridSpan w:val="4"/>
            <w:tcBorders>
              <w:top w:val="nil"/>
              <w:left w:val="nil"/>
              <w:bottom w:val="nil"/>
              <w:right w:val="nil"/>
            </w:tcBorders>
            <w:shd w:val="clear" w:color="auto" w:fill="auto"/>
            <w:noWrap/>
            <w:vAlign w:val="center"/>
            <w:hideMark/>
          </w:tcPr>
          <w:p w:rsidR="009B5A8F" w:rsidRPr="00A05698" w:rsidRDefault="001E4596" w:rsidP="001E4596">
            <w:pPr>
              <w:pStyle w:val="Primeiroavanodecorpodetexto2"/>
              <w:spacing w:after="0" w:line="240" w:lineRule="auto"/>
              <w:jc w:val="center"/>
              <w:rPr>
                <w:rFonts w:ascii="Times New Roman" w:hAnsi="Times New Roman"/>
                <w:b/>
              </w:rPr>
            </w:pPr>
            <w:bookmarkStart w:id="210" w:name="_Toc73522617"/>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D51AB3">
              <w:rPr>
                <w:rFonts w:ascii="Times New Roman" w:hAnsi="Times New Roman"/>
                <w:b/>
                <w:noProof/>
              </w:rPr>
              <w:t>11</w:t>
            </w:r>
            <w:r w:rsidRPr="00A05698">
              <w:rPr>
                <w:rFonts w:ascii="Times New Roman" w:hAnsi="Times New Roman"/>
                <w:b/>
              </w:rPr>
              <w:fldChar w:fldCharType="end"/>
            </w:r>
            <w:r w:rsidRPr="00A05698">
              <w:rPr>
                <w:rFonts w:ascii="Times New Roman" w:hAnsi="Times New Roman"/>
                <w:b/>
              </w:rPr>
              <w:t xml:space="preserve"> : </w:t>
            </w:r>
            <w:r w:rsidR="009B5A8F" w:rsidRPr="00A05698">
              <w:rPr>
                <w:rFonts w:ascii="Times New Roman" w:hAnsi="Times New Roman"/>
                <w:b/>
              </w:rPr>
              <w:t>Production des autres produits alimentaires en tonnes</w:t>
            </w:r>
            <w:bookmarkEnd w:id="210"/>
          </w:p>
        </w:tc>
      </w:tr>
      <w:tr w:rsidR="003E7907" w:rsidRPr="00A05698" w:rsidTr="003E7907">
        <w:trPr>
          <w:trHeight w:val="315"/>
          <w:jc w:val="center"/>
        </w:trPr>
        <w:tc>
          <w:tcPr>
            <w:tcW w:w="2977" w:type="dxa"/>
            <w:vMerge w:val="restart"/>
            <w:tcBorders>
              <w:top w:val="single" w:sz="8" w:space="0" w:color="auto"/>
              <w:left w:val="single" w:sz="8" w:space="0" w:color="auto"/>
              <w:right w:val="nil"/>
            </w:tcBorders>
            <w:shd w:val="clear" w:color="auto" w:fill="DEEAF6" w:themeFill="accent1" w:themeFillTint="33"/>
            <w:noWrap/>
            <w:vAlign w:val="bottom"/>
            <w:hideMark/>
          </w:tcPr>
          <w:p w:rsidR="009B5A8F" w:rsidRPr="00A05698" w:rsidRDefault="009B5A8F" w:rsidP="0070386B">
            <w:pPr>
              <w:jc w:val="center"/>
              <w:rPr>
                <w:b/>
                <w:bCs/>
                <w:i/>
                <w:sz w:val="22"/>
                <w:szCs w:val="22"/>
              </w:rPr>
            </w:pPr>
            <w:r w:rsidRPr="00A05698">
              <w:rPr>
                <w:b/>
                <w:bCs/>
                <w:i/>
                <w:sz w:val="22"/>
                <w:szCs w:val="22"/>
              </w:rPr>
              <w:t>Produits</w:t>
            </w:r>
          </w:p>
        </w:tc>
        <w:tc>
          <w:tcPr>
            <w:tcW w:w="213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bottom"/>
            <w:hideMark/>
          </w:tcPr>
          <w:p w:rsidR="009B5A8F" w:rsidRPr="00A05698" w:rsidRDefault="009B5A8F" w:rsidP="0070386B">
            <w:pPr>
              <w:jc w:val="center"/>
              <w:rPr>
                <w:b/>
                <w:bCs/>
                <w:i/>
                <w:sz w:val="22"/>
                <w:szCs w:val="22"/>
              </w:rPr>
            </w:pPr>
            <w:r w:rsidRPr="00A05698">
              <w:rPr>
                <w:b/>
                <w:bCs/>
                <w:i/>
                <w:sz w:val="22"/>
                <w:szCs w:val="22"/>
              </w:rPr>
              <w:t>Campagne agricole 2020/2021</w:t>
            </w:r>
          </w:p>
        </w:tc>
        <w:tc>
          <w:tcPr>
            <w:tcW w:w="1355" w:type="dxa"/>
            <w:tcBorders>
              <w:top w:val="single" w:sz="8" w:space="0" w:color="auto"/>
              <w:left w:val="nil"/>
              <w:bottom w:val="single" w:sz="8" w:space="0" w:color="auto"/>
              <w:right w:val="single" w:sz="8" w:space="0" w:color="auto"/>
            </w:tcBorders>
            <w:shd w:val="clear" w:color="auto" w:fill="DEEAF6" w:themeFill="accent1" w:themeFillTint="33"/>
            <w:noWrap/>
            <w:vAlign w:val="bottom"/>
            <w:hideMark/>
          </w:tcPr>
          <w:p w:rsidR="009B5A8F" w:rsidRPr="00A05698" w:rsidRDefault="009B5A8F" w:rsidP="0070386B">
            <w:pPr>
              <w:jc w:val="center"/>
              <w:rPr>
                <w:b/>
                <w:bCs/>
                <w:i/>
                <w:sz w:val="22"/>
                <w:szCs w:val="22"/>
              </w:rPr>
            </w:pPr>
            <w:r w:rsidRPr="00A05698">
              <w:rPr>
                <w:b/>
                <w:bCs/>
                <w:i/>
                <w:sz w:val="22"/>
                <w:szCs w:val="22"/>
              </w:rPr>
              <w:t>Campagne agricole 2019/2020</w:t>
            </w:r>
          </w:p>
        </w:tc>
        <w:tc>
          <w:tcPr>
            <w:tcW w:w="1051" w:type="dxa"/>
            <w:vMerge w:val="restart"/>
            <w:tcBorders>
              <w:top w:val="single" w:sz="8" w:space="0" w:color="auto"/>
              <w:left w:val="nil"/>
              <w:right w:val="single" w:sz="8" w:space="0" w:color="auto"/>
            </w:tcBorders>
            <w:shd w:val="clear" w:color="auto" w:fill="DEEAF6" w:themeFill="accent1" w:themeFillTint="33"/>
          </w:tcPr>
          <w:p w:rsidR="009B5A8F" w:rsidRPr="00A05698" w:rsidRDefault="009B5A8F" w:rsidP="0070386B">
            <w:pPr>
              <w:jc w:val="center"/>
              <w:rPr>
                <w:b/>
                <w:bCs/>
                <w:i/>
                <w:color w:val="FF0000"/>
                <w:sz w:val="22"/>
                <w:szCs w:val="22"/>
              </w:rPr>
            </w:pPr>
          </w:p>
          <w:p w:rsidR="009B5A8F" w:rsidRPr="00A05698" w:rsidRDefault="009B5A8F" w:rsidP="0070386B">
            <w:pPr>
              <w:jc w:val="center"/>
              <w:rPr>
                <w:b/>
                <w:bCs/>
                <w:i/>
                <w:sz w:val="22"/>
                <w:szCs w:val="22"/>
              </w:rPr>
            </w:pPr>
            <w:r w:rsidRPr="00A05698">
              <w:rPr>
                <w:b/>
                <w:bCs/>
                <w:i/>
                <w:sz w:val="22"/>
                <w:szCs w:val="22"/>
              </w:rPr>
              <w:t>Ecart, %</w:t>
            </w:r>
          </w:p>
        </w:tc>
      </w:tr>
      <w:tr w:rsidR="003E7907" w:rsidRPr="00A05698" w:rsidTr="003E7907">
        <w:trPr>
          <w:trHeight w:val="60"/>
          <w:jc w:val="center"/>
        </w:trPr>
        <w:tc>
          <w:tcPr>
            <w:tcW w:w="2977" w:type="dxa"/>
            <w:vMerge/>
            <w:tcBorders>
              <w:left w:val="single" w:sz="8" w:space="0" w:color="auto"/>
              <w:bottom w:val="single" w:sz="8" w:space="0" w:color="auto"/>
              <w:right w:val="nil"/>
            </w:tcBorders>
            <w:shd w:val="clear" w:color="auto" w:fill="auto"/>
            <w:noWrap/>
            <w:vAlign w:val="bottom"/>
          </w:tcPr>
          <w:p w:rsidR="009B5A8F" w:rsidRPr="00A05698" w:rsidRDefault="009B5A8F" w:rsidP="0070386B">
            <w:pPr>
              <w:jc w:val="center"/>
              <w:rPr>
                <w:b/>
                <w:bCs/>
                <w:i/>
                <w:color w:val="FF0000"/>
                <w:sz w:val="22"/>
                <w:szCs w:val="22"/>
              </w:rPr>
            </w:pPr>
          </w:p>
        </w:tc>
        <w:tc>
          <w:tcPr>
            <w:tcW w:w="213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bottom"/>
          </w:tcPr>
          <w:p w:rsidR="009B5A8F" w:rsidRPr="00A05698" w:rsidRDefault="009B5A8F" w:rsidP="0070386B">
            <w:pPr>
              <w:jc w:val="center"/>
              <w:rPr>
                <w:b/>
                <w:bCs/>
                <w:i/>
                <w:sz w:val="22"/>
                <w:szCs w:val="22"/>
              </w:rPr>
            </w:pPr>
            <w:r w:rsidRPr="00A05698">
              <w:rPr>
                <w:b/>
                <w:bCs/>
                <w:i/>
                <w:sz w:val="22"/>
                <w:szCs w:val="22"/>
              </w:rPr>
              <w:t>Quantité</w:t>
            </w:r>
          </w:p>
        </w:tc>
        <w:tc>
          <w:tcPr>
            <w:tcW w:w="1355" w:type="dxa"/>
            <w:tcBorders>
              <w:top w:val="single" w:sz="8" w:space="0" w:color="auto"/>
              <w:left w:val="nil"/>
              <w:bottom w:val="single" w:sz="8" w:space="0" w:color="auto"/>
              <w:right w:val="single" w:sz="8" w:space="0" w:color="auto"/>
            </w:tcBorders>
            <w:shd w:val="clear" w:color="auto" w:fill="DEEAF6" w:themeFill="accent1" w:themeFillTint="33"/>
            <w:noWrap/>
            <w:vAlign w:val="bottom"/>
          </w:tcPr>
          <w:p w:rsidR="009B5A8F" w:rsidRPr="00A05698" w:rsidRDefault="009B5A8F" w:rsidP="0070386B">
            <w:pPr>
              <w:jc w:val="center"/>
              <w:rPr>
                <w:b/>
                <w:bCs/>
                <w:i/>
                <w:sz w:val="22"/>
                <w:szCs w:val="22"/>
              </w:rPr>
            </w:pPr>
            <w:r w:rsidRPr="00A05698">
              <w:rPr>
                <w:b/>
                <w:bCs/>
                <w:i/>
                <w:sz w:val="22"/>
                <w:szCs w:val="22"/>
              </w:rPr>
              <w:t>Quantité</w:t>
            </w:r>
          </w:p>
        </w:tc>
        <w:tc>
          <w:tcPr>
            <w:tcW w:w="1051" w:type="dxa"/>
            <w:vMerge/>
            <w:tcBorders>
              <w:left w:val="nil"/>
              <w:bottom w:val="single" w:sz="8" w:space="0" w:color="auto"/>
              <w:right w:val="single" w:sz="8" w:space="0" w:color="auto"/>
            </w:tcBorders>
          </w:tcPr>
          <w:p w:rsidR="009B5A8F" w:rsidRPr="00A05698" w:rsidRDefault="009B5A8F" w:rsidP="0070386B">
            <w:pPr>
              <w:jc w:val="center"/>
              <w:rPr>
                <w:b/>
                <w:bCs/>
                <w:i/>
                <w:color w:val="FF0000"/>
                <w:sz w:val="22"/>
                <w:szCs w:val="22"/>
              </w:rPr>
            </w:pPr>
          </w:p>
        </w:tc>
      </w:tr>
      <w:tr w:rsidR="009B5A8F" w:rsidRPr="00A05698" w:rsidTr="003E7907">
        <w:trPr>
          <w:trHeight w:val="315"/>
          <w:jc w:val="center"/>
        </w:trPr>
        <w:tc>
          <w:tcPr>
            <w:tcW w:w="2977" w:type="dxa"/>
            <w:tcBorders>
              <w:top w:val="single" w:sz="8" w:space="0" w:color="auto"/>
              <w:left w:val="single" w:sz="8" w:space="0" w:color="auto"/>
              <w:bottom w:val="single" w:sz="8" w:space="0" w:color="auto"/>
              <w:right w:val="nil"/>
            </w:tcBorders>
            <w:shd w:val="clear" w:color="auto" w:fill="auto"/>
            <w:noWrap/>
            <w:vAlign w:val="center"/>
            <w:hideMark/>
          </w:tcPr>
          <w:p w:rsidR="009B5A8F" w:rsidRPr="00A05698" w:rsidRDefault="009B5A8F" w:rsidP="0070386B">
            <w:pPr>
              <w:jc w:val="both"/>
              <w:rPr>
                <w:b/>
                <w:bCs/>
                <w:i/>
                <w:sz w:val="22"/>
                <w:szCs w:val="22"/>
              </w:rPr>
            </w:pPr>
            <w:r w:rsidRPr="00A05698">
              <w:rPr>
                <w:b/>
                <w:bCs/>
                <w:i/>
                <w:sz w:val="22"/>
                <w:szCs w:val="22"/>
              </w:rPr>
              <w:t xml:space="preserve">Oléagineux </w:t>
            </w:r>
          </w:p>
        </w:tc>
        <w:tc>
          <w:tcPr>
            <w:tcW w:w="2131" w:type="dxa"/>
            <w:tcBorders>
              <w:top w:val="nil"/>
              <w:left w:val="single" w:sz="8" w:space="0" w:color="auto"/>
              <w:bottom w:val="single" w:sz="8" w:space="0" w:color="auto"/>
              <w:right w:val="single" w:sz="8" w:space="0" w:color="auto"/>
            </w:tcBorders>
            <w:shd w:val="clear" w:color="auto" w:fill="auto"/>
            <w:noWrap/>
            <w:vAlign w:val="center"/>
            <w:hideMark/>
          </w:tcPr>
          <w:p w:rsidR="009B5A8F" w:rsidRPr="00A05698" w:rsidRDefault="009B5A8F" w:rsidP="0070386B">
            <w:pPr>
              <w:jc w:val="right"/>
              <w:rPr>
                <w:b/>
                <w:bCs/>
                <w:i/>
                <w:iCs/>
                <w:sz w:val="22"/>
                <w:szCs w:val="22"/>
                <w:lang w:val="pt-PT" w:eastAsia="pt-PT"/>
              </w:rPr>
            </w:pPr>
            <w:r w:rsidRPr="00A05698">
              <w:rPr>
                <w:b/>
                <w:bCs/>
                <w:i/>
                <w:iCs/>
                <w:sz w:val="22"/>
                <w:szCs w:val="22"/>
              </w:rPr>
              <w:t>117588</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b/>
                <w:bCs/>
                <w:i/>
                <w:iCs/>
                <w:sz w:val="22"/>
                <w:szCs w:val="22"/>
                <w:lang w:val="pt-PT" w:eastAsia="pt-PT"/>
              </w:rPr>
            </w:pPr>
            <w:r w:rsidRPr="00A05698">
              <w:rPr>
                <w:b/>
                <w:bCs/>
                <w:i/>
                <w:iCs/>
                <w:sz w:val="22"/>
                <w:szCs w:val="22"/>
              </w:rPr>
              <w:t>110905</w:t>
            </w:r>
          </w:p>
        </w:tc>
        <w:tc>
          <w:tcPr>
            <w:tcW w:w="1051" w:type="dxa"/>
            <w:tcBorders>
              <w:top w:val="single" w:sz="8" w:space="0" w:color="auto"/>
              <w:left w:val="nil"/>
              <w:bottom w:val="single" w:sz="8"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6,0</w:t>
            </w:r>
          </w:p>
        </w:tc>
      </w:tr>
      <w:tr w:rsidR="009B5A8F" w:rsidRPr="00A05698" w:rsidTr="003E7907">
        <w:trPr>
          <w:trHeight w:val="315"/>
          <w:jc w:val="center"/>
        </w:trPr>
        <w:tc>
          <w:tcPr>
            <w:tcW w:w="2977" w:type="dxa"/>
            <w:tcBorders>
              <w:top w:val="single" w:sz="4" w:space="0" w:color="auto"/>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Arachide</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115588</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108905</w:t>
            </w:r>
          </w:p>
        </w:tc>
        <w:tc>
          <w:tcPr>
            <w:tcW w:w="1051" w:type="dxa"/>
            <w:tcBorders>
              <w:top w:val="single" w:sz="4" w:space="0" w:color="auto"/>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6,1</w:t>
            </w:r>
          </w:p>
        </w:tc>
      </w:tr>
      <w:tr w:rsidR="009B5A8F" w:rsidRPr="00A05698" w:rsidTr="003E7907">
        <w:trPr>
          <w:trHeight w:val="330"/>
          <w:jc w:val="center"/>
        </w:trPr>
        <w:tc>
          <w:tcPr>
            <w:tcW w:w="2977" w:type="dxa"/>
            <w:tcBorders>
              <w:top w:val="nil"/>
              <w:left w:val="single" w:sz="8" w:space="0" w:color="auto"/>
              <w:bottom w:val="nil"/>
              <w:right w:val="nil"/>
            </w:tcBorders>
            <w:shd w:val="clear" w:color="auto" w:fill="auto"/>
            <w:noWrap/>
            <w:vAlign w:val="bottom"/>
            <w:hideMark/>
          </w:tcPr>
          <w:p w:rsidR="009B5A8F" w:rsidRPr="00A05698" w:rsidRDefault="009B5A8F" w:rsidP="0070386B">
            <w:pPr>
              <w:rPr>
                <w:i/>
                <w:sz w:val="22"/>
                <w:szCs w:val="22"/>
              </w:rPr>
            </w:pPr>
            <w:r w:rsidRPr="00A05698">
              <w:rPr>
                <w:i/>
                <w:sz w:val="22"/>
                <w:szCs w:val="22"/>
              </w:rPr>
              <w:t xml:space="preserve">Noix de palmiste        </w:t>
            </w:r>
          </w:p>
        </w:tc>
        <w:tc>
          <w:tcPr>
            <w:tcW w:w="2131" w:type="dxa"/>
            <w:tcBorders>
              <w:top w:val="nil"/>
              <w:left w:val="single" w:sz="8" w:space="0" w:color="auto"/>
              <w:bottom w:val="nil"/>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2000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2000</w:t>
            </w:r>
          </w:p>
        </w:tc>
        <w:tc>
          <w:tcPr>
            <w:tcW w:w="1051" w:type="dxa"/>
            <w:tcBorders>
              <w:top w:val="nil"/>
              <w:left w:val="nil"/>
              <w:bottom w:val="nil"/>
              <w:right w:val="single" w:sz="8" w:space="0" w:color="auto"/>
            </w:tcBorders>
            <w:vAlign w:val="center"/>
          </w:tcPr>
          <w:p w:rsidR="009B5A8F" w:rsidRPr="00A05698" w:rsidRDefault="009B5A8F" w:rsidP="0070386B">
            <w:pPr>
              <w:jc w:val="right"/>
              <w:rPr>
                <w:i/>
                <w:sz w:val="22"/>
                <w:szCs w:val="22"/>
              </w:rPr>
            </w:pPr>
            <w:r w:rsidRPr="00A05698">
              <w:rPr>
                <w:i/>
                <w:sz w:val="22"/>
                <w:szCs w:val="22"/>
              </w:rPr>
              <w:t>0,0</w:t>
            </w:r>
          </w:p>
        </w:tc>
      </w:tr>
      <w:tr w:rsidR="009B5A8F" w:rsidRPr="00A05698" w:rsidTr="003E7907">
        <w:trPr>
          <w:trHeight w:val="330"/>
          <w:jc w:val="center"/>
        </w:trPr>
        <w:tc>
          <w:tcPr>
            <w:tcW w:w="2977" w:type="dxa"/>
            <w:tcBorders>
              <w:top w:val="single" w:sz="8" w:space="0" w:color="auto"/>
              <w:left w:val="single" w:sz="8" w:space="0" w:color="auto"/>
              <w:bottom w:val="single" w:sz="8" w:space="0" w:color="auto"/>
              <w:right w:val="nil"/>
            </w:tcBorders>
            <w:shd w:val="clear" w:color="auto" w:fill="auto"/>
            <w:noWrap/>
            <w:vAlign w:val="center"/>
            <w:hideMark/>
          </w:tcPr>
          <w:p w:rsidR="009B5A8F" w:rsidRPr="00A05698" w:rsidRDefault="009B5A8F" w:rsidP="0070386B">
            <w:pPr>
              <w:rPr>
                <w:b/>
                <w:bCs/>
                <w:i/>
                <w:sz w:val="22"/>
                <w:szCs w:val="22"/>
              </w:rPr>
            </w:pPr>
            <w:r w:rsidRPr="00A05698">
              <w:rPr>
                <w:b/>
                <w:bCs/>
                <w:i/>
                <w:sz w:val="22"/>
                <w:szCs w:val="22"/>
              </w:rPr>
              <w:t xml:space="preserve">Légumes et légumineuses </w:t>
            </w:r>
          </w:p>
        </w:tc>
        <w:tc>
          <w:tcPr>
            <w:tcW w:w="21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5A8F" w:rsidRPr="00A05698" w:rsidRDefault="009B5A8F" w:rsidP="0070386B">
            <w:pPr>
              <w:jc w:val="right"/>
              <w:rPr>
                <w:b/>
                <w:bCs/>
                <w:i/>
                <w:iCs/>
                <w:sz w:val="22"/>
                <w:szCs w:val="22"/>
              </w:rPr>
            </w:pPr>
            <w:r w:rsidRPr="00A05698">
              <w:rPr>
                <w:b/>
                <w:bCs/>
                <w:i/>
                <w:iCs/>
                <w:sz w:val="22"/>
                <w:szCs w:val="22"/>
              </w:rPr>
              <w:t>1599307</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b/>
                <w:bCs/>
                <w:i/>
                <w:iCs/>
                <w:sz w:val="22"/>
                <w:szCs w:val="22"/>
              </w:rPr>
            </w:pPr>
            <w:r w:rsidRPr="00A05698">
              <w:rPr>
                <w:b/>
                <w:bCs/>
                <w:i/>
                <w:iCs/>
                <w:sz w:val="22"/>
                <w:szCs w:val="22"/>
              </w:rPr>
              <w:t>1556903</w:t>
            </w:r>
          </w:p>
        </w:tc>
        <w:tc>
          <w:tcPr>
            <w:tcW w:w="1051" w:type="dxa"/>
            <w:tcBorders>
              <w:top w:val="single" w:sz="8" w:space="0" w:color="auto"/>
              <w:left w:val="nil"/>
              <w:bottom w:val="single" w:sz="8"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2,7</w:t>
            </w:r>
          </w:p>
        </w:tc>
      </w:tr>
      <w:tr w:rsidR="009B5A8F" w:rsidRPr="00A05698" w:rsidTr="003E7907">
        <w:trPr>
          <w:trHeight w:val="315"/>
          <w:jc w:val="center"/>
        </w:trPr>
        <w:tc>
          <w:tcPr>
            <w:tcW w:w="2977" w:type="dxa"/>
            <w:tcBorders>
              <w:top w:val="single" w:sz="4" w:space="0" w:color="auto"/>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Niébé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1307</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903</w:t>
            </w:r>
          </w:p>
        </w:tc>
        <w:tc>
          <w:tcPr>
            <w:tcW w:w="1051" w:type="dxa"/>
            <w:tcBorders>
              <w:top w:val="single" w:sz="4" w:space="0" w:color="auto"/>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44,7</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Tomates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42000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40000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5,0</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Oignon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120000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115000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4,3</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Carottes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25000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21000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19,0</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Aubergine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175000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170000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2,9</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Choux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76000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70000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8,6</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Haricot vert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42000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40000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5,0</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Concombre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708000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700000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1,1</w:t>
            </w:r>
          </w:p>
        </w:tc>
      </w:tr>
      <w:tr w:rsidR="009B5A8F" w:rsidRPr="00A05698" w:rsidTr="003E7907">
        <w:trPr>
          <w:trHeight w:val="330"/>
          <w:jc w:val="center"/>
        </w:trPr>
        <w:tc>
          <w:tcPr>
            <w:tcW w:w="2977" w:type="dxa"/>
            <w:tcBorders>
              <w:top w:val="single" w:sz="4" w:space="0" w:color="auto"/>
              <w:left w:val="single" w:sz="4"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Gombo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410000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400000</w:t>
            </w:r>
          </w:p>
        </w:tc>
        <w:tc>
          <w:tcPr>
            <w:tcW w:w="1051" w:type="dxa"/>
            <w:tcBorders>
              <w:top w:val="single" w:sz="4" w:space="0" w:color="auto"/>
              <w:left w:val="nil"/>
              <w:bottom w:val="single" w:sz="4" w:space="0" w:color="auto"/>
              <w:right w:val="single" w:sz="4" w:space="0" w:color="auto"/>
            </w:tcBorders>
            <w:vAlign w:val="center"/>
          </w:tcPr>
          <w:p w:rsidR="009B5A8F" w:rsidRPr="00A05698" w:rsidRDefault="009B5A8F" w:rsidP="0070386B">
            <w:pPr>
              <w:jc w:val="right"/>
              <w:rPr>
                <w:i/>
                <w:sz w:val="22"/>
                <w:szCs w:val="22"/>
              </w:rPr>
            </w:pPr>
            <w:r w:rsidRPr="00A05698">
              <w:rPr>
                <w:i/>
                <w:sz w:val="22"/>
                <w:szCs w:val="22"/>
              </w:rPr>
              <w:t>2,5</w:t>
            </w:r>
          </w:p>
        </w:tc>
      </w:tr>
    </w:tbl>
    <w:p w:rsidR="00A22110" w:rsidRPr="00A22110" w:rsidRDefault="00A22110" w:rsidP="00A22110">
      <w:pPr>
        <w:jc w:val="both"/>
        <w:rPr>
          <w:i/>
        </w:rPr>
      </w:pPr>
      <w:r w:rsidRPr="00A22110">
        <w:rPr>
          <w:i/>
        </w:rPr>
        <w:t>Source : S</w:t>
      </w:r>
      <w:r>
        <w:rPr>
          <w:i/>
        </w:rPr>
        <w:t>ervice de statistique agricole</w:t>
      </w:r>
      <w:r w:rsidRPr="00A22110">
        <w:rPr>
          <w:i/>
        </w:rPr>
        <w:t>/MADR</w:t>
      </w:r>
      <w:r>
        <w:rPr>
          <w:i/>
        </w:rPr>
        <w:t>, 2021</w:t>
      </w:r>
    </w:p>
    <w:p w:rsidR="00BF7D87" w:rsidRPr="00A05698" w:rsidRDefault="00BF7D87" w:rsidP="009B5A8F">
      <w:pPr>
        <w:rPr>
          <w:b/>
          <w:i/>
          <w:color w:val="FF0000"/>
        </w:rPr>
      </w:pPr>
    </w:p>
    <w:p w:rsidR="009B5A8F" w:rsidRPr="00A05698" w:rsidRDefault="009B5A8F" w:rsidP="00157035">
      <w:pPr>
        <w:pStyle w:val="PargrafodaLista"/>
        <w:numPr>
          <w:ilvl w:val="0"/>
          <w:numId w:val="104"/>
        </w:numPr>
        <w:ind w:right="-851"/>
        <w:jc w:val="both"/>
        <w:rPr>
          <w:rFonts w:ascii="Times New Roman" w:hAnsi="Times New Roman"/>
          <w:b/>
          <w:sz w:val="24"/>
          <w:szCs w:val="24"/>
          <w:u w:val="single"/>
        </w:rPr>
      </w:pPr>
      <w:r w:rsidRPr="00A05698">
        <w:rPr>
          <w:rFonts w:ascii="Times New Roman" w:hAnsi="Times New Roman"/>
          <w:b/>
          <w:sz w:val="24"/>
          <w:szCs w:val="24"/>
          <w:u w:val="single"/>
        </w:rPr>
        <w:t xml:space="preserve">Production disponible </w:t>
      </w:r>
    </w:p>
    <w:p w:rsidR="009B5A8F" w:rsidRPr="00A05698" w:rsidRDefault="00480073" w:rsidP="000F7EB2">
      <w:pPr>
        <w:ind w:left="-284" w:right="-851"/>
        <w:jc w:val="both"/>
      </w:pPr>
      <w:r>
        <w:t>Le tableau 12</w:t>
      </w:r>
      <w:r w:rsidR="009B5A8F" w:rsidRPr="00A05698">
        <w:t xml:space="preserve"> ci-après illustre les productions alimentaires disponibles sur la base des productions brutes de chaque produit alimentair</w:t>
      </w:r>
      <w:r w:rsidR="00391EA0">
        <w:t>e attendu cette année 2020/2021</w:t>
      </w:r>
      <w:r w:rsidR="009B5A8F" w:rsidRPr="00A05698">
        <w:t>.</w:t>
      </w:r>
    </w:p>
    <w:p w:rsidR="009B5A8F" w:rsidRPr="00A05698" w:rsidRDefault="009B5A8F" w:rsidP="001E4596">
      <w:pPr>
        <w:pStyle w:val="Primeiroavanodecorpodetexto2"/>
        <w:spacing w:after="0" w:line="240" w:lineRule="auto"/>
        <w:jc w:val="center"/>
        <w:rPr>
          <w:rFonts w:ascii="Times New Roman" w:hAnsi="Times New Roman"/>
          <w:b/>
        </w:rPr>
      </w:pPr>
      <w:r w:rsidRPr="00A05698">
        <w:rPr>
          <w:rFonts w:ascii="Times New Roman" w:hAnsi="Times New Roman"/>
          <w:b/>
        </w:rPr>
        <w:t xml:space="preserve">                  </w:t>
      </w:r>
      <w:bookmarkStart w:id="211" w:name="_Toc73522618"/>
      <w:r w:rsidR="001E4596" w:rsidRPr="00A05698">
        <w:rPr>
          <w:rFonts w:ascii="Times New Roman" w:hAnsi="Times New Roman"/>
          <w:b/>
        </w:rPr>
        <w:t xml:space="preserve">Tableau </w:t>
      </w:r>
      <w:r w:rsidR="001E4596" w:rsidRPr="00A05698">
        <w:rPr>
          <w:rFonts w:ascii="Times New Roman" w:hAnsi="Times New Roman"/>
          <w:b/>
        </w:rPr>
        <w:fldChar w:fldCharType="begin"/>
      </w:r>
      <w:r w:rsidR="001E4596" w:rsidRPr="00A05698">
        <w:rPr>
          <w:rFonts w:ascii="Times New Roman" w:hAnsi="Times New Roman"/>
          <w:b/>
        </w:rPr>
        <w:instrText xml:space="preserve"> </w:instrText>
      </w:r>
      <w:r w:rsidR="006C5620">
        <w:rPr>
          <w:rFonts w:ascii="Times New Roman" w:hAnsi="Times New Roman"/>
          <w:b/>
        </w:rPr>
        <w:instrText>SEQ</w:instrText>
      </w:r>
      <w:r w:rsidR="001E4596" w:rsidRPr="00A05698">
        <w:rPr>
          <w:rFonts w:ascii="Times New Roman" w:hAnsi="Times New Roman"/>
          <w:b/>
        </w:rPr>
        <w:instrText xml:space="preserve"> Tableau \* ARABIC </w:instrText>
      </w:r>
      <w:r w:rsidR="001E4596" w:rsidRPr="00A05698">
        <w:rPr>
          <w:rFonts w:ascii="Times New Roman" w:hAnsi="Times New Roman"/>
          <w:b/>
        </w:rPr>
        <w:fldChar w:fldCharType="separate"/>
      </w:r>
      <w:r w:rsidR="00D51AB3">
        <w:rPr>
          <w:rFonts w:ascii="Times New Roman" w:hAnsi="Times New Roman"/>
          <w:b/>
          <w:noProof/>
        </w:rPr>
        <w:t>12</w:t>
      </w:r>
      <w:r w:rsidR="001E4596" w:rsidRPr="00A05698">
        <w:rPr>
          <w:rFonts w:ascii="Times New Roman" w:hAnsi="Times New Roman"/>
          <w:b/>
        </w:rPr>
        <w:fldChar w:fldCharType="end"/>
      </w:r>
      <w:r w:rsidR="001E4596" w:rsidRPr="00A05698">
        <w:rPr>
          <w:rFonts w:ascii="Times New Roman" w:hAnsi="Times New Roman"/>
          <w:b/>
        </w:rPr>
        <w:t xml:space="preserve"> </w:t>
      </w:r>
      <w:r w:rsidRPr="00A05698">
        <w:rPr>
          <w:rFonts w:ascii="Times New Roman" w:hAnsi="Times New Roman"/>
          <w:b/>
        </w:rPr>
        <w:t>: Productions nettes des produits alimentaires 2020/2021</w:t>
      </w:r>
      <w:bookmarkEnd w:id="211"/>
    </w:p>
    <w:tbl>
      <w:tblPr>
        <w:tblW w:w="84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0"/>
        <w:gridCol w:w="2736"/>
        <w:gridCol w:w="2693"/>
      </w:tblGrid>
      <w:tr w:rsidR="000F7EB2" w:rsidRPr="00A05698" w:rsidTr="000F7EB2">
        <w:trPr>
          <w:jc w:val="center"/>
        </w:trPr>
        <w:tc>
          <w:tcPr>
            <w:tcW w:w="3070" w:type="dxa"/>
            <w:tcBorders>
              <w:bottom w:val="nil"/>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r w:rsidRPr="00A05698">
              <w:rPr>
                <w:rFonts w:ascii="Times New Roman" w:hAnsi="Times New Roman"/>
                <w:i/>
                <w:color w:val="000000"/>
                <w:sz w:val="22"/>
                <w:szCs w:val="22"/>
              </w:rPr>
              <w:t xml:space="preserve">      </w:t>
            </w:r>
            <w:r w:rsidRPr="00A05698">
              <w:rPr>
                <w:rFonts w:ascii="Times New Roman" w:hAnsi="Times New Roman"/>
                <w:b/>
                <w:i/>
                <w:color w:val="000000"/>
                <w:sz w:val="22"/>
                <w:szCs w:val="22"/>
              </w:rPr>
              <w:t>Céréales</w:t>
            </w:r>
          </w:p>
        </w:tc>
        <w:tc>
          <w:tcPr>
            <w:tcW w:w="5429" w:type="dxa"/>
            <w:gridSpan w:val="2"/>
            <w:tcBorders>
              <w:bottom w:val="single" w:sz="4" w:space="0" w:color="auto"/>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r w:rsidRPr="00A05698">
              <w:rPr>
                <w:rFonts w:ascii="Times New Roman" w:hAnsi="Times New Roman"/>
                <w:b/>
                <w:i/>
                <w:color w:val="000000"/>
                <w:sz w:val="22"/>
                <w:szCs w:val="22"/>
              </w:rPr>
              <w:t>Production</w:t>
            </w:r>
          </w:p>
        </w:tc>
      </w:tr>
      <w:tr w:rsidR="000F7EB2" w:rsidRPr="00A05698" w:rsidTr="000F7EB2">
        <w:trPr>
          <w:trHeight w:val="152"/>
          <w:jc w:val="center"/>
        </w:trPr>
        <w:tc>
          <w:tcPr>
            <w:tcW w:w="3070" w:type="dxa"/>
            <w:tcBorders>
              <w:top w:val="nil"/>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p>
        </w:tc>
        <w:tc>
          <w:tcPr>
            <w:tcW w:w="2736" w:type="dxa"/>
            <w:tcBorders>
              <w:top w:val="single" w:sz="4" w:space="0" w:color="auto"/>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r w:rsidRPr="00A05698">
              <w:rPr>
                <w:rFonts w:ascii="Times New Roman" w:hAnsi="Times New Roman"/>
                <w:b/>
                <w:i/>
                <w:color w:val="000000"/>
                <w:sz w:val="22"/>
                <w:szCs w:val="22"/>
              </w:rPr>
              <w:t>Brute (tonnes)</w:t>
            </w:r>
          </w:p>
        </w:tc>
        <w:tc>
          <w:tcPr>
            <w:tcW w:w="2693" w:type="dxa"/>
            <w:tcBorders>
              <w:top w:val="single" w:sz="4" w:space="0" w:color="auto"/>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r w:rsidRPr="00A05698">
              <w:rPr>
                <w:rFonts w:ascii="Times New Roman" w:hAnsi="Times New Roman"/>
                <w:b/>
                <w:i/>
                <w:color w:val="000000"/>
                <w:sz w:val="22"/>
                <w:szCs w:val="22"/>
              </w:rPr>
              <w:t>Nette (tonnes)*</w:t>
            </w:r>
          </w:p>
        </w:tc>
      </w:tr>
      <w:tr w:rsidR="000F7EB2" w:rsidRPr="00A05698" w:rsidTr="000F7EB2">
        <w:trPr>
          <w:jc w:val="center"/>
        </w:trPr>
        <w:tc>
          <w:tcPr>
            <w:tcW w:w="3070" w:type="dxa"/>
          </w:tcPr>
          <w:p w:rsidR="009B5A8F" w:rsidRPr="00A05698" w:rsidRDefault="009B5A8F" w:rsidP="000F7EB2">
            <w:pPr>
              <w:pStyle w:val="Corpodetexto"/>
              <w:spacing w:before="0" w:after="0"/>
              <w:rPr>
                <w:rFonts w:ascii="Times New Roman" w:hAnsi="Times New Roman"/>
                <w:i/>
                <w:color w:val="000000"/>
                <w:sz w:val="22"/>
                <w:szCs w:val="22"/>
              </w:rPr>
            </w:pPr>
            <w:r w:rsidRPr="00A05698">
              <w:rPr>
                <w:rFonts w:ascii="Times New Roman" w:hAnsi="Times New Roman"/>
                <w:i/>
                <w:color w:val="000000"/>
                <w:sz w:val="22"/>
                <w:szCs w:val="22"/>
              </w:rPr>
              <w:t>Riz</w:t>
            </w:r>
          </w:p>
        </w:tc>
        <w:tc>
          <w:tcPr>
            <w:tcW w:w="2736" w:type="dxa"/>
          </w:tcPr>
          <w:p w:rsidR="009B5A8F" w:rsidRPr="00A05698" w:rsidRDefault="009B5A8F" w:rsidP="000F7EB2">
            <w:pPr>
              <w:pStyle w:val="Corpodetexto"/>
              <w:spacing w:before="0" w:after="0"/>
              <w:jc w:val="right"/>
              <w:rPr>
                <w:rFonts w:ascii="Times New Roman" w:hAnsi="Times New Roman"/>
                <w:i/>
                <w:sz w:val="22"/>
                <w:szCs w:val="22"/>
              </w:rPr>
            </w:pPr>
            <w:r w:rsidRPr="00A05698">
              <w:rPr>
                <w:rFonts w:ascii="Times New Roman" w:hAnsi="Times New Roman"/>
                <w:i/>
                <w:sz w:val="22"/>
                <w:szCs w:val="22"/>
              </w:rPr>
              <w:t>198.142</w:t>
            </w:r>
          </w:p>
        </w:tc>
        <w:tc>
          <w:tcPr>
            <w:tcW w:w="2693" w:type="dxa"/>
          </w:tcPr>
          <w:p w:rsidR="009B5A8F" w:rsidRPr="00A05698" w:rsidRDefault="009B5A8F" w:rsidP="000F7EB2">
            <w:pPr>
              <w:pStyle w:val="Corpodetexto"/>
              <w:spacing w:before="0" w:after="0"/>
              <w:jc w:val="right"/>
              <w:rPr>
                <w:rFonts w:ascii="Times New Roman" w:hAnsi="Times New Roman"/>
                <w:i/>
                <w:sz w:val="22"/>
                <w:szCs w:val="22"/>
              </w:rPr>
            </w:pPr>
            <w:r w:rsidRPr="00A05698">
              <w:rPr>
                <w:rFonts w:ascii="Times New Roman" w:hAnsi="Times New Roman"/>
                <w:i/>
                <w:sz w:val="22"/>
                <w:szCs w:val="22"/>
              </w:rPr>
              <w:t>118.885</w:t>
            </w:r>
          </w:p>
        </w:tc>
      </w:tr>
      <w:tr w:rsidR="000F7EB2" w:rsidRPr="00A05698" w:rsidTr="000F7EB2">
        <w:trPr>
          <w:jc w:val="center"/>
        </w:trPr>
        <w:tc>
          <w:tcPr>
            <w:tcW w:w="3070" w:type="dxa"/>
          </w:tcPr>
          <w:p w:rsidR="009B5A8F" w:rsidRPr="00A05698" w:rsidRDefault="009B5A8F" w:rsidP="000F7EB2">
            <w:pPr>
              <w:pStyle w:val="Corpodetexto"/>
              <w:spacing w:before="0" w:after="0"/>
              <w:rPr>
                <w:rFonts w:ascii="Times New Roman" w:hAnsi="Times New Roman"/>
                <w:i/>
                <w:color w:val="000000"/>
                <w:sz w:val="22"/>
                <w:szCs w:val="22"/>
              </w:rPr>
            </w:pPr>
            <w:r w:rsidRPr="00A05698">
              <w:rPr>
                <w:rFonts w:ascii="Times New Roman" w:hAnsi="Times New Roman"/>
                <w:i/>
                <w:color w:val="000000"/>
                <w:sz w:val="22"/>
                <w:szCs w:val="22"/>
              </w:rPr>
              <w:t>Céréales Sèches</w:t>
            </w:r>
          </w:p>
        </w:tc>
        <w:tc>
          <w:tcPr>
            <w:tcW w:w="2736" w:type="dxa"/>
          </w:tcPr>
          <w:p w:rsidR="009B5A8F" w:rsidRPr="00A05698" w:rsidRDefault="009B5A8F" w:rsidP="000F7EB2">
            <w:pPr>
              <w:pStyle w:val="Corpodetexto"/>
              <w:spacing w:before="0" w:after="0"/>
              <w:jc w:val="right"/>
              <w:rPr>
                <w:rFonts w:ascii="Times New Roman" w:hAnsi="Times New Roman"/>
                <w:i/>
                <w:sz w:val="22"/>
                <w:szCs w:val="22"/>
              </w:rPr>
            </w:pPr>
            <w:r w:rsidRPr="00A05698">
              <w:rPr>
                <w:rFonts w:ascii="Times New Roman" w:hAnsi="Times New Roman"/>
                <w:i/>
                <w:sz w:val="22"/>
                <w:szCs w:val="22"/>
              </w:rPr>
              <w:t>59.362</w:t>
            </w:r>
          </w:p>
        </w:tc>
        <w:tc>
          <w:tcPr>
            <w:tcW w:w="2693" w:type="dxa"/>
          </w:tcPr>
          <w:p w:rsidR="009B5A8F" w:rsidRPr="00A05698" w:rsidRDefault="009B5A8F" w:rsidP="000F7EB2">
            <w:pPr>
              <w:pStyle w:val="Corpodetexto"/>
              <w:spacing w:before="0" w:after="0"/>
              <w:jc w:val="right"/>
              <w:rPr>
                <w:rFonts w:ascii="Times New Roman" w:hAnsi="Times New Roman"/>
                <w:i/>
                <w:sz w:val="22"/>
                <w:szCs w:val="22"/>
              </w:rPr>
            </w:pPr>
            <w:r w:rsidRPr="00A05698">
              <w:rPr>
                <w:rFonts w:ascii="Times New Roman" w:hAnsi="Times New Roman"/>
                <w:i/>
                <w:sz w:val="22"/>
                <w:szCs w:val="22"/>
              </w:rPr>
              <w:t>50.458</w:t>
            </w:r>
          </w:p>
        </w:tc>
      </w:tr>
      <w:tr w:rsidR="000F7EB2" w:rsidRPr="00A05698" w:rsidTr="000F7EB2">
        <w:trPr>
          <w:jc w:val="center"/>
        </w:trPr>
        <w:tc>
          <w:tcPr>
            <w:tcW w:w="3070" w:type="dxa"/>
          </w:tcPr>
          <w:p w:rsidR="009B5A8F" w:rsidRPr="00A05698" w:rsidRDefault="009B5A8F" w:rsidP="000F7EB2">
            <w:pPr>
              <w:pStyle w:val="Corpodetexto"/>
              <w:spacing w:before="0" w:after="0"/>
              <w:rPr>
                <w:rFonts w:ascii="Times New Roman" w:hAnsi="Times New Roman"/>
                <w:b/>
                <w:i/>
                <w:color w:val="000000"/>
                <w:sz w:val="22"/>
                <w:szCs w:val="22"/>
              </w:rPr>
            </w:pPr>
            <w:r w:rsidRPr="00A05698">
              <w:rPr>
                <w:rFonts w:ascii="Times New Roman" w:hAnsi="Times New Roman"/>
                <w:b/>
                <w:i/>
                <w:color w:val="000000"/>
                <w:sz w:val="22"/>
                <w:szCs w:val="22"/>
              </w:rPr>
              <w:t>Total</w:t>
            </w:r>
          </w:p>
        </w:tc>
        <w:tc>
          <w:tcPr>
            <w:tcW w:w="2736" w:type="dxa"/>
          </w:tcPr>
          <w:p w:rsidR="009B5A8F" w:rsidRPr="00A05698" w:rsidRDefault="009B5A8F" w:rsidP="000F7EB2">
            <w:pPr>
              <w:pStyle w:val="Corpodetexto"/>
              <w:spacing w:before="0" w:after="0"/>
              <w:jc w:val="right"/>
              <w:rPr>
                <w:rFonts w:ascii="Times New Roman" w:hAnsi="Times New Roman"/>
                <w:b/>
                <w:i/>
                <w:sz w:val="22"/>
                <w:szCs w:val="22"/>
              </w:rPr>
            </w:pPr>
            <w:r w:rsidRPr="00A05698">
              <w:rPr>
                <w:rFonts w:ascii="Times New Roman" w:hAnsi="Times New Roman"/>
                <w:b/>
                <w:i/>
                <w:sz w:val="22"/>
                <w:szCs w:val="22"/>
              </w:rPr>
              <w:t>257.504</w:t>
            </w:r>
          </w:p>
        </w:tc>
        <w:tc>
          <w:tcPr>
            <w:tcW w:w="2693" w:type="dxa"/>
          </w:tcPr>
          <w:p w:rsidR="009B5A8F" w:rsidRPr="00A05698" w:rsidRDefault="009B5A8F" w:rsidP="000F7EB2">
            <w:pPr>
              <w:pStyle w:val="Corpodetexto"/>
              <w:spacing w:before="0" w:after="0"/>
              <w:jc w:val="right"/>
              <w:rPr>
                <w:rFonts w:ascii="Times New Roman" w:hAnsi="Times New Roman"/>
                <w:b/>
                <w:i/>
                <w:sz w:val="22"/>
                <w:szCs w:val="22"/>
              </w:rPr>
            </w:pPr>
            <w:r w:rsidRPr="00A05698">
              <w:rPr>
                <w:rFonts w:ascii="Times New Roman" w:hAnsi="Times New Roman"/>
                <w:b/>
                <w:i/>
                <w:sz w:val="22"/>
                <w:szCs w:val="22"/>
              </w:rPr>
              <w:t>169.343</w:t>
            </w:r>
          </w:p>
        </w:tc>
      </w:tr>
    </w:tbl>
    <w:p w:rsidR="00A22110" w:rsidRDefault="00A22110" w:rsidP="00A22110">
      <w:pPr>
        <w:jc w:val="both"/>
        <w:rPr>
          <w:i/>
        </w:rPr>
      </w:pPr>
      <w:r w:rsidRPr="00A22110">
        <w:rPr>
          <w:i/>
        </w:rPr>
        <w:t>Source : S</w:t>
      </w:r>
      <w:r>
        <w:rPr>
          <w:i/>
        </w:rPr>
        <w:t>ervice de statistique agricole</w:t>
      </w:r>
      <w:r w:rsidRPr="00A22110">
        <w:rPr>
          <w:i/>
        </w:rPr>
        <w:t>/MADR</w:t>
      </w:r>
      <w:r>
        <w:rPr>
          <w:i/>
        </w:rPr>
        <w:t>, 2021</w:t>
      </w:r>
    </w:p>
    <w:p w:rsidR="00A22110" w:rsidRPr="00A22110" w:rsidRDefault="00A22110" w:rsidP="00A22110">
      <w:pPr>
        <w:jc w:val="both"/>
        <w:rPr>
          <w:i/>
        </w:rPr>
      </w:pPr>
    </w:p>
    <w:p w:rsidR="009B5A8F" w:rsidRPr="00A05698" w:rsidRDefault="00A22110" w:rsidP="000F7EB2">
      <w:pPr>
        <w:ind w:left="-284" w:right="-851"/>
        <w:jc w:val="both"/>
      </w:pPr>
      <w:r w:rsidRPr="00A05698" w:rsidDel="00A22110">
        <w:rPr>
          <w:b/>
          <w:color w:val="000000"/>
        </w:rPr>
        <w:t xml:space="preserve"> </w:t>
      </w:r>
      <w:r w:rsidR="009B5A8F" w:rsidRPr="00A05698">
        <w:t>(*) Production disponible en céréales sèches = Production brute x 85% (15% de pertes et semences) ;</w:t>
      </w:r>
    </w:p>
    <w:p w:rsidR="00E33F83" w:rsidRPr="00A05698" w:rsidRDefault="009B5A8F" w:rsidP="000F7EB2">
      <w:pPr>
        <w:ind w:left="-284" w:right="-851"/>
        <w:jc w:val="both"/>
      </w:pPr>
      <w:r w:rsidRPr="00A05698">
        <w:t>Production disponible en riz = Production brute x 60% (perte, semences et taux d’usinage).</w:t>
      </w:r>
      <w:bookmarkStart w:id="212" w:name="_Toc535396941"/>
      <w:bookmarkStart w:id="213" w:name="_Toc6310481"/>
      <w:bookmarkStart w:id="214" w:name="_Toc51084447"/>
    </w:p>
    <w:p w:rsidR="009F2191" w:rsidRPr="00A05698" w:rsidRDefault="009F2191" w:rsidP="009F2191">
      <w:pPr>
        <w:pStyle w:val="PargrafodaLista"/>
        <w:keepNext/>
        <w:spacing w:before="240" w:after="240" w:line="240" w:lineRule="auto"/>
        <w:ind w:left="1158" w:right="284" w:firstLine="258"/>
        <w:jc w:val="both"/>
        <w:outlineLvl w:val="2"/>
        <w:rPr>
          <w:rFonts w:ascii="Times New Roman" w:hAnsi="Times New Roman"/>
          <w:b/>
          <w:sz w:val="24"/>
          <w:szCs w:val="24"/>
        </w:rPr>
      </w:pPr>
      <w:r w:rsidRPr="00A05698">
        <w:rPr>
          <w:rFonts w:ascii="Times New Roman" w:hAnsi="Times New Roman"/>
          <w:b/>
          <w:sz w:val="24"/>
          <w:szCs w:val="24"/>
        </w:rPr>
        <w:t>4</w:t>
      </w:r>
      <w:r w:rsidR="007C0EBB" w:rsidRPr="00A05698">
        <w:rPr>
          <w:rFonts w:ascii="Times New Roman" w:hAnsi="Times New Roman"/>
          <w:b/>
          <w:sz w:val="24"/>
          <w:szCs w:val="24"/>
        </w:rPr>
        <w:t>.4.5.  Ressources halieutiques</w:t>
      </w:r>
      <w:bookmarkEnd w:id="212"/>
      <w:bookmarkEnd w:id="213"/>
      <w:bookmarkEnd w:id="214"/>
    </w:p>
    <w:p w:rsidR="007C0EBB" w:rsidRPr="00A05698" w:rsidRDefault="007C0EBB" w:rsidP="00157035">
      <w:pPr>
        <w:pStyle w:val="PargrafodaLista"/>
        <w:numPr>
          <w:ilvl w:val="0"/>
          <w:numId w:val="57"/>
        </w:numPr>
        <w:spacing w:before="100" w:beforeAutospacing="1" w:after="100" w:afterAutospacing="1"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 xml:space="preserve">Potentialités du secteur </w:t>
      </w:r>
    </w:p>
    <w:p w:rsidR="007C0EBB" w:rsidRPr="00A05698" w:rsidRDefault="007C0EBB" w:rsidP="00E6467D">
      <w:pPr>
        <w:ind w:left="-284" w:right="-851"/>
        <w:jc w:val="both"/>
      </w:pPr>
      <w:r w:rsidRPr="00A05698">
        <w:t>Le pays possède un plateau continental de 45 000 km² s’étendant au sud-est de l</w:t>
      </w:r>
      <w:r w:rsidR="00A05714" w:rsidRPr="00A05698">
        <w:t>’</w:t>
      </w:r>
      <w:r w:rsidRPr="00A05698">
        <w:t xml:space="preserve">archipel des Bijagos. Le long de celui-ci, il y a trois zones de pêche bien définies : (i) une zone avec des profondeurs inférieures à </w:t>
      </w:r>
      <w:r w:rsidR="005C21FC" w:rsidRPr="00A05698">
        <w:t>10 m, accessible aux petits bateaux de pêche artisanale ; (</w:t>
      </w:r>
      <w:r w:rsidRPr="00A05698">
        <w:t>ii</w:t>
      </w:r>
      <w:r w:rsidR="005C21FC" w:rsidRPr="00A05698">
        <w:t>) une zone avec des</w:t>
      </w:r>
      <w:r w:rsidRPr="00A05698">
        <w:t xml:space="preserve"> profondeurs de 10-20 m et (iii) une zone de 15 000 km², qui s’étend jusqu’à 120 miles nautiques, avec </w:t>
      </w:r>
      <w:r w:rsidR="005C21FC" w:rsidRPr="00A05698">
        <w:t xml:space="preserve">des </w:t>
      </w:r>
      <w:r w:rsidR="00681BD5" w:rsidRPr="00A05698">
        <w:t>profondeurs allant</w:t>
      </w:r>
      <w:r w:rsidRPr="00A05698">
        <w:t xml:space="preserve"> de </w:t>
      </w:r>
      <w:r w:rsidR="00BE0248" w:rsidRPr="00A05698">
        <w:t>20 à</w:t>
      </w:r>
      <w:r w:rsidRPr="00A05698">
        <w:t xml:space="preserve">  200  m,  dans laquelle  opère  la flotte industrielle  étrangère.  Avec un potentiel d’exploitation des ressources halieutiques estimé à 275 000 tonnes/an, le secteur de la pêche (industrielle, semi-industrielle et artisanale) emploie actuellement environ 10 000 personnes et contribue pour 4% du PIB5 et pour 40% du budget général de l’État. La grande productivité de la ZEE (notamment grâce aux importantes superficies de mangroves et à l’archipel des Bijagós) attire des pêcheurs étrangers, tant au niveau industriel qu’artisanal. </w:t>
      </w:r>
    </w:p>
    <w:p w:rsidR="007C0EBB" w:rsidRPr="00A05698" w:rsidRDefault="007C0EBB" w:rsidP="00157035">
      <w:pPr>
        <w:pStyle w:val="PargrafodaLista"/>
        <w:numPr>
          <w:ilvl w:val="0"/>
          <w:numId w:val="57"/>
        </w:numPr>
        <w:spacing w:before="100" w:beforeAutospacing="1" w:after="100" w:afterAutospacing="1"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Potentiel d’embarcations et de débarquements</w:t>
      </w:r>
    </w:p>
    <w:p w:rsidR="007C0EBB" w:rsidRPr="00A05698" w:rsidRDefault="007C0EBB" w:rsidP="00E6467D">
      <w:pPr>
        <w:ind w:left="-284" w:right="-851"/>
        <w:jc w:val="both"/>
      </w:pPr>
      <w:r w:rsidRPr="00A05698">
        <w:t>Selon la Direction de la Pêche Artisanale, 1426 licences de pêche ont été émises en 2016 pour 1106 pirogues au total, toutes catégories confondues, réparties comme suit : Guinée-Bissau (75%), Sénégal (16), Guinée Conakry (8) et Brésil (1).  Pour l’année 2017, selon les données provisoirement disponibles de la Direction de la Pêche Artisanale, environ 350 licences ont été émises et concernent pour la majorité des embarcations étrangères.</w:t>
      </w:r>
    </w:p>
    <w:p w:rsidR="007C0EBB" w:rsidRPr="00A05698" w:rsidRDefault="007C0EBB" w:rsidP="00157035">
      <w:pPr>
        <w:pStyle w:val="PargrafodaLista"/>
        <w:numPr>
          <w:ilvl w:val="0"/>
          <w:numId w:val="57"/>
        </w:numPr>
        <w:spacing w:before="100" w:beforeAutospacing="1" w:after="100" w:afterAutospacing="1"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Pêche industrielle</w:t>
      </w:r>
    </w:p>
    <w:p w:rsidR="007C0EBB" w:rsidRPr="00A05698" w:rsidRDefault="007C0EBB" w:rsidP="009F2191">
      <w:pPr>
        <w:ind w:left="-284" w:right="-851"/>
        <w:jc w:val="both"/>
      </w:pPr>
      <w:r w:rsidRPr="00A05698">
        <w:t>La pêche industrielle est surtout pratiquée par des embarcations étrangères, et la flottille est composée d’embarcations de pêche aux poissons, aux céphalopodes, aux crevettes et aux tons. Il existe aussi des embarcations de pélagiques et de pêche à la palangre. Les principales pressions imposées par la pêche industrielle sont :  la surpêche des espèces à valeur commerciale et les prises accidentelles d’autres espèces (non autorisée par le permis), l’utilisation d’équipements non conformes (comme des filets à petite maille), la violation de l’interdiction de la pêche industrielle à l’intérieur des 12 mN, la pêche sans permis et la repêche d’animaux marins rares tels que les tortues marines ou les lamantins. La surpêche menace aussi bien les ressources biologiques, essentielles aux communautés de la zone côtière, que la biodiversité.</w:t>
      </w:r>
    </w:p>
    <w:p w:rsidR="007C0EBB" w:rsidRPr="00A05698" w:rsidRDefault="007C0EBB" w:rsidP="00157035">
      <w:pPr>
        <w:pStyle w:val="PargrafodaLista"/>
        <w:numPr>
          <w:ilvl w:val="0"/>
          <w:numId w:val="57"/>
        </w:numPr>
        <w:spacing w:before="100" w:beforeAutospacing="1" w:after="100" w:afterAutospacing="1"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Pêche artisanale</w:t>
      </w:r>
    </w:p>
    <w:p w:rsidR="007C0EBB" w:rsidRPr="00A05698" w:rsidRDefault="007C0EBB" w:rsidP="009F2191">
      <w:pPr>
        <w:ind w:left="-284" w:right="-851"/>
        <w:jc w:val="both"/>
      </w:pPr>
      <w:r w:rsidRPr="00A05698">
        <w:t>La pêche artisanale se pratique dans les fleuves et les estuaires le long de la côte, en particulier dans l</w:t>
      </w:r>
      <w:r w:rsidR="00A05714" w:rsidRPr="00A05698">
        <w:t>’</w:t>
      </w:r>
      <w:r w:rsidRPr="00A05698">
        <w:t>archipel des Bijagos, Cacheu et Cacine, où sont exploités le mulet et des pélagiques djafal (Ethmalosa) qui constituent environ 80% des prises. Le droit de la pêche artisanale est réservé à 12 miles nautiques, y compris les eaux entre les îles et les estuaires.  La pêche artisanale joue un rôle important vis-à-vis du développement socio-économique du pays.  Elle est considérée comme une source d</w:t>
      </w:r>
      <w:r w:rsidR="00A05714" w:rsidRPr="00A05698">
        <w:t>’</w:t>
      </w:r>
      <w:r w:rsidRPr="00A05698">
        <w:t>approvisionnement de protéines animales pour la majorité de la population côtière et contribue à la fois la sécurité alimentaire, la nutrition, ainsi qu’à la création d</w:t>
      </w:r>
      <w:r w:rsidR="00A05714" w:rsidRPr="00A05698">
        <w:t>’</w:t>
      </w:r>
      <w:r w:rsidRPr="00A05698">
        <w:t>emplois.  En outre, elle fournit de la matière première aux activités transformatrices et aux petits commerces (surtout exercés par les femmes). Les pêcheurs artisanaux de la Guinée Bissau pratiquent surtout une pêche de subsistance et possèdent20% des embarcations motorisées existantes. Les pressions sur l’environnement exercées par les pêcheurs artisanaux en Guinée Bissau sont liées à l’utilisation de filets de plusieurs centaines de mètres installés sur toute la largeur des bras de rivières et à l’utilisation de filets de petites   mailles.</w:t>
      </w:r>
    </w:p>
    <w:p w:rsidR="007C0EBB" w:rsidRPr="00A05698" w:rsidRDefault="001B552C"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215" w:name="_Toc17385799"/>
      <w:bookmarkStart w:id="216" w:name="_Toc51084448"/>
      <w:r w:rsidRPr="00A05698">
        <w:rPr>
          <w:rFonts w:ascii="Times New Roman" w:hAnsi="Times New Roman"/>
          <w:b/>
          <w:sz w:val="24"/>
          <w:szCs w:val="24"/>
        </w:rPr>
        <w:t>4</w:t>
      </w:r>
      <w:r w:rsidR="007C0EBB" w:rsidRPr="00A05698">
        <w:rPr>
          <w:rFonts w:ascii="Times New Roman" w:hAnsi="Times New Roman"/>
          <w:b/>
          <w:sz w:val="24"/>
          <w:szCs w:val="24"/>
        </w:rPr>
        <w:t>.4.6. Santé</w:t>
      </w:r>
      <w:bookmarkEnd w:id="215"/>
      <w:bookmarkEnd w:id="216"/>
      <w:r w:rsidR="007C0EBB" w:rsidRPr="00A05698">
        <w:rPr>
          <w:rFonts w:ascii="Times New Roman" w:hAnsi="Times New Roman"/>
          <w:b/>
          <w:sz w:val="24"/>
          <w:szCs w:val="24"/>
        </w:rPr>
        <w:t xml:space="preserve"> </w:t>
      </w:r>
    </w:p>
    <w:p w:rsidR="00F8229B" w:rsidRPr="00A05698" w:rsidRDefault="00F8229B" w:rsidP="00743186">
      <w:pPr>
        <w:ind w:left="-284" w:right="-851"/>
        <w:jc w:val="both"/>
      </w:pPr>
      <w:r w:rsidRPr="00A05698">
        <w:t>Le profil épidémiologique est toujours caractérisé par la prédominance des maladies transmissibles et non transmissibles avec émergence des nouvelles maladies, accentué par les conditions défavorables du milieu et la prédominance des comportements à risque comme le tabagisme, alcoolisme, consommation de la drogue et pratiques sexuelles à risque. Tous ces facteurs déterminants jouent aussi en interaction avec la présence d’une alimentation déséquilibrée. Ce profil est également aggravé par un système de santé déficient qui n’arrive pas à donner des réponses favorables aux exigences de la population, ayant pour conséquence un taux élevé de mortalité maternelle (5490 /000 naissances vivantes) et infantile (55,4</w:t>
      </w:r>
      <w:r w:rsidR="004530F9" w:rsidRPr="00A05698">
        <w:t>‰, MICS</w:t>
      </w:r>
      <w:r w:rsidRPr="00A05698">
        <w:t xml:space="preserve"> 2014) dont les causes principales sont les complications néonatales (23%), les IRA (23%), le paludisme (21%), les maladies diarrhéiques (19%) et la malnutrition (33%). L’Indice Synthétique de Fécondité (ISF) est de 4,9 enfants par femme en âge de procréer (15-49 ans). Le taux de fécondité est de 106% chez les 15-19 ans (MICS2014) du fait que la vie procréative des femmes commence tôt et se termine assez tardivement. Les causes sont : le mariage précoce et les rapports sexuels précoces surtout chez les jeunes filles en mariage intergénérationnel et le faible taux de prévalence contraceptive. Les mutilations génitales féminines touchent 49,7% des filles âgées de 0-14 ans (MICS 2014). Selon les résultats MICS 2014, 41,8% </w:t>
      </w:r>
      <w:r w:rsidR="005A530B" w:rsidRPr="009D1492">
        <w:t>filles</w:t>
      </w:r>
      <w:r w:rsidR="005A530B">
        <w:t xml:space="preserve"> et femmes de plus de 15 ans</w:t>
      </w:r>
      <w:r w:rsidR="00FE49EB">
        <w:t>.</w:t>
      </w:r>
    </w:p>
    <w:p w:rsidR="000461D6" w:rsidRPr="00A05698" w:rsidRDefault="000461D6" w:rsidP="00C87747">
      <w:pPr>
        <w:pStyle w:val="Primeiroavanodecorpodetexto2"/>
        <w:spacing w:after="0" w:line="240" w:lineRule="auto"/>
        <w:jc w:val="center"/>
        <w:rPr>
          <w:rFonts w:ascii="Times New Roman" w:hAnsi="Times New Roman"/>
          <w:b/>
        </w:rPr>
      </w:pPr>
      <w:bookmarkStart w:id="217" w:name="_Toc51084847"/>
      <w:bookmarkStart w:id="218" w:name="_Toc73522619"/>
      <w:r w:rsidRPr="00A05698">
        <w:rPr>
          <w:rFonts w:ascii="Times New Roman" w:hAnsi="Times New Roman"/>
          <w:b/>
        </w:rPr>
        <w:t xml:space="preserve">Tableau </w:t>
      </w:r>
      <w:r w:rsidR="00121744" w:rsidRPr="00A05698">
        <w:rPr>
          <w:rFonts w:ascii="Times New Roman" w:hAnsi="Times New Roman"/>
          <w:b/>
        </w:rPr>
        <w:fldChar w:fldCharType="begin"/>
      </w:r>
      <w:r w:rsidR="00121744" w:rsidRPr="00A05698">
        <w:rPr>
          <w:rFonts w:ascii="Times New Roman" w:hAnsi="Times New Roman"/>
          <w:b/>
        </w:rPr>
        <w:instrText xml:space="preserve"> </w:instrText>
      </w:r>
      <w:r w:rsidR="006C5620">
        <w:rPr>
          <w:rFonts w:ascii="Times New Roman" w:hAnsi="Times New Roman"/>
          <w:b/>
        </w:rPr>
        <w:instrText>SEQ</w:instrText>
      </w:r>
      <w:r w:rsidR="00121744" w:rsidRPr="00A05698">
        <w:rPr>
          <w:rFonts w:ascii="Times New Roman" w:hAnsi="Times New Roman"/>
          <w:b/>
        </w:rPr>
        <w:instrText xml:space="preserve"> Tableau \* ARABIC </w:instrText>
      </w:r>
      <w:r w:rsidR="00121744" w:rsidRPr="00A05698">
        <w:rPr>
          <w:rFonts w:ascii="Times New Roman" w:hAnsi="Times New Roman"/>
          <w:b/>
        </w:rPr>
        <w:fldChar w:fldCharType="separate"/>
      </w:r>
      <w:r w:rsidR="00D51AB3">
        <w:rPr>
          <w:rFonts w:ascii="Times New Roman" w:hAnsi="Times New Roman"/>
          <w:b/>
          <w:noProof/>
        </w:rPr>
        <w:t>13</w:t>
      </w:r>
      <w:r w:rsidR="00121744" w:rsidRPr="00A05698">
        <w:rPr>
          <w:rFonts w:ascii="Times New Roman" w:hAnsi="Times New Roman"/>
          <w:b/>
        </w:rPr>
        <w:fldChar w:fldCharType="end"/>
      </w:r>
      <w:r w:rsidRPr="00A05698">
        <w:rPr>
          <w:rFonts w:ascii="Times New Roman" w:hAnsi="Times New Roman"/>
          <w:b/>
        </w:rPr>
        <w:t>: Indicateurs de santé</w:t>
      </w:r>
      <w:bookmarkEnd w:id="217"/>
      <w:bookmarkEnd w:id="218"/>
    </w:p>
    <w:p w:rsidR="000461D6" w:rsidRPr="00A05698" w:rsidRDefault="000461D6" w:rsidP="00743186">
      <w:pPr>
        <w:ind w:left="-284" w:right="-851"/>
        <w:jc w:val="both"/>
      </w:pPr>
    </w:p>
    <w:p w:rsidR="007C0EBB" w:rsidRPr="00F0119C" w:rsidRDefault="000461D6" w:rsidP="007D11CE">
      <w:pPr>
        <w:ind w:left="-284" w:right="-851"/>
        <w:jc w:val="center"/>
        <w:rPr>
          <w:rFonts w:eastAsia="Times New Roman"/>
          <w:i/>
          <w:sz w:val="20"/>
          <w:szCs w:val="20"/>
        </w:rPr>
      </w:pPr>
      <w:r w:rsidRPr="00F0119C">
        <w:rPr>
          <w:i/>
          <w:noProof/>
          <w:sz w:val="20"/>
          <w:szCs w:val="20"/>
          <w:lang w:val="pt-PT" w:eastAsia="pt-PT"/>
        </w:rPr>
        <w:drawing>
          <wp:anchor distT="0" distB="0" distL="114300" distR="114300" simplePos="0" relativeHeight="251658273" behindDoc="0" locked="0" layoutInCell="1" allowOverlap="1" wp14:anchorId="4C9EEB5C" wp14:editId="07B7F920">
            <wp:simplePos x="0" y="0"/>
            <wp:positionH relativeFrom="column">
              <wp:posOffset>3145155</wp:posOffset>
            </wp:positionH>
            <wp:positionV relativeFrom="paragraph">
              <wp:posOffset>4445</wp:posOffset>
            </wp:positionV>
            <wp:extent cx="3233420" cy="3212465"/>
            <wp:effectExtent l="0" t="0" r="0" b="0"/>
            <wp:wrapTight wrapText="bothSides">
              <wp:wrapPolygon edited="0">
                <wp:start x="0" y="0"/>
                <wp:lineTo x="0" y="21348"/>
                <wp:lineTo x="21379" y="21348"/>
                <wp:lineTo x="21379" y="0"/>
                <wp:lineTo x="0" y="0"/>
              </wp:wrapPolygon>
            </wp:wrapTight>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t.jpeg"/>
                    <pic:cNvPicPr/>
                  </pic:nvPicPr>
                  <pic:blipFill>
                    <a:blip r:embed="rId52">
                      <a:extLst>
                        <a:ext uri="{28A0092B-C50C-407E-A947-70E740481C1C}">
                          <a14:useLocalDpi xmlns:a14="http://schemas.microsoft.com/office/drawing/2010/main" val="0"/>
                        </a:ext>
                      </a:extLst>
                    </a:blip>
                    <a:stretch>
                      <a:fillRect/>
                    </a:stretch>
                  </pic:blipFill>
                  <pic:spPr>
                    <a:xfrm>
                      <a:off x="0" y="0"/>
                      <a:ext cx="3233420" cy="3212465"/>
                    </a:xfrm>
                    <a:prstGeom prst="rect">
                      <a:avLst/>
                    </a:prstGeom>
                  </pic:spPr>
                </pic:pic>
              </a:graphicData>
            </a:graphic>
            <wp14:sizeRelH relativeFrom="page">
              <wp14:pctWidth>0</wp14:pctWidth>
            </wp14:sizeRelH>
            <wp14:sizeRelV relativeFrom="page">
              <wp14:pctHeight>0</wp14:pctHeight>
            </wp14:sizeRelV>
          </wp:anchor>
        </w:drawing>
      </w:r>
      <w:r w:rsidRPr="00F0119C">
        <w:rPr>
          <w:i/>
          <w:noProof/>
          <w:sz w:val="20"/>
          <w:szCs w:val="20"/>
          <w:lang w:val="pt-PT" w:eastAsia="pt-PT"/>
        </w:rPr>
        <w:drawing>
          <wp:anchor distT="0" distB="0" distL="114300" distR="114300" simplePos="0" relativeHeight="251658268" behindDoc="0" locked="0" layoutInCell="1" allowOverlap="1" wp14:anchorId="37DCE5CA" wp14:editId="306853D2">
            <wp:simplePos x="0" y="0"/>
            <wp:positionH relativeFrom="column">
              <wp:posOffset>-353695</wp:posOffset>
            </wp:positionH>
            <wp:positionV relativeFrom="paragraph">
              <wp:posOffset>16510</wp:posOffset>
            </wp:positionV>
            <wp:extent cx="3459480" cy="3212465"/>
            <wp:effectExtent l="0" t="0" r="0" b="0"/>
            <wp:wrapTight wrapText="bothSides">
              <wp:wrapPolygon edited="0">
                <wp:start x="0" y="0"/>
                <wp:lineTo x="0" y="21348"/>
                <wp:lineTo x="21410" y="21348"/>
                <wp:lineTo x="21410" y="0"/>
                <wp:lineTo x="0" y="0"/>
              </wp:wrapPolygon>
            </wp:wrapTight>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de.jpeg"/>
                    <pic:cNvPicPr/>
                  </pic:nvPicPr>
                  <pic:blipFill>
                    <a:blip r:embed="rId53">
                      <a:extLst>
                        <a:ext uri="{28A0092B-C50C-407E-A947-70E740481C1C}">
                          <a14:useLocalDpi xmlns:a14="http://schemas.microsoft.com/office/drawing/2010/main" val="0"/>
                        </a:ext>
                      </a:extLst>
                    </a:blip>
                    <a:stretch>
                      <a:fillRect/>
                    </a:stretch>
                  </pic:blipFill>
                  <pic:spPr>
                    <a:xfrm>
                      <a:off x="0" y="0"/>
                      <a:ext cx="3459480" cy="3212465"/>
                    </a:xfrm>
                    <a:prstGeom prst="rect">
                      <a:avLst/>
                    </a:prstGeom>
                  </pic:spPr>
                </pic:pic>
              </a:graphicData>
            </a:graphic>
            <wp14:sizeRelH relativeFrom="page">
              <wp14:pctWidth>0</wp14:pctWidth>
            </wp14:sizeRelH>
            <wp14:sizeRelV relativeFrom="page">
              <wp14:pctHeight>0</wp14:pctHeight>
            </wp14:sizeRelV>
          </wp:anchor>
        </w:drawing>
      </w:r>
      <w:r w:rsidR="00DC0923" w:rsidRPr="00F0119C">
        <w:rPr>
          <w:rFonts w:eastAsia="Times New Roman"/>
          <w:i/>
          <w:sz w:val="20"/>
          <w:szCs w:val="20"/>
        </w:rPr>
        <w:t xml:space="preserve">Source de </w:t>
      </w:r>
      <w:r w:rsidR="004530F9" w:rsidRPr="00F0119C">
        <w:rPr>
          <w:rFonts w:eastAsia="Times New Roman"/>
          <w:i/>
          <w:sz w:val="20"/>
          <w:szCs w:val="20"/>
        </w:rPr>
        <w:t>données :</w:t>
      </w:r>
      <w:r w:rsidR="00DC0923" w:rsidRPr="00F0119C">
        <w:rPr>
          <w:rFonts w:eastAsia="Times New Roman"/>
          <w:i/>
          <w:sz w:val="20"/>
          <w:szCs w:val="20"/>
        </w:rPr>
        <w:t xml:space="preserve"> Observatoire mondial de la santé, 2017</w:t>
      </w:r>
    </w:p>
    <w:p w:rsidR="00BB71BA" w:rsidRDefault="00BB71BA" w:rsidP="007D11CE">
      <w:pPr>
        <w:ind w:left="-284" w:right="-851"/>
        <w:jc w:val="center"/>
        <w:rPr>
          <w:rFonts w:eastAsia="Times New Roman"/>
        </w:rPr>
      </w:pPr>
    </w:p>
    <w:p w:rsidR="00B53D8D" w:rsidRDefault="00B53D8D" w:rsidP="00B53D8D">
      <w:pPr>
        <w:ind w:left="-284" w:right="-851"/>
        <w:rPr>
          <w:rFonts w:eastAsia="Times New Roman"/>
        </w:rPr>
      </w:pPr>
      <w:r>
        <w:rPr>
          <w:rFonts w:eastAsia="Times New Roman"/>
        </w:rPr>
        <w:t xml:space="preserve">Ainsi, concernant les données par rapport à la situation de la Covid 19 </w:t>
      </w:r>
      <w:r w:rsidR="00C914CF">
        <w:rPr>
          <w:rFonts w:eastAsia="Times New Roman"/>
        </w:rPr>
        <w:t xml:space="preserve">dans les régions </w:t>
      </w:r>
      <w:r w:rsidR="00A82844">
        <w:rPr>
          <w:rFonts w:eastAsia="Times New Roman"/>
        </w:rPr>
        <w:t xml:space="preserve">n’est </w:t>
      </w:r>
      <w:r w:rsidR="00C914CF">
        <w:rPr>
          <w:rFonts w:eastAsia="Times New Roman"/>
        </w:rPr>
        <w:t xml:space="preserve">pas </w:t>
      </w:r>
      <w:r w:rsidR="00A82844">
        <w:rPr>
          <w:rFonts w:eastAsia="Times New Roman"/>
        </w:rPr>
        <w:t>encore</w:t>
      </w:r>
      <w:r w:rsidR="00C914CF">
        <w:rPr>
          <w:rFonts w:eastAsia="Times New Roman"/>
        </w:rPr>
        <w:t xml:space="preserve"> disponible. Mais la situati</w:t>
      </w:r>
      <w:r w:rsidR="00DC7FF8">
        <w:rPr>
          <w:rFonts w:eastAsia="Times New Roman"/>
        </w:rPr>
        <w:t xml:space="preserve">on </w:t>
      </w:r>
      <w:r w:rsidR="007E1FCA">
        <w:rPr>
          <w:rFonts w:eastAsia="Times New Roman"/>
        </w:rPr>
        <w:t>du 22 Mars 2021</w:t>
      </w:r>
      <w:r w:rsidR="00DC7FF8">
        <w:rPr>
          <w:rFonts w:eastAsia="Times New Roman"/>
        </w:rPr>
        <w:t xml:space="preserve"> est </w:t>
      </w:r>
      <w:r w:rsidR="004549AE">
        <w:rPr>
          <w:rFonts w:eastAsia="Times New Roman"/>
        </w:rPr>
        <w:t>représentée</w:t>
      </w:r>
      <w:r w:rsidR="00DC7FF8">
        <w:rPr>
          <w:rFonts w:eastAsia="Times New Roman"/>
        </w:rPr>
        <w:t xml:space="preserve"> ci-dessous</w:t>
      </w:r>
      <w:r w:rsidR="004549AE">
        <w:rPr>
          <w:rFonts w:eastAsia="Times New Roman"/>
        </w:rPr>
        <w:t> :</w:t>
      </w:r>
    </w:p>
    <w:tbl>
      <w:tblPr>
        <w:tblStyle w:val="Tabelacomgrelha"/>
        <w:tblW w:w="0" w:type="auto"/>
        <w:jc w:val="center"/>
        <w:tblLook w:val="04A0" w:firstRow="1" w:lastRow="0" w:firstColumn="1" w:lastColumn="0" w:noHBand="0" w:noVBand="1"/>
      </w:tblPr>
      <w:tblGrid>
        <w:gridCol w:w="2367"/>
        <w:gridCol w:w="2029"/>
        <w:gridCol w:w="1902"/>
        <w:gridCol w:w="1728"/>
      </w:tblGrid>
      <w:tr w:rsidR="005B7680" w:rsidRPr="007E1FCA" w:rsidTr="00BB0741">
        <w:trPr>
          <w:jc w:val="center"/>
        </w:trPr>
        <w:tc>
          <w:tcPr>
            <w:tcW w:w="2367" w:type="dxa"/>
            <w:shd w:val="clear" w:color="auto" w:fill="auto"/>
            <w:vAlign w:val="center"/>
          </w:tcPr>
          <w:p w:rsidR="00F347E4" w:rsidRPr="005B7680" w:rsidRDefault="005B7680" w:rsidP="00BB07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02124"/>
                <w:sz w:val="21"/>
                <w:szCs w:val="21"/>
              </w:rPr>
            </w:pPr>
            <w:r w:rsidRPr="005B7680">
              <w:rPr>
                <w:b/>
                <w:color w:val="202124"/>
                <w:sz w:val="21"/>
                <w:szCs w:val="21"/>
              </w:rPr>
              <w:t>Nombre</w:t>
            </w:r>
            <w:r w:rsidR="00F347E4" w:rsidRPr="00F40A55">
              <w:rPr>
                <w:b/>
                <w:color w:val="202124"/>
                <w:sz w:val="21"/>
                <w:szCs w:val="21"/>
              </w:rPr>
              <w:t xml:space="preserve"> total de cas confirmés</w:t>
            </w:r>
          </w:p>
        </w:tc>
        <w:tc>
          <w:tcPr>
            <w:tcW w:w="2029" w:type="dxa"/>
            <w:shd w:val="clear" w:color="auto" w:fill="auto"/>
            <w:vAlign w:val="center"/>
          </w:tcPr>
          <w:p w:rsidR="00F347E4" w:rsidRPr="005B7680" w:rsidRDefault="005B7680" w:rsidP="00BB07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02124"/>
                <w:sz w:val="21"/>
                <w:szCs w:val="21"/>
              </w:rPr>
            </w:pPr>
            <w:r w:rsidRPr="005B7680">
              <w:rPr>
                <w:b/>
                <w:color w:val="202124"/>
                <w:sz w:val="21"/>
                <w:szCs w:val="21"/>
              </w:rPr>
              <w:t>Total</w:t>
            </w:r>
            <w:r w:rsidR="00F347E4" w:rsidRPr="00B76155">
              <w:rPr>
                <w:b/>
                <w:color w:val="202124"/>
                <w:sz w:val="21"/>
                <w:szCs w:val="21"/>
              </w:rPr>
              <w:t xml:space="preserve"> des cas actifs</w:t>
            </w:r>
          </w:p>
        </w:tc>
        <w:tc>
          <w:tcPr>
            <w:tcW w:w="1902" w:type="dxa"/>
            <w:shd w:val="clear" w:color="auto" w:fill="auto"/>
            <w:vAlign w:val="center"/>
          </w:tcPr>
          <w:p w:rsidR="00F347E4" w:rsidRPr="005B7680" w:rsidRDefault="005B7680" w:rsidP="00BB07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02124"/>
                <w:sz w:val="21"/>
                <w:szCs w:val="21"/>
              </w:rPr>
            </w:pPr>
            <w:r w:rsidRPr="005B7680">
              <w:rPr>
                <w:b/>
                <w:color w:val="202124"/>
                <w:sz w:val="21"/>
                <w:szCs w:val="21"/>
              </w:rPr>
              <w:t>Total</w:t>
            </w:r>
            <w:r w:rsidR="00F347E4" w:rsidRPr="0037285B">
              <w:rPr>
                <w:b/>
                <w:color w:val="202124"/>
                <w:sz w:val="21"/>
                <w:szCs w:val="21"/>
              </w:rPr>
              <w:t xml:space="preserve"> récupéré</w:t>
            </w:r>
          </w:p>
        </w:tc>
        <w:tc>
          <w:tcPr>
            <w:tcW w:w="1728" w:type="dxa"/>
            <w:shd w:val="clear" w:color="auto" w:fill="auto"/>
            <w:vAlign w:val="center"/>
          </w:tcPr>
          <w:p w:rsidR="00F347E4" w:rsidRPr="005B7680" w:rsidRDefault="005B7680" w:rsidP="00BB07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02124"/>
                <w:sz w:val="21"/>
                <w:szCs w:val="21"/>
              </w:rPr>
            </w:pPr>
            <w:r w:rsidRPr="005B7680">
              <w:rPr>
                <w:b/>
                <w:color w:val="202124"/>
                <w:sz w:val="21"/>
                <w:szCs w:val="21"/>
              </w:rPr>
              <w:t>Nombre</w:t>
            </w:r>
            <w:r w:rsidR="00F347E4" w:rsidRPr="007E1FCA">
              <w:rPr>
                <w:b/>
                <w:color w:val="202124"/>
                <w:sz w:val="21"/>
                <w:szCs w:val="21"/>
              </w:rPr>
              <w:t xml:space="preserve"> total de décès</w:t>
            </w:r>
          </w:p>
        </w:tc>
      </w:tr>
      <w:tr w:rsidR="005B7680" w:rsidRPr="007E1FCA" w:rsidTr="005B7680">
        <w:trPr>
          <w:jc w:val="center"/>
        </w:trPr>
        <w:tc>
          <w:tcPr>
            <w:tcW w:w="2367" w:type="dxa"/>
          </w:tcPr>
          <w:p w:rsidR="00F347E4" w:rsidRPr="00BB0741" w:rsidRDefault="00F347E4" w:rsidP="00BB0741">
            <w:pPr>
              <w:ind w:right="-144"/>
              <w:jc w:val="center"/>
              <w:rPr>
                <w:rFonts w:eastAsia="Times New Roman"/>
                <w:b/>
                <w:sz w:val="21"/>
                <w:szCs w:val="21"/>
              </w:rPr>
            </w:pPr>
            <w:r w:rsidRPr="00BB0741">
              <w:rPr>
                <w:rFonts w:eastAsia="Times New Roman"/>
                <w:b/>
                <w:sz w:val="21"/>
                <w:szCs w:val="21"/>
              </w:rPr>
              <w:t>3568</w:t>
            </w:r>
          </w:p>
        </w:tc>
        <w:tc>
          <w:tcPr>
            <w:tcW w:w="2029" w:type="dxa"/>
          </w:tcPr>
          <w:p w:rsidR="00F347E4" w:rsidRPr="00BB0741" w:rsidRDefault="00F347E4" w:rsidP="00BB0741">
            <w:pPr>
              <w:ind w:right="-144"/>
              <w:jc w:val="center"/>
              <w:rPr>
                <w:rFonts w:eastAsia="Times New Roman"/>
                <w:b/>
                <w:sz w:val="21"/>
                <w:szCs w:val="21"/>
              </w:rPr>
            </w:pPr>
            <w:r w:rsidRPr="00BB0741">
              <w:rPr>
                <w:rFonts w:eastAsia="Times New Roman"/>
                <w:b/>
                <w:sz w:val="21"/>
                <w:szCs w:val="21"/>
              </w:rPr>
              <w:t>637</w:t>
            </w:r>
          </w:p>
        </w:tc>
        <w:tc>
          <w:tcPr>
            <w:tcW w:w="1902" w:type="dxa"/>
          </w:tcPr>
          <w:p w:rsidR="00F347E4" w:rsidRPr="00BB0741" w:rsidRDefault="00F347E4" w:rsidP="00BB0741">
            <w:pPr>
              <w:ind w:right="-144"/>
              <w:jc w:val="center"/>
              <w:rPr>
                <w:rFonts w:eastAsia="Times New Roman"/>
                <w:b/>
                <w:sz w:val="21"/>
                <w:szCs w:val="21"/>
              </w:rPr>
            </w:pPr>
            <w:r w:rsidRPr="00BB0741">
              <w:rPr>
                <w:rFonts w:eastAsia="Times New Roman"/>
                <w:b/>
                <w:sz w:val="21"/>
                <w:szCs w:val="21"/>
              </w:rPr>
              <w:t>2780</w:t>
            </w:r>
          </w:p>
        </w:tc>
        <w:tc>
          <w:tcPr>
            <w:tcW w:w="1728" w:type="dxa"/>
          </w:tcPr>
          <w:p w:rsidR="00F347E4" w:rsidRPr="00BB0741" w:rsidRDefault="00F347E4" w:rsidP="00BB0741">
            <w:pPr>
              <w:ind w:right="-144"/>
              <w:jc w:val="center"/>
              <w:rPr>
                <w:rFonts w:eastAsia="Times New Roman"/>
                <w:b/>
                <w:sz w:val="21"/>
                <w:szCs w:val="21"/>
              </w:rPr>
            </w:pPr>
            <w:r w:rsidRPr="00BB0741">
              <w:rPr>
                <w:rFonts w:eastAsia="Times New Roman"/>
                <w:b/>
                <w:sz w:val="21"/>
                <w:szCs w:val="21"/>
              </w:rPr>
              <w:t>55</w:t>
            </w:r>
          </w:p>
        </w:tc>
      </w:tr>
    </w:tbl>
    <w:p w:rsidR="007C0EBB" w:rsidRPr="00A05698" w:rsidRDefault="007C0EBB" w:rsidP="00157035">
      <w:pPr>
        <w:pStyle w:val="PargrafodaLista"/>
        <w:numPr>
          <w:ilvl w:val="0"/>
          <w:numId w:val="57"/>
        </w:numPr>
        <w:spacing w:before="100" w:beforeAutospacing="1" w:after="100" w:afterAutospacing="1"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Indice de pauvreté</w:t>
      </w:r>
    </w:p>
    <w:p w:rsidR="00F0119C" w:rsidRPr="00A05698" w:rsidRDefault="007C0EBB" w:rsidP="003171E1">
      <w:pPr>
        <w:ind w:left="-284" w:right="-851"/>
        <w:jc w:val="both"/>
      </w:pPr>
      <w:r w:rsidRPr="00A05698">
        <w:t>La Guinée Bissau est l’un des pays les plus pauvres au monde : 80% de la population vivent en dessous du seuil de pauvreté. Selon l’</w:t>
      </w:r>
      <w:hyperlink r:id="rId54" w:tgtFrame="_blank" w:history="1">
        <w:r w:rsidRPr="00A05698">
          <w:t>Indice de Développement Humain</w:t>
        </w:r>
      </w:hyperlink>
      <w:r w:rsidRPr="00A05698">
        <w:t xml:space="preserve"> des Nations Unies, la Guinée Bissau figure parmi les pays les plus mal classés (178e sur 188 pays). Il doit aussi affronter un défi démographique important, alors que la population devrait doubler d’ici 2050 et que le pays fait face à des inégalités croissantes.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853"/>
        <w:gridCol w:w="592"/>
        <w:gridCol w:w="659"/>
        <w:gridCol w:w="659"/>
        <w:gridCol w:w="1000"/>
        <w:gridCol w:w="730"/>
      </w:tblGrid>
      <w:tr w:rsidR="007C0EBB" w:rsidRPr="00A05698" w:rsidTr="00242A77">
        <w:trPr>
          <w:tblHeader/>
        </w:trPr>
        <w:tc>
          <w:tcPr>
            <w:tcW w:w="585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rPr>
                <w:b/>
                <w:bCs/>
                <w:sz w:val="20"/>
                <w:szCs w:val="20"/>
              </w:rPr>
            </w:pPr>
            <w:r w:rsidRPr="00A05698">
              <w:rPr>
                <w:b/>
                <w:bCs/>
                <w:sz w:val="20"/>
                <w:szCs w:val="20"/>
              </w:rPr>
              <w:t>Indicateurs de croissance</w:t>
            </w:r>
          </w:p>
        </w:tc>
        <w:tc>
          <w:tcPr>
            <w:tcW w:w="59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2015</w:t>
            </w:r>
          </w:p>
        </w:tc>
        <w:tc>
          <w:tcPr>
            <w:tcW w:w="65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2016</w:t>
            </w:r>
          </w:p>
        </w:tc>
        <w:tc>
          <w:tcPr>
            <w:tcW w:w="65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2017</w:t>
            </w:r>
          </w:p>
        </w:tc>
        <w:tc>
          <w:tcPr>
            <w:tcW w:w="100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2018 (e)</w:t>
            </w:r>
          </w:p>
        </w:tc>
        <w:tc>
          <w:tcPr>
            <w:tcW w:w="73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2019 (e)</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PIB (milliards USD)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1,04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1,15</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1,30</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1,45</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1,56</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PIB (croissance annuelle en %, prix constant)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5,1</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5,0</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5,0</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5,0</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PIB par habitant (USD)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640</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692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761</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832</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877</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Endettement de l</w:t>
            </w:r>
            <w:r w:rsidR="00A05714" w:rsidRPr="00A05698">
              <w:rPr>
                <w:bCs/>
                <w:sz w:val="20"/>
                <w:szCs w:val="20"/>
              </w:rPr>
              <w:t>’</w:t>
            </w:r>
            <w:r w:rsidRPr="00A05698">
              <w:rPr>
                <w:bCs/>
                <w:sz w:val="20"/>
                <w:szCs w:val="20"/>
              </w:rPr>
              <w:t>Etat (en % du PIB)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47,3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43,3</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42,1</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40,8</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Taux d</w:t>
            </w:r>
            <w:r w:rsidR="00A05714" w:rsidRPr="00A05698">
              <w:rPr>
                <w:bCs/>
                <w:sz w:val="20"/>
                <w:szCs w:val="20"/>
              </w:rPr>
              <w:t>’</w:t>
            </w:r>
            <w:r w:rsidRPr="00A05698">
              <w:rPr>
                <w:bCs/>
                <w:sz w:val="20"/>
                <w:szCs w:val="20"/>
              </w:rPr>
              <w:t>inflation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2,5</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2,5</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Balance des transactions courantes (milliards USD)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-0,01</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-0,02</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Balance des transactions courantes (en % du PIB)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-0,6</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-0,9</w:t>
            </w:r>
          </w:p>
        </w:tc>
      </w:tr>
    </w:tbl>
    <w:p w:rsidR="007C0EBB" w:rsidRDefault="007C0EBB" w:rsidP="004F4212">
      <w:pPr>
        <w:pStyle w:val="Legenda"/>
      </w:pPr>
      <w:r w:rsidRPr="00A05698">
        <w:t xml:space="preserve">Source : FMI - World Economic Outlook </w:t>
      </w:r>
      <w:r w:rsidR="0060580B" w:rsidRPr="00A05698">
        <w:t>Data base</w:t>
      </w:r>
      <w:r w:rsidRPr="00A05698">
        <w:t xml:space="preserve"> - Dernières données disponibles (septembre 2018).</w:t>
      </w:r>
    </w:p>
    <w:p w:rsidR="005C0A4F" w:rsidRPr="005C0A4F" w:rsidRDefault="005C0A4F" w:rsidP="00083B97"/>
    <w:p w:rsidR="00BB5DEC" w:rsidRPr="00A05698" w:rsidRDefault="00BB5DEC" w:rsidP="004F4212">
      <w:pPr>
        <w:tabs>
          <w:tab w:val="left" w:pos="3811"/>
        </w:tabs>
        <w:ind w:right="-851"/>
        <w:rPr>
          <w:b/>
        </w:rPr>
      </w:pPr>
    </w:p>
    <w:p w:rsidR="00A10969" w:rsidRPr="00A05698" w:rsidRDefault="00A10969" w:rsidP="00157035">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right="-851"/>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219" w:name="_Toc73459737"/>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ENJEU</w:t>
      </w:r>
      <w:r w:rsidR="00212D92"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 ENVIRONNEMENTAUX ET SOCIAUX</w:t>
      </w:r>
      <w:bookmarkEnd w:id="219"/>
      <w:r w:rsidR="00212D92"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CD0FA3" w:rsidRPr="00A05698" w:rsidRDefault="00CD0FA3" w:rsidP="004F4212">
      <w:pPr>
        <w:spacing w:before="120" w:after="120"/>
        <w:ind w:right="-847"/>
        <w:jc w:val="both"/>
      </w:pPr>
    </w:p>
    <w:p w:rsidR="001856F5" w:rsidRPr="00A05698" w:rsidRDefault="003B38C6" w:rsidP="007E6E2A">
      <w:pPr>
        <w:ind w:left="-284" w:right="-851"/>
        <w:jc w:val="both"/>
      </w:pPr>
      <w:r w:rsidRPr="00A05698">
        <w:t xml:space="preserve">Le projet d’urgence de sécurité alimentaire en Guinée Bissau </w:t>
      </w:r>
      <w:r w:rsidR="00B23026" w:rsidRPr="00A05698">
        <w:t xml:space="preserve">est </w:t>
      </w:r>
      <w:r w:rsidRPr="00A05698">
        <w:t>l’un des piliers de la stratégie de développement de la Guinée Bissau avec le « Terra Ranka »</w:t>
      </w:r>
      <w:r w:rsidR="00F74279" w:rsidRPr="00A05698">
        <w:t xml:space="preserve">. </w:t>
      </w:r>
      <w:r w:rsidR="00681BD5" w:rsidRPr="00A05698">
        <w:t>Il joue</w:t>
      </w:r>
      <w:r w:rsidRPr="00A05698">
        <w:t xml:space="preserve"> un rôle moteur du développement dans le secteur de l’agriculture et</w:t>
      </w:r>
      <w:r w:rsidR="00B23026" w:rsidRPr="00A05698">
        <w:t xml:space="preserve"> </w:t>
      </w:r>
      <w:r w:rsidR="00A75049" w:rsidRPr="00A05698">
        <w:t xml:space="preserve">notamment à travers </w:t>
      </w:r>
      <w:r w:rsidR="001856F5" w:rsidRPr="00A05698">
        <w:t>l</w:t>
      </w:r>
      <w:r w:rsidR="00A05714" w:rsidRPr="00A05698">
        <w:t>’</w:t>
      </w:r>
      <w:r w:rsidR="001856F5" w:rsidRPr="00A05698">
        <w:t xml:space="preserve">amélioration de la valeur ajoutée agricole créée au niveau local et </w:t>
      </w:r>
      <w:r w:rsidR="00B2564C" w:rsidRPr="00A05698">
        <w:t xml:space="preserve">de lutter contre les effets négatifs causés par la </w:t>
      </w:r>
      <w:r w:rsidR="001702DB" w:rsidRPr="00A05698">
        <w:t>pandémie</w:t>
      </w:r>
      <w:r w:rsidR="00B2564C" w:rsidRPr="00A05698">
        <w:t xml:space="preserve"> de la Covid 19 dans le pays</w:t>
      </w:r>
      <w:r w:rsidR="00F74279" w:rsidRPr="00A05698">
        <w:t xml:space="preserve">. De </w:t>
      </w:r>
      <w:r w:rsidR="004530F9" w:rsidRPr="00A05698">
        <w:t>plus, il</w:t>
      </w:r>
      <w:r w:rsidR="00F74279" w:rsidRPr="00A05698">
        <w:t xml:space="preserve"> </w:t>
      </w:r>
      <w:r w:rsidR="004530F9" w:rsidRPr="00A05698">
        <w:t>permet de</w:t>
      </w:r>
      <w:r w:rsidR="001856F5" w:rsidRPr="00A05698">
        <w:t xml:space="preserve"> lutte</w:t>
      </w:r>
      <w:r w:rsidR="006C2F2F" w:rsidRPr="00A05698">
        <w:t>r</w:t>
      </w:r>
      <w:r w:rsidR="001856F5" w:rsidRPr="00A05698">
        <w:t xml:space="preserve"> contre la pauvreté au niveau rural recèle d</w:t>
      </w:r>
      <w:r w:rsidR="00A05714" w:rsidRPr="00A05698">
        <w:t>’</w:t>
      </w:r>
      <w:r w:rsidR="001856F5" w:rsidRPr="00A05698">
        <w:t>importants enjeux de développement durable, de lutte contre les effets pervers des changements climatiques et pour une plus grande stabilité sociale.</w:t>
      </w:r>
    </w:p>
    <w:p w:rsidR="001116F6" w:rsidRPr="00A05698" w:rsidRDefault="008959F1" w:rsidP="007E6E2A">
      <w:pPr>
        <w:ind w:left="-284" w:right="-851"/>
        <w:jc w:val="both"/>
      </w:pPr>
      <w:r w:rsidRPr="00A05698">
        <w:t xml:space="preserve">Les principaux enjeux environnementaux sont associés aux activités de </w:t>
      </w:r>
      <w:r w:rsidR="003F01EA" w:rsidRPr="00A05698">
        <w:t>s</w:t>
      </w:r>
      <w:r w:rsidR="008529AC" w:rsidRPr="00A05698">
        <w:t>outien à la production agricole</w:t>
      </w:r>
      <w:r w:rsidR="00727A60" w:rsidRPr="00A05698">
        <w:t xml:space="preserve">, de </w:t>
      </w:r>
      <w:r w:rsidR="009960C1" w:rsidRPr="00A05698">
        <w:t>s</w:t>
      </w:r>
      <w:r w:rsidR="00727A60" w:rsidRPr="00A05698">
        <w:t xml:space="preserve">outien aux Filets de Sécurité communautaires et de </w:t>
      </w:r>
      <w:r w:rsidR="009960C1" w:rsidRPr="00A05698">
        <w:t>s</w:t>
      </w:r>
      <w:r w:rsidR="00727A60" w:rsidRPr="00A05698">
        <w:t>outien à l</w:t>
      </w:r>
      <w:r w:rsidR="00A05714" w:rsidRPr="00A05698">
        <w:t>’</w:t>
      </w:r>
      <w:r w:rsidR="00727A60" w:rsidRPr="00A05698">
        <w:t xml:space="preserve">atténuation des risques </w:t>
      </w:r>
      <w:r w:rsidR="009960C1" w:rsidRPr="00A05698">
        <w:t>engendr</w:t>
      </w:r>
      <w:r w:rsidR="0056242F">
        <w:t>és</w:t>
      </w:r>
      <w:r w:rsidR="009960C1" w:rsidRPr="00A05698">
        <w:t xml:space="preserve"> par la </w:t>
      </w:r>
      <w:r w:rsidR="00085BEA" w:rsidRPr="00A05698">
        <w:t>pandémie</w:t>
      </w:r>
      <w:r w:rsidR="009960C1" w:rsidRPr="00A05698">
        <w:t xml:space="preserve"> de la Covid 19 dans le</w:t>
      </w:r>
      <w:r w:rsidR="001116F6" w:rsidRPr="00A05698">
        <w:t xml:space="preserve"> secteur de l’agriculture</w:t>
      </w:r>
      <w:r w:rsidRPr="00A05698">
        <w:t xml:space="preserve"> de façon à promouvoir et assurer une exploitation rationnelle des ressources, sans dommages irréversibles pour l’environnement et les autres ressources naturelles. </w:t>
      </w:r>
    </w:p>
    <w:p w:rsidR="008959F1" w:rsidRPr="00A05698" w:rsidRDefault="008959F1" w:rsidP="007E6E2A">
      <w:pPr>
        <w:ind w:left="-284" w:right="-851"/>
        <w:jc w:val="both"/>
      </w:pPr>
      <w:r w:rsidRPr="00A05698">
        <w:t xml:space="preserve">Sur le plan socio-économique, les enjeux relèvent surtout dans le secteur de la production agricole, </w:t>
      </w:r>
      <w:r w:rsidR="00FC676D" w:rsidRPr="00A05698">
        <w:t xml:space="preserve">de la commercialisation </w:t>
      </w:r>
      <w:r w:rsidR="00E54E4D" w:rsidRPr="00A05698">
        <w:t>des produits agricole</w:t>
      </w:r>
      <w:r w:rsidR="00D46F6B">
        <w:t>s</w:t>
      </w:r>
      <w:r w:rsidR="00E54E4D" w:rsidRPr="00A05698">
        <w:t xml:space="preserve"> (noix de cajou, </w:t>
      </w:r>
      <w:r w:rsidR="00FB2EAA" w:rsidRPr="00A05698">
        <w:t xml:space="preserve">riz, légumes, etc.), les manques de moyens </w:t>
      </w:r>
      <w:r w:rsidR="007A4E64" w:rsidRPr="00A05698">
        <w:t>de production,</w:t>
      </w:r>
      <w:r w:rsidR="00FB2EAA" w:rsidRPr="00A05698">
        <w:t xml:space="preserve"> </w:t>
      </w:r>
      <w:r w:rsidR="00362B2D" w:rsidRPr="00A05698">
        <w:t>des conflits entre ac</w:t>
      </w:r>
      <w:r w:rsidRPr="00A05698">
        <w:t xml:space="preserve">teurs économiques, </w:t>
      </w:r>
      <w:r w:rsidR="00362B2D" w:rsidRPr="00A05698">
        <w:t>les manques d’infrastructures, l</w:t>
      </w:r>
      <w:r w:rsidRPr="00A05698">
        <w:t>es coûts de production, de transformation et de la commercialisation</w:t>
      </w:r>
      <w:r w:rsidR="00CE5AF9" w:rsidRPr="00A05698">
        <w:t xml:space="preserve"> surtout avec la pandémie</w:t>
      </w:r>
      <w:r w:rsidRPr="00A05698">
        <w:t>.</w:t>
      </w:r>
    </w:p>
    <w:p w:rsidR="005C5010" w:rsidRPr="00A05698" w:rsidRDefault="005C5010" w:rsidP="007E6E2A">
      <w:pPr>
        <w:ind w:left="-284" w:right="-851"/>
        <w:jc w:val="both"/>
      </w:pPr>
    </w:p>
    <w:p w:rsidR="008959F1" w:rsidRPr="00A05698" w:rsidRDefault="008959F1" w:rsidP="00157035">
      <w:pPr>
        <w:pStyle w:val="PargrafodaLista"/>
        <w:numPr>
          <w:ilvl w:val="1"/>
          <w:numId w:val="99"/>
        </w:numPr>
        <w:spacing w:after="120" w:line="240" w:lineRule="auto"/>
        <w:outlineLvl w:val="1"/>
        <w:rPr>
          <w:rFonts w:ascii="Times New Roman" w:hAnsi="Times New Roman"/>
          <w:b/>
          <w:bCs/>
          <w:sz w:val="24"/>
          <w:szCs w:val="24"/>
        </w:rPr>
      </w:pPr>
      <w:bookmarkStart w:id="220" w:name="_Toc55460141"/>
      <w:bookmarkStart w:id="221" w:name="_Toc55465534"/>
      <w:bookmarkStart w:id="222" w:name="_Toc73459738"/>
      <w:r w:rsidRPr="00A05698">
        <w:rPr>
          <w:rFonts w:ascii="Times New Roman" w:hAnsi="Times New Roman"/>
          <w:b/>
          <w:bCs/>
          <w:sz w:val="24"/>
          <w:szCs w:val="24"/>
        </w:rPr>
        <w:t>Les enjeux politiques et juridiques</w:t>
      </w:r>
      <w:bookmarkEnd w:id="220"/>
      <w:bookmarkEnd w:id="221"/>
      <w:bookmarkEnd w:id="222"/>
    </w:p>
    <w:p w:rsidR="008959F1" w:rsidRPr="00A05698" w:rsidRDefault="008959F1" w:rsidP="005C5010">
      <w:pPr>
        <w:ind w:left="-284" w:right="-851"/>
        <w:jc w:val="both"/>
      </w:pPr>
      <w:r w:rsidRPr="00A05698">
        <w:t>Les enjeux politiques et juridiques vont se mesurer à la dimension des chantiers politiques et stratégiques mis en œuvre en vue de répondr</w:t>
      </w:r>
      <w:r w:rsidR="00157DF9">
        <w:t>e aux attentes des populations en</w:t>
      </w:r>
      <w:r w:rsidRPr="00A05698">
        <w:t xml:space="preserve"> s’appuyant sur la spécif</w:t>
      </w:r>
      <w:r w:rsidR="00DB4B93" w:rsidRPr="00A05698">
        <w:t>icité fonctionnelle du projet PUSA</w:t>
      </w:r>
      <w:r w:rsidRPr="00A05698">
        <w:t xml:space="preserve"> pour le développement du secteur de</w:t>
      </w:r>
      <w:r w:rsidR="00E84DAB" w:rsidRPr="00A05698">
        <w:t xml:space="preserve"> </w:t>
      </w:r>
      <w:r w:rsidR="007569DD" w:rsidRPr="00A05698">
        <w:t>l’agriculture et</w:t>
      </w:r>
      <w:r w:rsidRPr="00A05698">
        <w:t xml:space="preserve"> de la vision du gouvernement par rapport aux ambitions de gestion et de conservation de la biodiversité. </w:t>
      </w:r>
    </w:p>
    <w:p w:rsidR="008959F1" w:rsidRPr="00A05698" w:rsidRDefault="00AE70C6" w:rsidP="005C5010">
      <w:pPr>
        <w:ind w:left="-284" w:right="-851"/>
        <w:jc w:val="both"/>
      </w:pPr>
      <w:r w:rsidRPr="00A05698">
        <w:t xml:space="preserve">De plus, il existe </w:t>
      </w:r>
      <w:r w:rsidR="008959F1" w:rsidRPr="00A05698">
        <w:t>de</w:t>
      </w:r>
      <w:r w:rsidRPr="00A05698">
        <w:t>s</w:t>
      </w:r>
      <w:r w:rsidR="00F30712" w:rsidRPr="00A05698">
        <w:t xml:space="preserve"> textes de loi </w:t>
      </w:r>
      <w:r w:rsidR="008959F1" w:rsidRPr="00A05698">
        <w:t>dans tous les secteurs d’activités du pays pour réglementer l’accès et l’utilisation durable et équitable des ressources naturelles.</w:t>
      </w:r>
    </w:p>
    <w:p w:rsidR="005C5010" w:rsidRPr="00A05698" w:rsidRDefault="005C5010" w:rsidP="005C5010">
      <w:pPr>
        <w:ind w:left="-284" w:right="-851"/>
        <w:jc w:val="both"/>
      </w:pPr>
    </w:p>
    <w:p w:rsidR="00434BF1" w:rsidRPr="00406A15" w:rsidRDefault="00434BF1" w:rsidP="008371D1">
      <w:pPr>
        <w:pStyle w:val="PargrafodaLista"/>
        <w:widowControl w:val="0"/>
        <w:autoSpaceDE w:val="0"/>
        <w:autoSpaceDN w:val="0"/>
        <w:adjustRightInd w:val="0"/>
        <w:spacing w:after="240" w:line="240" w:lineRule="auto"/>
        <w:ind w:right="-851"/>
        <w:rPr>
          <w:rFonts w:ascii="Times New Roman" w:hAnsi="Times New Roman"/>
          <w:i/>
          <w:sz w:val="24"/>
          <w:szCs w:val="24"/>
        </w:rPr>
      </w:pPr>
    </w:p>
    <w:p w:rsidR="005C5010" w:rsidRPr="00A05698" w:rsidRDefault="008959F1" w:rsidP="002036A0">
      <w:pPr>
        <w:spacing w:after="240"/>
        <w:ind w:left="-284" w:right="-851"/>
        <w:jc w:val="both"/>
      </w:pPr>
      <w:r w:rsidRPr="00A05698">
        <w:t>Cette volonté politique et juridique de sécurisation des productions et la commercialisation des produits agricoles, la sécurisation</w:t>
      </w:r>
      <w:r w:rsidR="00716A33" w:rsidRPr="00A05698">
        <w:t xml:space="preserve"> de la </w:t>
      </w:r>
      <w:r w:rsidR="002E5CB0" w:rsidRPr="00A05698">
        <w:t>biodiversité</w:t>
      </w:r>
      <w:r w:rsidRPr="00A05698">
        <w:t>, tous ces secteurs d’activités pourront être confrontés aux contraintes humaines, financières, matérielles, institutionnelles et structurelles liées à l</w:t>
      </w:r>
      <w:r w:rsidR="00A05714" w:rsidRPr="00A05698">
        <w:t>’</w:t>
      </w:r>
      <w:r w:rsidRPr="00A05698">
        <w:t>insuffisance des moyens d</w:t>
      </w:r>
      <w:r w:rsidR="00A05714" w:rsidRPr="00A05698">
        <w:t>’</w:t>
      </w:r>
      <w:r w:rsidRPr="00A05698">
        <w:t xml:space="preserve">accompagnement des </w:t>
      </w:r>
      <w:r w:rsidR="00921F43" w:rsidRPr="00A05698">
        <w:t>services o</w:t>
      </w:r>
      <w:r w:rsidR="00902378" w:rsidRPr="00A05698">
        <w:t xml:space="preserve">u directions techniques de l’Etat et des </w:t>
      </w:r>
      <w:r w:rsidR="00011CE6" w:rsidRPr="00A05698">
        <w:t>secteurs.</w:t>
      </w:r>
    </w:p>
    <w:p w:rsidR="008959F1" w:rsidRPr="00A05698" w:rsidRDefault="008959F1" w:rsidP="005C5010">
      <w:pPr>
        <w:ind w:left="-284" w:right="-851"/>
        <w:jc w:val="both"/>
      </w:pPr>
      <w:r w:rsidRPr="00A05698">
        <w:t>La prise en compte de ces aspects politiques et juridiques dans le processus de mise en œuvre des activités i</w:t>
      </w:r>
      <w:r w:rsidR="00011CE6" w:rsidRPr="00A05698">
        <w:t>nscrites dans le projet d’urgence de sécurité alimentaire</w:t>
      </w:r>
      <w:r w:rsidRPr="00A05698">
        <w:t xml:space="preserve"> favoriserait un ancrage institutionnel et juridique durable qui garantirait une meilleure appropriation du projet </w:t>
      </w:r>
      <w:r w:rsidR="00103A08" w:rsidRPr="00A05698">
        <w:t xml:space="preserve">PUSA </w:t>
      </w:r>
      <w:r w:rsidRPr="00A05698">
        <w:t>par les différentes catégories socioprofessionnelles intervenant dans le projet (bénéficiaires, services techniques, mairies, populations).</w:t>
      </w:r>
    </w:p>
    <w:p w:rsidR="005C5010" w:rsidRPr="00A05698" w:rsidRDefault="005C5010" w:rsidP="002036A0">
      <w:pPr>
        <w:ind w:right="-851"/>
        <w:jc w:val="both"/>
      </w:pPr>
    </w:p>
    <w:p w:rsidR="008959F1" w:rsidRPr="00A05698" w:rsidRDefault="00DC6923" w:rsidP="00157035">
      <w:pPr>
        <w:pStyle w:val="PargrafodaLista"/>
        <w:numPr>
          <w:ilvl w:val="1"/>
          <w:numId w:val="99"/>
        </w:numPr>
        <w:spacing w:after="120" w:line="240" w:lineRule="auto"/>
        <w:outlineLvl w:val="1"/>
        <w:rPr>
          <w:rFonts w:ascii="Times New Roman" w:hAnsi="Times New Roman"/>
          <w:b/>
          <w:bCs/>
          <w:sz w:val="24"/>
          <w:szCs w:val="24"/>
        </w:rPr>
      </w:pPr>
      <w:bookmarkStart w:id="223" w:name="_Toc55460142"/>
      <w:bookmarkStart w:id="224" w:name="_Toc55465535"/>
      <w:bookmarkStart w:id="225" w:name="_Toc73459739"/>
      <w:r w:rsidRPr="00A05698">
        <w:rPr>
          <w:rFonts w:ascii="Times New Roman" w:hAnsi="Times New Roman"/>
          <w:b/>
          <w:bCs/>
          <w:sz w:val="24"/>
          <w:szCs w:val="24"/>
        </w:rPr>
        <w:t>Enjeux</w:t>
      </w:r>
      <w:r w:rsidR="008959F1" w:rsidRPr="00A05698">
        <w:rPr>
          <w:rFonts w:ascii="Times New Roman" w:hAnsi="Times New Roman"/>
          <w:b/>
          <w:bCs/>
          <w:sz w:val="24"/>
          <w:szCs w:val="24"/>
        </w:rPr>
        <w:t xml:space="preserve"> du projet </w:t>
      </w:r>
      <w:bookmarkEnd w:id="223"/>
      <w:bookmarkEnd w:id="224"/>
      <w:r w:rsidR="002D30D0" w:rsidRPr="00A05698">
        <w:rPr>
          <w:rFonts w:ascii="Times New Roman" w:hAnsi="Times New Roman"/>
          <w:b/>
          <w:bCs/>
          <w:sz w:val="24"/>
          <w:szCs w:val="24"/>
        </w:rPr>
        <w:t>PUSA</w:t>
      </w:r>
      <w:bookmarkEnd w:id="225"/>
    </w:p>
    <w:p w:rsidR="001D3523" w:rsidRPr="00A05698" w:rsidRDefault="008959F1" w:rsidP="005C5010">
      <w:pPr>
        <w:ind w:left="-284" w:right="-851"/>
        <w:jc w:val="both"/>
      </w:pPr>
      <w:r w:rsidRPr="00A05698">
        <w:t xml:space="preserve">Sous des formes diverses, les activités </w:t>
      </w:r>
      <w:r w:rsidR="005B347F" w:rsidRPr="00A05698">
        <w:t>prévu</w:t>
      </w:r>
      <w:r w:rsidR="00E626BB" w:rsidRPr="00A05698">
        <w:t>e</w:t>
      </w:r>
      <w:r w:rsidR="005B347F" w:rsidRPr="00A05698">
        <w:t xml:space="preserve">s dans </w:t>
      </w:r>
      <w:r w:rsidR="003A2BE3" w:rsidRPr="00A05698">
        <w:t>la mise en œuvre du</w:t>
      </w:r>
      <w:r w:rsidRPr="00A05698">
        <w:t xml:space="preserve"> projet </w:t>
      </w:r>
      <w:r w:rsidR="003A2BE3" w:rsidRPr="00A05698">
        <w:t xml:space="preserve">PUSA </w:t>
      </w:r>
      <w:r w:rsidRPr="00A05698">
        <w:t xml:space="preserve">pourraient se confronter à des enjeux sur l’environnement et les activités socio-économiques. </w:t>
      </w:r>
    </w:p>
    <w:p w:rsidR="001D3523" w:rsidRPr="00A05698" w:rsidRDefault="001D3523" w:rsidP="005C5010">
      <w:pPr>
        <w:ind w:left="-284" w:right="-851"/>
        <w:jc w:val="both"/>
      </w:pPr>
    </w:p>
    <w:p w:rsidR="008959F1" w:rsidRPr="00A05698" w:rsidRDefault="008959F1" w:rsidP="005C5010">
      <w:pPr>
        <w:ind w:left="-284" w:right="-851"/>
        <w:jc w:val="both"/>
      </w:pPr>
      <w:r w:rsidRPr="00A05698">
        <w:t>On peut citer notamment des effets tels qu</w:t>
      </w:r>
      <w:r w:rsidR="00513170" w:rsidRPr="00A05698">
        <w:t>e le risque de bouleversement des activités agricoles</w:t>
      </w:r>
      <w:r w:rsidRPr="00A05698">
        <w:t xml:space="preserve">, </w:t>
      </w:r>
      <w:r w:rsidR="00616063" w:rsidRPr="00A05698">
        <w:t>le risque de</w:t>
      </w:r>
      <w:r w:rsidRPr="00A05698">
        <w:t xml:space="preserve"> dégradation avancée des terres agricole</w:t>
      </w:r>
      <w:r w:rsidR="00B37CB1" w:rsidRPr="00A05698">
        <w:t>s</w:t>
      </w:r>
      <w:r w:rsidR="0038308D" w:rsidRPr="00A05698">
        <w:t xml:space="preserve">, les </w:t>
      </w:r>
      <w:r w:rsidR="004A7DC6" w:rsidRPr="00A05698">
        <w:t xml:space="preserve">enjeux au niveau de la </w:t>
      </w:r>
      <w:r w:rsidR="0038308D" w:rsidRPr="00A05698">
        <w:t>commer</w:t>
      </w:r>
      <w:r w:rsidR="004A7DC6" w:rsidRPr="00A05698">
        <w:t>cialisation</w:t>
      </w:r>
      <w:r w:rsidR="00962B92" w:rsidRPr="00A05698">
        <w:t xml:space="preserve"> des noix de cajou</w:t>
      </w:r>
      <w:r w:rsidR="00077D5A" w:rsidRPr="00A05698">
        <w:t xml:space="preserve"> </w:t>
      </w:r>
      <w:r w:rsidR="008C3508" w:rsidRPr="00A05698">
        <w:t>et des produits vivrière avec la pandémie</w:t>
      </w:r>
      <w:r w:rsidRPr="00A05698">
        <w:t>, les pertes des ressources forestières considérables, les pratiques culturales inadaptées</w:t>
      </w:r>
      <w:r w:rsidR="00477AA3" w:rsidRPr="00A05698">
        <w:t xml:space="preserve"> avec utilisation des pesticides</w:t>
      </w:r>
      <w:r w:rsidRPr="00A05698">
        <w:t>, les phénomènes d’érosion hydrique, la gestion durable des ressources en eau, la disponibilité en qualité et e</w:t>
      </w:r>
      <w:r w:rsidR="003554B4" w:rsidRPr="00A05698">
        <w:t>n quantité des semences,</w:t>
      </w:r>
      <w:r w:rsidRPr="00A05698">
        <w:t xml:space="preserve"> les manques de moins des agriculteurs, la production de</w:t>
      </w:r>
      <w:r w:rsidR="004D414B" w:rsidRPr="00A05698">
        <w:t xml:space="preserve"> déchets (solides et liquides)</w:t>
      </w:r>
      <w:r w:rsidRPr="00A05698">
        <w:t xml:space="preserve">, </w:t>
      </w:r>
      <w:r w:rsidR="00616063" w:rsidRPr="00A05698">
        <w:t>les effets de chargement climatique</w:t>
      </w:r>
      <w:r w:rsidR="004D414B" w:rsidRPr="00A05698">
        <w:t>, etc.</w:t>
      </w:r>
    </w:p>
    <w:p w:rsidR="005C5010" w:rsidRPr="00A05698" w:rsidRDefault="005C5010" w:rsidP="005C5010">
      <w:pPr>
        <w:ind w:left="-284" w:right="-851"/>
        <w:jc w:val="both"/>
      </w:pPr>
    </w:p>
    <w:p w:rsidR="008959F1" w:rsidRPr="00A05698" w:rsidRDefault="008959F1" w:rsidP="005C5010">
      <w:pPr>
        <w:ind w:left="-284" w:right="-851"/>
        <w:jc w:val="both"/>
      </w:pPr>
      <w:r w:rsidRPr="00A05698">
        <w:t xml:space="preserve">Ces enjeux, qui ne devront pas être ignorés pendant la mise en œuvre du projet </w:t>
      </w:r>
      <w:r w:rsidR="008C3508" w:rsidRPr="00A05698">
        <w:t xml:space="preserve">PUSA </w:t>
      </w:r>
      <w:r w:rsidRPr="00A05698">
        <w:t>sont analysés dans le tableau ci-dessous car des recherches de solutions innovantes contribuent de façon efficace à la préservation de l’équilibre de l’environnement.</w:t>
      </w:r>
    </w:p>
    <w:p w:rsidR="00AC4DBD" w:rsidRPr="00A05698" w:rsidRDefault="00AC4DBD" w:rsidP="004F4212">
      <w:pPr>
        <w:spacing w:before="120" w:after="120"/>
        <w:ind w:right="-851"/>
        <w:jc w:val="both"/>
      </w:pPr>
    </w:p>
    <w:p w:rsidR="00AC4DBD" w:rsidRPr="00A05698" w:rsidRDefault="00AC4DBD" w:rsidP="004F4212">
      <w:pPr>
        <w:spacing w:before="120" w:after="120"/>
        <w:ind w:right="-851"/>
        <w:jc w:val="both"/>
      </w:pPr>
    </w:p>
    <w:p w:rsidR="00AC4DBD" w:rsidRPr="00A05698" w:rsidRDefault="00AC4DBD" w:rsidP="004F4212">
      <w:pPr>
        <w:spacing w:before="120" w:after="120"/>
        <w:ind w:right="-851"/>
        <w:jc w:val="both"/>
      </w:pPr>
    </w:p>
    <w:p w:rsidR="00AC4DBD" w:rsidRPr="00A05698" w:rsidRDefault="00AC4DBD" w:rsidP="004F4212">
      <w:pPr>
        <w:spacing w:before="120" w:after="120"/>
        <w:ind w:right="-851"/>
        <w:jc w:val="both"/>
      </w:pPr>
    </w:p>
    <w:p w:rsidR="00AC4DBD" w:rsidRPr="00A05698" w:rsidRDefault="00AC4DBD" w:rsidP="004F4212">
      <w:pPr>
        <w:spacing w:before="120" w:after="120"/>
        <w:ind w:right="-851"/>
        <w:jc w:val="both"/>
      </w:pPr>
    </w:p>
    <w:p w:rsidR="00AC4DBD" w:rsidRPr="00A05698" w:rsidRDefault="00AC4DBD" w:rsidP="004F4212">
      <w:pPr>
        <w:spacing w:before="120" w:after="120"/>
        <w:ind w:right="-851"/>
        <w:jc w:val="both"/>
      </w:pPr>
    </w:p>
    <w:p w:rsidR="00AC4DBD" w:rsidRPr="00A05698" w:rsidRDefault="00AC4DBD" w:rsidP="004F4212">
      <w:pPr>
        <w:spacing w:before="120" w:after="120"/>
        <w:ind w:right="-851"/>
        <w:jc w:val="both"/>
      </w:pPr>
    </w:p>
    <w:p w:rsidR="00AC4DBD" w:rsidRPr="00A05698" w:rsidRDefault="00AC4DBD" w:rsidP="004F4212">
      <w:pPr>
        <w:spacing w:before="120" w:after="120"/>
        <w:ind w:right="-851"/>
        <w:jc w:val="both"/>
      </w:pPr>
    </w:p>
    <w:p w:rsidR="00AC4DBD" w:rsidRPr="00A05698" w:rsidRDefault="00AC4DBD" w:rsidP="004F4212">
      <w:pPr>
        <w:spacing w:before="120" w:after="120"/>
        <w:ind w:right="-851"/>
        <w:jc w:val="both"/>
      </w:pPr>
    </w:p>
    <w:p w:rsidR="00AC4DBD" w:rsidRPr="00A05698" w:rsidRDefault="00AC4DBD" w:rsidP="004F4212">
      <w:pPr>
        <w:spacing w:before="120" w:after="120"/>
        <w:ind w:right="-851"/>
        <w:jc w:val="both"/>
      </w:pPr>
    </w:p>
    <w:p w:rsidR="00AC4DBD" w:rsidRPr="00A05698" w:rsidRDefault="00AC4DBD" w:rsidP="002036A0">
      <w:pPr>
        <w:pStyle w:val="Primeiroavanodecorpodetexto2"/>
        <w:spacing w:line="240" w:lineRule="auto"/>
        <w:ind w:left="0" w:firstLine="0"/>
        <w:rPr>
          <w:rFonts w:ascii="Times New Roman" w:hAnsi="Times New Roman"/>
        </w:rPr>
        <w:sectPr w:rsidR="00AC4DBD" w:rsidRPr="00A05698" w:rsidSect="00333B95">
          <w:headerReference w:type="default" r:id="rId55"/>
          <w:footerReference w:type="default" r:id="rId56"/>
          <w:pgSz w:w="11906" w:h="16838"/>
          <w:pgMar w:top="1417" w:right="1417" w:bottom="1417" w:left="1417" w:header="316" w:footer="708" w:gutter="0"/>
          <w:cols w:space="708"/>
          <w:docGrid w:linePitch="360"/>
        </w:sectPr>
      </w:pPr>
    </w:p>
    <w:p w:rsidR="008959F1" w:rsidRPr="00A05698" w:rsidRDefault="008959F1" w:rsidP="00C87747">
      <w:pPr>
        <w:pStyle w:val="Primeiroavanodecorpodetexto2"/>
        <w:spacing w:after="0" w:line="240" w:lineRule="auto"/>
        <w:jc w:val="center"/>
        <w:rPr>
          <w:rFonts w:ascii="Times New Roman" w:hAnsi="Times New Roman"/>
          <w:b/>
        </w:rPr>
      </w:pPr>
      <w:bookmarkStart w:id="226" w:name="_Toc55460641"/>
      <w:bookmarkStart w:id="227" w:name="_Toc73522620"/>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D51AB3">
        <w:rPr>
          <w:rFonts w:ascii="Times New Roman" w:hAnsi="Times New Roman"/>
          <w:b/>
          <w:noProof/>
        </w:rPr>
        <w:t>14</w:t>
      </w:r>
      <w:r w:rsidRPr="00A05698">
        <w:rPr>
          <w:rFonts w:ascii="Times New Roman" w:hAnsi="Times New Roman"/>
          <w:b/>
        </w:rPr>
        <w:fldChar w:fldCharType="end"/>
      </w:r>
      <w:r w:rsidRPr="00A05698">
        <w:rPr>
          <w:rFonts w:ascii="Times New Roman" w:hAnsi="Times New Roman"/>
          <w:b/>
        </w:rPr>
        <w:t xml:space="preserve">. Analyse des enjeux du projet </w:t>
      </w:r>
      <w:bookmarkEnd w:id="226"/>
      <w:r w:rsidR="006B259C" w:rsidRPr="00A05698">
        <w:rPr>
          <w:rFonts w:ascii="Times New Roman" w:hAnsi="Times New Roman"/>
          <w:b/>
        </w:rPr>
        <w:t>PUSA</w:t>
      </w:r>
      <w:bookmarkEnd w:id="227"/>
    </w:p>
    <w:tbl>
      <w:tblPr>
        <w:tblStyle w:val="TableauGrille4-Accentuation11"/>
        <w:tblW w:w="5364" w:type="pct"/>
        <w:tblLayout w:type="fixed"/>
        <w:tblLook w:val="04A0" w:firstRow="1" w:lastRow="0" w:firstColumn="1" w:lastColumn="0" w:noHBand="0" w:noVBand="1"/>
      </w:tblPr>
      <w:tblGrid>
        <w:gridCol w:w="2791"/>
        <w:gridCol w:w="3979"/>
        <w:gridCol w:w="4164"/>
        <w:gridCol w:w="4321"/>
      </w:tblGrid>
      <w:tr w:rsidR="001D3523" w:rsidRPr="00A05698" w:rsidTr="00C66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vMerge w:val="restart"/>
            <w:shd w:val="clear" w:color="auto" w:fill="C5E0B3" w:themeFill="accent6" w:themeFillTint="66"/>
            <w:vAlign w:val="center"/>
          </w:tcPr>
          <w:p w:rsidR="008959F1" w:rsidRPr="00A05698" w:rsidRDefault="008B218B" w:rsidP="00C662B9">
            <w:pPr>
              <w:jc w:val="center"/>
            </w:pPr>
            <w:r>
              <w:t>Composantes</w:t>
            </w:r>
            <w:r w:rsidR="00CB64B8">
              <w:t xml:space="preserve"> du projet </w:t>
            </w:r>
          </w:p>
        </w:tc>
        <w:tc>
          <w:tcPr>
            <w:tcW w:w="12266" w:type="dxa"/>
            <w:gridSpan w:val="3"/>
            <w:shd w:val="clear" w:color="auto" w:fill="C5E0B3" w:themeFill="accent6" w:themeFillTint="66"/>
          </w:tcPr>
          <w:p w:rsidR="008959F1" w:rsidRPr="00A05698" w:rsidRDefault="008959F1" w:rsidP="004F4212">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A05698">
              <w:rPr>
                <w:color w:val="000000" w:themeColor="text1"/>
              </w:rPr>
              <w:t>Enjeux</w:t>
            </w:r>
          </w:p>
        </w:tc>
      </w:tr>
      <w:tr w:rsidR="00C662B9" w:rsidRPr="00A05698" w:rsidTr="00C66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vMerge/>
            <w:shd w:val="clear" w:color="auto" w:fill="C5E0B3" w:themeFill="accent6" w:themeFillTint="66"/>
          </w:tcPr>
          <w:p w:rsidR="008959F1" w:rsidRPr="00A05698" w:rsidRDefault="008959F1" w:rsidP="004F4212">
            <w:pPr>
              <w:jc w:val="center"/>
            </w:pPr>
          </w:p>
        </w:tc>
        <w:tc>
          <w:tcPr>
            <w:tcW w:w="3916" w:type="dxa"/>
          </w:tcPr>
          <w:p w:rsidR="008959F1" w:rsidRPr="00A05698" w:rsidRDefault="008959F1" w:rsidP="004F4212">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05698">
              <w:rPr>
                <w:color w:val="000000" w:themeColor="text1"/>
              </w:rPr>
              <w:t>Environnementaux</w:t>
            </w:r>
          </w:p>
        </w:tc>
        <w:tc>
          <w:tcPr>
            <w:tcW w:w="4098" w:type="dxa"/>
          </w:tcPr>
          <w:p w:rsidR="008959F1" w:rsidRPr="00A05698" w:rsidRDefault="008959F1" w:rsidP="004F4212">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05698">
              <w:rPr>
                <w:color w:val="000000" w:themeColor="text1"/>
              </w:rPr>
              <w:t>Sociaux</w:t>
            </w:r>
          </w:p>
        </w:tc>
        <w:tc>
          <w:tcPr>
            <w:tcW w:w="4252" w:type="dxa"/>
          </w:tcPr>
          <w:p w:rsidR="008959F1" w:rsidRPr="00A05698" w:rsidRDefault="008959F1" w:rsidP="004F4212">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05698">
              <w:rPr>
                <w:color w:val="000000" w:themeColor="text1"/>
              </w:rPr>
              <w:t>Economiques</w:t>
            </w:r>
          </w:p>
        </w:tc>
      </w:tr>
      <w:tr w:rsidR="00C662B9" w:rsidRPr="00A05698" w:rsidTr="00010BAB">
        <w:tc>
          <w:tcPr>
            <w:cnfStyle w:val="001000000000" w:firstRow="0" w:lastRow="0" w:firstColumn="1" w:lastColumn="0" w:oddVBand="0" w:evenVBand="0" w:oddHBand="0" w:evenHBand="0" w:firstRowFirstColumn="0" w:firstRowLastColumn="0" w:lastRowFirstColumn="0" w:lastRowLastColumn="0"/>
            <w:tcW w:w="2747" w:type="dxa"/>
            <w:vAlign w:val="center"/>
          </w:tcPr>
          <w:p w:rsidR="008959F1" w:rsidRPr="00A05698" w:rsidRDefault="008959F1" w:rsidP="00C662B9">
            <w:pPr>
              <w:jc w:val="center"/>
              <w:rPr>
                <w:b w:val="0"/>
                <w:bCs w:val="0"/>
              </w:rPr>
            </w:pPr>
          </w:p>
          <w:p w:rsidR="008959F1" w:rsidRPr="00DF21DE" w:rsidRDefault="009B77C3" w:rsidP="00CB64B8">
            <w:pPr>
              <w:jc w:val="center"/>
              <w:rPr>
                <w:i/>
                <w:color w:val="000000"/>
                <w:sz w:val="28"/>
                <w:szCs w:val="28"/>
              </w:rPr>
            </w:pPr>
            <w:r w:rsidRPr="00CB64B8">
              <w:rPr>
                <w:i/>
                <w:sz w:val="28"/>
                <w:szCs w:val="28"/>
                <w:u w:val="single"/>
              </w:rPr>
              <w:t>Soutien à la production agricole</w:t>
            </w:r>
          </w:p>
        </w:tc>
        <w:tc>
          <w:tcPr>
            <w:tcW w:w="3916" w:type="dxa"/>
            <w:vAlign w:val="center"/>
          </w:tcPr>
          <w:p w:rsidR="008959F1" w:rsidRPr="004D1BD0" w:rsidRDefault="00211E1C"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b/>
                <w:color w:val="000000"/>
              </w:rPr>
              <w:t>Risque de p</w:t>
            </w:r>
            <w:r w:rsidR="008959F1" w:rsidRPr="004D1BD0">
              <w:rPr>
                <w:rFonts w:ascii="Times New Roman" w:hAnsi="Times New Roman"/>
                <w:b/>
                <w:color w:val="000000"/>
              </w:rPr>
              <w:t>erte de couverts végétal</w:t>
            </w:r>
            <w:r w:rsidR="005E1927" w:rsidRPr="004D1BD0">
              <w:rPr>
                <w:rFonts w:ascii="Times New Roman" w:hAnsi="Times New Roman"/>
                <w:b/>
                <w:color w:val="000000"/>
              </w:rPr>
              <w:t xml:space="preserve"> </w:t>
            </w:r>
            <w:r w:rsidR="008959F1" w:rsidRPr="004D1BD0">
              <w:rPr>
                <w:rFonts w:ascii="Times New Roman" w:hAnsi="Times New Roman"/>
                <w:color w:val="000000"/>
              </w:rPr>
              <w:t>;</w:t>
            </w:r>
          </w:p>
          <w:p w:rsidR="008968F7" w:rsidRPr="004D1BD0" w:rsidRDefault="00E77109" w:rsidP="00157035">
            <w:pPr>
              <w:pStyle w:val="PargrafodaLista"/>
              <w:numPr>
                <w:ilvl w:val="0"/>
                <w:numId w:val="52"/>
              </w:numPr>
              <w:spacing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 xml:space="preserve">- </w:t>
            </w:r>
            <w:r w:rsidR="008968F7" w:rsidRPr="004D1BD0">
              <w:rPr>
                <w:rFonts w:ascii="Times New Roman" w:hAnsi="Times New Roman"/>
                <w:color w:val="000000"/>
              </w:rPr>
              <w:t>A</w:t>
            </w:r>
            <w:r w:rsidR="00CB2DB4" w:rsidRPr="004D1BD0">
              <w:rPr>
                <w:rFonts w:ascii="Times New Roman" w:hAnsi="Times New Roman"/>
                <w:color w:val="000000"/>
              </w:rPr>
              <w:t>ugmentation de</w:t>
            </w:r>
            <w:r w:rsidR="008968F7" w:rsidRPr="004D1BD0">
              <w:rPr>
                <w:rFonts w:ascii="Times New Roman" w:hAnsi="Times New Roman"/>
                <w:color w:val="000000"/>
              </w:rPr>
              <w:t xml:space="preserve"> la dégradation</w:t>
            </w:r>
            <w:r w:rsidR="00CB2DB4" w:rsidRPr="004D1BD0">
              <w:rPr>
                <w:rFonts w:ascii="Times New Roman" w:hAnsi="Times New Roman"/>
                <w:color w:val="000000"/>
              </w:rPr>
              <w:t xml:space="preserve"> </w:t>
            </w:r>
            <w:r w:rsidR="008968F7" w:rsidRPr="004D1BD0">
              <w:rPr>
                <w:rFonts w:ascii="Times New Roman" w:hAnsi="Times New Roman"/>
                <w:color w:val="000000"/>
              </w:rPr>
              <w:t xml:space="preserve">de l’écosystème </w:t>
            </w:r>
            <w:r w:rsidR="00F82DD9" w:rsidRPr="004D1BD0">
              <w:rPr>
                <w:rFonts w:ascii="Times New Roman" w:hAnsi="Times New Roman"/>
                <w:color w:val="000000"/>
              </w:rPr>
              <w:t>terrestre</w:t>
            </w:r>
            <w:r w:rsidR="00AA2A99" w:rsidRPr="004D1BD0">
              <w:rPr>
                <w:rFonts w:ascii="Times New Roman" w:hAnsi="Times New Roman"/>
                <w:color w:val="000000"/>
              </w:rPr>
              <w:t xml:space="preserve"> à cause du système traditionnel de pratique agricole itinérante</w:t>
            </w:r>
            <w:r w:rsidR="008968F7" w:rsidRPr="004D1BD0">
              <w:rPr>
                <w:rFonts w:ascii="Times New Roman" w:hAnsi="Times New Roman"/>
                <w:color w:val="000000"/>
              </w:rPr>
              <w:t> ;</w:t>
            </w:r>
          </w:p>
          <w:p w:rsidR="00DC2458" w:rsidRPr="004D1BD0" w:rsidRDefault="008968F7" w:rsidP="00157035">
            <w:pPr>
              <w:pStyle w:val="PargrafodaLista"/>
              <w:numPr>
                <w:ilvl w:val="0"/>
                <w:numId w:val="52"/>
              </w:numPr>
              <w:spacing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 xml:space="preserve">- </w:t>
            </w:r>
            <w:r w:rsidR="00DC2458" w:rsidRPr="004D1BD0">
              <w:rPr>
                <w:rFonts w:ascii="Times New Roman" w:hAnsi="Times New Roman"/>
                <w:color w:val="000000"/>
              </w:rPr>
              <w:t xml:space="preserve">Augmentation des </w:t>
            </w:r>
            <w:r w:rsidR="006727A6" w:rsidRPr="004D1BD0">
              <w:rPr>
                <w:rFonts w:ascii="Times New Roman" w:hAnsi="Times New Roman"/>
                <w:color w:val="000000"/>
              </w:rPr>
              <w:t>phénomènes</w:t>
            </w:r>
            <w:r w:rsidR="00DC2458" w:rsidRPr="004D1BD0">
              <w:rPr>
                <w:rFonts w:ascii="Times New Roman" w:hAnsi="Times New Roman"/>
                <w:color w:val="000000"/>
              </w:rPr>
              <w:t xml:space="preserve"> de </w:t>
            </w:r>
            <w:r w:rsidR="006727A6" w:rsidRPr="004D1BD0">
              <w:rPr>
                <w:rFonts w:ascii="Times New Roman" w:hAnsi="Times New Roman"/>
                <w:color w:val="000000"/>
              </w:rPr>
              <w:t>d</w:t>
            </w:r>
            <w:r w:rsidR="00DC2458" w:rsidRPr="004D1BD0">
              <w:rPr>
                <w:rFonts w:ascii="Times New Roman" w:hAnsi="Times New Roman"/>
                <w:color w:val="000000"/>
              </w:rPr>
              <w:t xml:space="preserve">éfrichement </w:t>
            </w:r>
            <w:r w:rsidR="001E32D8" w:rsidRPr="004D1BD0">
              <w:rPr>
                <w:rFonts w:ascii="Times New Roman" w:hAnsi="Times New Roman"/>
                <w:color w:val="000000"/>
              </w:rPr>
              <w:t xml:space="preserve">et de déboisement </w:t>
            </w:r>
            <w:r w:rsidR="00DC2458" w:rsidRPr="004D1BD0">
              <w:rPr>
                <w:rFonts w:ascii="Times New Roman" w:hAnsi="Times New Roman"/>
                <w:color w:val="000000"/>
              </w:rPr>
              <w:t>de</w:t>
            </w:r>
            <w:r w:rsidR="005B1C12" w:rsidRPr="004D1BD0">
              <w:rPr>
                <w:rFonts w:ascii="Times New Roman" w:hAnsi="Times New Roman"/>
                <w:color w:val="000000"/>
              </w:rPr>
              <w:t>s</w:t>
            </w:r>
            <w:r w:rsidR="00DC2458" w:rsidRPr="004D1BD0">
              <w:rPr>
                <w:rFonts w:ascii="Times New Roman" w:hAnsi="Times New Roman"/>
                <w:color w:val="000000"/>
              </w:rPr>
              <w:t xml:space="preserve"> nouvelles terres de </w:t>
            </w:r>
            <w:r w:rsidR="005B1C12" w:rsidRPr="004D1BD0">
              <w:rPr>
                <w:rFonts w:ascii="Times New Roman" w:hAnsi="Times New Roman"/>
                <w:color w:val="000000"/>
              </w:rPr>
              <w:t>culture,</w:t>
            </w:r>
            <w:r w:rsidR="00DC2458" w:rsidRPr="004D1BD0">
              <w:rPr>
                <w:rFonts w:ascii="Times New Roman" w:hAnsi="Times New Roman"/>
                <w:color w:val="000000"/>
              </w:rPr>
              <w:t xml:space="preserve"> </w:t>
            </w:r>
          </w:p>
          <w:p w:rsidR="008959F1" w:rsidRPr="004D1BD0" w:rsidRDefault="005B1C12"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w:t>
            </w:r>
            <w:r w:rsidR="00E77109" w:rsidRPr="004D1BD0">
              <w:rPr>
                <w:rFonts w:ascii="Times New Roman" w:hAnsi="Times New Roman"/>
                <w:color w:val="000000"/>
              </w:rPr>
              <w:t xml:space="preserve"> </w:t>
            </w:r>
            <w:r w:rsidR="000B7BFE">
              <w:rPr>
                <w:rFonts w:ascii="Times New Roman" w:hAnsi="Times New Roman"/>
                <w:color w:val="000000"/>
              </w:rPr>
              <w:t>Dispari</w:t>
            </w:r>
            <w:r w:rsidR="000B7BFE" w:rsidRPr="004D1BD0">
              <w:rPr>
                <w:rFonts w:ascii="Times New Roman" w:hAnsi="Times New Roman"/>
                <w:color w:val="000000"/>
              </w:rPr>
              <w:t>tion</w:t>
            </w:r>
            <w:r w:rsidR="008959F1" w:rsidRPr="004D1BD0">
              <w:rPr>
                <w:rFonts w:ascii="Times New Roman" w:hAnsi="Times New Roman"/>
                <w:color w:val="000000"/>
              </w:rPr>
              <w:t xml:space="preserve"> de certaine espèce végétale locale ;</w:t>
            </w:r>
          </w:p>
          <w:p w:rsidR="008959F1" w:rsidRPr="004D1BD0" w:rsidRDefault="005B1C12"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w:t>
            </w:r>
            <w:r w:rsidR="00E77109" w:rsidRPr="004D1BD0">
              <w:rPr>
                <w:rFonts w:ascii="Times New Roman" w:hAnsi="Times New Roman"/>
                <w:color w:val="000000"/>
              </w:rPr>
              <w:t xml:space="preserve"> </w:t>
            </w:r>
            <w:r w:rsidR="008959F1" w:rsidRPr="004D1BD0">
              <w:rPr>
                <w:rFonts w:ascii="Times New Roman" w:hAnsi="Times New Roman"/>
                <w:color w:val="000000"/>
              </w:rPr>
              <w:t xml:space="preserve">Pression sur le bois </w:t>
            </w:r>
            <w:r w:rsidR="006D1758" w:rsidRPr="004D1BD0">
              <w:rPr>
                <w:rFonts w:ascii="Times New Roman" w:hAnsi="Times New Roman"/>
                <w:color w:val="000000"/>
              </w:rPr>
              <w:t>d’œuvre et le bois d’artisanat </w:t>
            </w:r>
            <w:r w:rsidR="008959F1" w:rsidRPr="004D1BD0">
              <w:rPr>
                <w:rFonts w:ascii="Times New Roman" w:hAnsi="Times New Roman"/>
                <w:color w:val="000000"/>
              </w:rPr>
              <w:t>;</w:t>
            </w:r>
          </w:p>
          <w:p w:rsidR="008959F1" w:rsidRPr="004D1BD0" w:rsidRDefault="00F26F72"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 R</w:t>
            </w:r>
            <w:r w:rsidR="009C7227" w:rsidRPr="004D1BD0">
              <w:rPr>
                <w:rFonts w:ascii="Times New Roman" w:hAnsi="Times New Roman"/>
                <w:color w:val="000000"/>
              </w:rPr>
              <w:t xml:space="preserve">isque d’augmentation des </w:t>
            </w:r>
            <w:r w:rsidR="008959F1" w:rsidRPr="004D1BD0">
              <w:rPr>
                <w:rFonts w:ascii="Times New Roman" w:hAnsi="Times New Roman"/>
                <w:color w:val="000000"/>
              </w:rPr>
              <w:t>Feux de brousse ;</w:t>
            </w:r>
          </w:p>
          <w:p w:rsidR="002755B4" w:rsidRPr="004D1BD0" w:rsidRDefault="002755B4" w:rsidP="00D71F39">
            <w:pPr>
              <w:pStyle w:val="PargrafodaLista"/>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D1BD0">
              <w:rPr>
                <w:rFonts w:ascii="Times New Roman" w:hAnsi="Times New Roman"/>
                <w:b/>
                <w:color w:val="000000"/>
              </w:rPr>
              <w:t>Perte de biodiversité</w:t>
            </w:r>
          </w:p>
          <w:p w:rsidR="006069E3" w:rsidRDefault="001F3684" w:rsidP="00083B97">
            <w:pPr>
              <w:cnfStyle w:val="000000000000" w:firstRow="0" w:lastRow="0" w:firstColumn="0" w:lastColumn="0" w:oddVBand="0" w:evenVBand="0" w:oddHBand="0" w:evenHBand="0" w:firstRowFirstColumn="0" w:firstRowLastColumn="0" w:lastRowFirstColumn="0" w:lastRowLastColumn="0"/>
              <w:rPr>
                <w:color w:val="000000"/>
              </w:rPr>
            </w:pPr>
            <w:r w:rsidRPr="004D1BD0">
              <w:rPr>
                <w:rFonts w:eastAsia="Calibri"/>
                <w:color w:val="000000"/>
                <w:sz w:val="20"/>
                <w:szCs w:val="20"/>
              </w:rPr>
              <w:t xml:space="preserve">- </w:t>
            </w:r>
            <w:r w:rsidR="008959F1" w:rsidRPr="004D1BD0">
              <w:rPr>
                <w:rFonts w:eastAsia="Calibri"/>
                <w:color w:val="000000"/>
                <w:sz w:val="20"/>
                <w:szCs w:val="20"/>
              </w:rPr>
              <w:t xml:space="preserve">Sans les pratiques agro écologiques qui consistent à restaurer le couvert végétal avec l’aide </w:t>
            </w:r>
            <w:r w:rsidR="00DF01E2" w:rsidRPr="004D1BD0">
              <w:rPr>
                <w:rFonts w:eastAsia="Calibri"/>
                <w:color w:val="000000"/>
                <w:sz w:val="20"/>
                <w:szCs w:val="20"/>
              </w:rPr>
              <w:t xml:space="preserve">de </w:t>
            </w:r>
            <w:r w:rsidR="00CC017B" w:rsidRPr="004D1BD0">
              <w:rPr>
                <w:rFonts w:eastAsia="Calibri"/>
                <w:color w:val="000000"/>
                <w:sz w:val="20"/>
                <w:szCs w:val="20"/>
              </w:rPr>
              <w:t>certaines espèces</w:t>
            </w:r>
            <w:r w:rsidR="008959F1" w:rsidRPr="004D1BD0">
              <w:rPr>
                <w:rFonts w:eastAsia="Calibri"/>
                <w:color w:val="000000"/>
                <w:sz w:val="20"/>
                <w:szCs w:val="20"/>
              </w:rPr>
              <w:t xml:space="preserve"> telles que : </w:t>
            </w:r>
            <w:r w:rsidR="00300349" w:rsidRPr="004D1BD0">
              <w:rPr>
                <w:rFonts w:eastAsia="Calibri"/>
                <w:color w:val="000000"/>
                <w:sz w:val="20"/>
                <w:szCs w:val="20"/>
              </w:rPr>
              <w:t xml:space="preserve">les mangroves, les palmiers, </w:t>
            </w:r>
            <w:r w:rsidR="00507FDB" w:rsidRPr="004D1BD0">
              <w:rPr>
                <w:rFonts w:eastAsia="Calibri"/>
                <w:color w:val="000000"/>
                <w:sz w:val="20"/>
                <w:szCs w:val="20"/>
              </w:rPr>
              <w:t>les Albizzia acanthifolia</w:t>
            </w:r>
            <w:r w:rsidR="00CC017B" w:rsidRPr="004D1BD0">
              <w:rPr>
                <w:rFonts w:eastAsia="Calibri"/>
                <w:color w:val="000000"/>
                <w:sz w:val="20"/>
                <w:szCs w:val="20"/>
              </w:rPr>
              <w:t xml:space="preserve">, </w:t>
            </w:r>
            <w:r w:rsidR="00E32904" w:rsidRPr="004D1BD0">
              <w:rPr>
                <w:rFonts w:eastAsia="Calibri"/>
                <w:color w:val="000000"/>
                <w:sz w:val="20"/>
                <w:szCs w:val="20"/>
              </w:rPr>
              <w:t>le Diallium guineensis</w:t>
            </w:r>
            <w:r w:rsidR="00CC017B" w:rsidRPr="004D1BD0">
              <w:rPr>
                <w:rFonts w:eastAsia="Calibri"/>
                <w:color w:val="000000"/>
                <w:sz w:val="20"/>
                <w:szCs w:val="20"/>
              </w:rPr>
              <w:t xml:space="preserve">, </w:t>
            </w:r>
            <w:r w:rsidR="00E96BBC" w:rsidRPr="004D1BD0">
              <w:rPr>
                <w:rFonts w:eastAsia="Calibri"/>
                <w:color w:val="000000"/>
                <w:sz w:val="20"/>
                <w:szCs w:val="20"/>
              </w:rPr>
              <w:t xml:space="preserve">Antiaris africana, Chlorophora regia, etc… </w:t>
            </w:r>
            <w:r w:rsidR="008959F1" w:rsidRPr="004D1BD0">
              <w:rPr>
                <w:rFonts w:eastAsia="Calibri"/>
                <w:color w:val="000000"/>
                <w:sz w:val="20"/>
                <w:szCs w:val="20"/>
              </w:rPr>
              <w:t>l’environnement continuera de se dégrader vis-à-vis des changements climatiques. Ainsi la résilience des écosystèmes face à la vulnérabilité climatique est tributaire de notre capacité à restaurer le couvert végétal</w:t>
            </w:r>
            <w:r w:rsidR="00AB4F26">
              <w:rPr>
                <w:rFonts w:eastAsia="Calibri"/>
                <w:color w:val="000000"/>
                <w:sz w:val="20"/>
                <w:szCs w:val="20"/>
              </w:rPr>
              <w:t xml:space="preserve"> </w:t>
            </w:r>
          </w:p>
          <w:p w:rsidR="0036609D" w:rsidRPr="008371D1" w:rsidRDefault="0036609D"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eastAsia="Times New Roman"/>
              </w:rPr>
            </w:pPr>
            <w:r w:rsidRPr="00C40727">
              <w:rPr>
                <w:rFonts w:ascii="Times New Roman" w:hAnsi="Times New Roman"/>
                <w:b/>
                <w:color w:val="000000"/>
              </w:rPr>
              <w:t>R</w:t>
            </w:r>
            <w:r w:rsidRPr="001F1F65">
              <w:rPr>
                <w:rFonts w:ascii="Times New Roman" w:hAnsi="Times New Roman"/>
                <w:b/>
                <w:color w:val="000000"/>
              </w:rPr>
              <w:t>isque d’augmentation des pratiques du défrichement et des feux de brousse (surtout pour la culture du riz de mangrove et du riz de plateau)</w:t>
            </w:r>
          </w:p>
          <w:p w:rsidR="008959F1" w:rsidRPr="004D1BD0" w:rsidRDefault="001C14F7"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D1BD0">
              <w:rPr>
                <w:rFonts w:ascii="Times New Roman" w:hAnsi="Times New Roman"/>
                <w:b/>
                <w:color w:val="000000"/>
              </w:rPr>
              <w:t xml:space="preserve">Dégradation ou </w:t>
            </w:r>
            <w:r w:rsidR="008959F1" w:rsidRPr="004D1BD0">
              <w:rPr>
                <w:rFonts w:ascii="Times New Roman" w:hAnsi="Times New Roman"/>
                <w:b/>
                <w:color w:val="000000"/>
              </w:rPr>
              <w:t xml:space="preserve">Pollution des sols </w:t>
            </w:r>
          </w:p>
          <w:p w:rsidR="00D612CF" w:rsidRPr="004D1BD0" w:rsidRDefault="006149F3"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 xml:space="preserve">- </w:t>
            </w:r>
            <w:r w:rsidR="008709ED" w:rsidRPr="004D1BD0">
              <w:rPr>
                <w:rFonts w:eastAsia="Calibri"/>
                <w:color w:val="000000"/>
                <w:sz w:val="20"/>
                <w:szCs w:val="20"/>
              </w:rPr>
              <w:t xml:space="preserve">Avec l´extension de la monoculture de l´anacardier, le </w:t>
            </w:r>
            <w:r w:rsidR="00D612CF" w:rsidRPr="004D1BD0">
              <w:rPr>
                <w:rFonts w:eastAsia="Calibri"/>
                <w:color w:val="000000"/>
                <w:sz w:val="20"/>
                <w:szCs w:val="20"/>
              </w:rPr>
              <w:t>défrichement de la couverture vé</w:t>
            </w:r>
            <w:r w:rsidR="00177E0B" w:rsidRPr="004D1BD0">
              <w:rPr>
                <w:rFonts w:eastAsia="Calibri"/>
                <w:color w:val="000000"/>
                <w:sz w:val="20"/>
                <w:szCs w:val="20"/>
              </w:rPr>
              <w:t xml:space="preserve">gétale, les feux de brousse, </w:t>
            </w:r>
            <w:r w:rsidR="000F67FA" w:rsidRPr="004D1BD0">
              <w:rPr>
                <w:rFonts w:eastAsia="Calibri"/>
                <w:color w:val="000000"/>
                <w:sz w:val="20"/>
                <w:szCs w:val="20"/>
              </w:rPr>
              <w:t>continuent de</w:t>
            </w:r>
            <w:r w:rsidR="00D612CF" w:rsidRPr="004D1BD0">
              <w:rPr>
                <w:rFonts w:eastAsia="Calibri"/>
                <w:color w:val="000000"/>
                <w:sz w:val="20"/>
                <w:szCs w:val="20"/>
              </w:rPr>
              <w:t xml:space="preserve"> provoque</w:t>
            </w:r>
            <w:r w:rsidR="000F67FA" w:rsidRPr="004D1BD0">
              <w:rPr>
                <w:rFonts w:eastAsia="Calibri"/>
                <w:color w:val="000000"/>
                <w:sz w:val="20"/>
                <w:szCs w:val="20"/>
              </w:rPr>
              <w:t>r</w:t>
            </w:r>
            <w:r w:rsidR="00D612CF" w:rsidRPr="004D1BD0">
              <w:rPr>
                <w:rFonts w:eastAsia="Calibri"/>
                <w:color w:val="000000"/>
                <w:sz w:val="20"/>
                <w:szCs w:val="20"/>
              </w:rPr>
              <w:t xml:space="preserve"> la destruction de la structure du sol. </w:t>
            </w:r>
          </w:p>
          <w:p w:rsidR="00152136" w:rsidRPr="004D1BD0" w:rsidRDefault="00D1466F"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w:t>
            </w:r>
            <w:r w:rsidR="00223C38" w:rsidRPr="004D1BD0">
              <w:rPr>
                <w:rFonts w:eastAsia="Calibri"/>
                <w:color w:val="000000"/>
                <w:sz w:val="20"/>
                <w:szCs w:val="20"/>
              </w:rPr>
              <w:t xml:space="preserve"> </w:t>
            </w:r>
            <w:r w:rsidR="00434BF1" w:rsidRPr="00434BF1">
              <w:rPr>
                <w:rFonts w:eastAsia="Calibri"/>
                <w:color w:val="000000"/>
                <w:sz w:val="20"/>
                <w:szCs w:val="20"/>
              </w:rPr>
              <w:t>L’utilisation irrationnelle des pesticides et engrais</w:t>
            </w:r>
            <w:r w:rsidR="00223C38" w:rsidRPr="004D1BD0">
              <w:rPr>
                <w:rFonts w:eastAsia="Calibri"/>
                <w:color w:val="000000"/>
                <w:sz w:val="20"/>
                <w:szCs w:val="20"/>
              </w:rPr>
              <w:t>;</w:t>
            </w:r>
          </w:p>
          <w:p w:rsidR="00B93ADB" w:rsidRPr="00A05698" w:rsidRDefault="00B93ADB"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05698">
              <w:rPr>
                <w:rFonts w:ascii="Times New Roman" w:hAnsi="Times New Roman"/>
                <w:color w:val="000000"/>
              </w:rPr>
              <w:t>Difficultés d’accès à l’eau et à la gestion des ressources en eau</w:t>
            </w:r>
          </w:p>
          <w:p w:rsidR="005449B2" w:rsidRPr="004D1BD0" w:rsidRDefault="00ED2AE3"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 xml:space="preserve">- </w:t>
            </w:r>
            <w:r w:rsidR="005449B2" w:rsidRPr="004D1BD0">
              <w:rPr>
                <w:rFonts w:eastAsia="Calibri"/>
                <w:color w:val="000000"/>
                <w:sz w:val="20"/>
                <w:szCs w:val="20"/>
              </w:rPr>
              <w:t>Tendance de la baisse pluviométrie caractérisée par une variabilité inter et intra annuelle ;</w:t>
            </w:r>
          </w:p>
          <w:p w:rsidR="005449B2" w:rsidRPr="004D1BD0" w:rsidRDefault="00ED2AE3"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w:t>
            </w:r>
            <w:r w:rsidR="005449B2" w:rsidRPr="004D1BD0">
              <w:rPr>
                <w:rFonts w:eastAsia="Calibri"/>
                <w:color w:val="000000"/>
                <w:sz w:val="20"/>
                <w:szCs w:val="20"/>
              </w:rPr>
              <w:t>Par une baisse drastique des écoulements des cours d’eau en période de basses eaux ;</w:t>
            </w:r>
          </w:p>
          <w:p w:rsidR="00B93ADB" w:rsidRPr="004D1BD0" w:rsidRDefault="00ED2AE3"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w:t>
            </w:r>
            <w:r w:rsidR="005449B2" w:rsidRPr="004D1BD0">
              <w:rPr>
                <w:rFonts w:eastAsia="Calibri"/>
                <w:color w:val="000000"/>
                <w:sz w:val="20"/>
                <w:szCs w:val="20"/>
              </w:rPr>
              <w:t xml:space="preserve">Par la multiplicité des usages </w:t>
            </w:r>
            <w:r w:rsidR="00467215" w:rsidRPr="004D1BD0">
              <w:rPr>
                <w:rFonts w:eastAsia="Calibri"/>
                <w:color w:val="000000"/>
                <w:sz w:val="20"/>
                <w:szCs w:val="20"/>
              </w:rPr>
              <w:t xml:space="preserve">agricole qui </w:t>
            </w:r>
            <w:r w:rsidR="005449B2" w:rsidRPr="004D1BD0">
              <w:rPr>
                <w:rFonts w:eastAsia="Calibri"/>
                <w:color w:val="000000"/>
                <w:sz w:val="20"/>
                <w:szCs w:val="20"/>
              </w:rPr>
              <w:t>augmente les besoins et en</w:t>
            </w:r>
            <w:r w:rsidR="00467215" w:rsidRPr="004D1BD0">
              <w:rPr>
                <w:rFonts w:eastAsia="Calibri"/>
                <w:color w:val="000000"/>
                <w:sz w:val="20"/>
                <w:szCs w:val="20"/>
              </w:rPr>
              <w:t>gendre une forte pression sur les</w:t>
            </w:r>
            <w:r w:rsidR="005449B2" w:rsidRPr="004D1BD0">
              <w:rPr>
                <w:rFonts w:eastAsia="Calibri"/>
                <w:color w:val="000000"/>
                <w:sz w:val="20"/>
                <w:szCs w:val="20"/>
              </w:rPr>
              <w:t xml:space="preserve"> ressource</w:t>
            </w:r>
            <w:r w:rsidR="00467215" w:rsidRPr="004D1BD0">
              <w:rPr>
                <w:rFonts w:eastAsia="Calibri"/>
                <w:color w:val="000000"/>
                <w:sz w:val="20"/>
                <w:szCs w:val="20"/>
              </w:rPr>
              <w:t>s</w:t>
            </w:r>
            <w:r w:rsidR="005449B2" w:rsidRPr="004D1BD0">
              <w:rPr>
                <w:rFonts w:eastAsia="Calibri"/>
                <w:color w:val="000000"/>
                <w:sz w:val="20"/>
                <w:szCs w:val="20"/>
              </w:rPr>
              <w:t> ;</w:t>
            </w: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D1BD0">
              <w:rPr>
                <w:rFonts w:ascii="Times New Roman" w:hAnsi="Times New Roman"/>
                <w:b/>
                <w:color w:val="000000"/>
              </w:rPr>
              <w:t>Pollution de l’eau</w:t>
            </w:r>
          </w:p>
          <w:p w:rsidR="00B92B7A" w:rsidRPr="004D1BD0" w:rsidRDefault="005209B7"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w:t>
            </w:r>
            <w:r w:rsidR="00970ABF" w:rsidRPr="004D1BD0">
              <w:rPr>
                <w:rFonts w:eastAsia="Calibri"/>
                <w:color w:val="000000"/>
                <w:sz w:val="20"/>
                <w:szCs w:val="20"/>
              </w:rPr>
              <w:t>Usage des pesticides</w:t>
            </w:r>
            <w:r w:rsidR="0079471A">
              <w:rPr>
                <w:rFonts w:eastAsia="Calibri"/>
                <w:color w:val="000000"/>
                <w:sz w:val="20"/>
                <w:szCs w:val="20"/>
              </w:rPr>
              <w:t xml:space="preserve"> et des engrais</w:t>
            </w:r>
            <w:r w:rsidR="00970ABF" w:rsidRPr="004D1BD0">
              <w:rPr>
                <w:rFonts w:eastAsia="Calibri"/>
                <w:color w:val="000000"/>
                <w:sz w:val="20"/>
                <w:szCs w:val="20"/>
              </w:rPr>
              <w:t xml:space="preserve"> dans les exploitations ; </w:t>
            </w:r>
          </w:p>
          <w:p w:rsidR="00B92B7A" w:rsidRPr="004D1BD0" w:rsidRDefault="00B92B7A"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-Présence de fer au niveau des nappes dans certaines régions ;</w:t>
            </w:r>
          </w:p>
          <w:p w:rsidR="008D12DC" w:rsidRPr="004D1BD0" w:rsidRDefault="001B542A"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D1BD0">
              <w:rPr>
                <w:rFonts w:ascii="Times New Roman" w:hAnsi="Times New Roman"/>
                <w:b/>
                <w:color w:val="000000"/>
              </w:rPr>
              <w:t>L’agriculture de plateau, itinérante et centrée sur la conquête de nouvelles terres grâce au défrichage, n’est pas durable</w:t>
            </w:r>
            <w:r w:rsidR="00444365" w:rsidRPr="004D1BD0">
              <w:rPr>
                <w:rFonts w:ascii="Times New Roman" w:hAnsi="Times New Roman"/>
                <w:b/>
                <w:color w:val="000000"/>
              </w:rPr>
              <w:t xml:space="preserve"> </w:t>
            </w:r>
            <w:r w:rsidR="004A1098" w:rsidRPr="004D1BD0">
              <w:rPr>
                <w:rFonts w:ascii="Times New Roman" w:hAnsi="Times New Roman"/>
                <w:b/>
                <w:color w:val="000000"/>
              </w:rPr>
              <w:t>ce qui constitue un enjeu majeur</w:t>
            </w:r>
            <w:r w:rsidRPr="004D1BD0">
              <w:rPr>
                <w:rFonts w:ascii="Times New Roman" w:hAnsi="Times New Roman"/>
                <w:b/>
                <w:color w:val="000000"/>
              </w:rPr>
              <w:t>.</w:t>
            </w:r>
          </w:p>
          <w:p w:rsidR="008959F1" w:rsidRDefault="001B542A" w:rsidP="002218A2">
            <w:pPr>
              <w:jc w:val="both"/>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A05698">
              <w:rPr>
                <w:rFonts w:eastAsia="Times New Roman"/>
                <w:sz w:val="20"/>
                <w:szCs w:val="20"/>
              </w:rPr>
              <w:t xml:space="preserve"> </w:t>
            </w:r>
            <w:r w:rsidR="008D12DC" w:rsidRPr="004D1BD0">
              <w:rPr>
                <w:rFonts w:eastAsia="Calibri"/>
                <w:color w:val="000000"/>
                <w:sz w:val="20"/>
                <w:szCs w:val="20"/>
              </w:rPr>
              <w:t>-</w:t>
            </w:r>
            <w:r w:rsidR="004A1098" w:rsidRPr="004D1BD0">
              <w:rPr>
                <w:rFonts w:eastAsia="Calibri"/>
                <w:color w:val="000000"/>
                <w:sz w:val="20"/>
                <w:szCs w:val="20"/>
              </w:rPr>
              <w:t>Car e</w:t>
            </w:r>
            <w:r w:rsidRPr="004D1BD0">
              <w:rPr>
                <w:rFonts w:eastAsia="Calibri"/>
                <w:color w:val="000000"/>
                <w:sz w:val="20"/>
                <w:szCs w:val="20"/>
              </w:rPr>
              <w:t xml:space="preserve">lle </w:t>
            </w:r>
            <w:r w:rsidR="00E10125" w:rsidRPr="004D1BD0">
              <w:rPr>
                <w:rFonts w:eastAsia="Calibri"/>
                <w:color w:val="000000"/>
                <w:sz w:val="20"/>
                <w:szCs w:val="20"/>
              </w:rPr>
              <w:t>engendre :</w:t>
            </w:r>
            <w:r w:rsidRPr="004D1BD0">
              <w:rPr>
                <w:rFonts w:eastAsia="Calibri"/>
                <w:color w:val="000000"/>
                <w:sz w:val="20"/>
                <w:szCs w:val="20"/>
              </w:rPr>
              <w:t xml:space="preserve"> i) la déposition de sédiments alluviaux et colluviaux dans les zones basses des petites vallées et des mangroves, colmatant ainsi les canaux naturels et artificiels de drainage, sédiments qui sont à l’origine d’inondations </w:t>
            </w:r>
            <w:r w:rsidR="00E10125" w:rsidRPr="004D1BD0">
              <w:rPr>
                <w:rFonts w:eastAsia="Calibri"/>
                <w:color w:val="000000"/>
                <w:sz w:val="20"/>
                <w:szCs w:val="20"/>
              </w:rPr>
              <w:t>périodiques ;</w:t>
            </w:r>
            <w:r w:rsidRPr="004D1BD0">
              <w:rPr>
                <w:rFonts w:eastAsia="Calibri"/>
                <w:color w:val="000000"/>
                <w:sz w:val="20"/>
                <w:szCs w:val="20"/>
              </w:rPr>
              <w:t xml:space="preserve"> ii) la dégradation des rizières par l’avancement des marées occasionnant leur abandon au détriment de l’agriculture itinérante.</w:t>
            </w:r>
          </w:p>
          <w:p w:rsidR="004804FF" w:rsidRPr="008371D1" w:rsidRDefault="004804FF"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color w:val="000000"/>
              </w:rPr>
            </w:pPr>
            <w:r w:rsidRPr="005D4E8C">
              <w:rPr>
                <w:rFonts w:ascii="Times New Roman" w:hAnsi="Times New Roman"/>
                <w:b/>
                <w:color w:val="000000"/>
              </w:rPr>
              <w:t>La production de déchets et les émissions de gaz</w:t>
            </w:r>
            <w:r w:rsidR="008D382E" w:rsidRPr="005D4E8C">
              <w:rPr>
                <w:rFonts w:ascii="Times New Roman" w:hAnsi="Times New Roman"/>
                <w:b/>
                <w:color w:val="000000"/>
              </w:rPr>
              <w:t xml:space="preserve"> à effet de serre sont </w:t>
            </w:r>
            <w:r w:rsidR="00685385" w:rsidRPr="00685385">
              <w:rPr>
                <w:rFonts w:ascii="Times New Roman" w:hAnsi="Times New Roman"/>
                <w:b/>
                <w:color w:val="000000"/>
              </w:rPr>
              <w:t>des enjeux majeurs</w:t>
            </w:r>
            <w:r w:rsidR="008D382E" w:rsidRPr="005D4E8C">
              <w:rPr>
                <w:rFonts w:ascii="Times New Roman" w:hAnsi="Times New Roman"/>
                <w:b/>
                <w:color w:val="000000"/>
              </w:rPr>
              <w:t xml:space="preserve"> qui faudra prendre en compte lors des </w:t>
            </w:r>
            <w:r w:rsidR="00685385" w:rsidRPr="00685385">
              <w:rPr>
                <w:rFonts w:ascii="Times New Roman" w:hAnsi="Times New Roman"/>
                <w:b/>
                <w:color w:val="000000"/>
              </w:rPr>
              <w:t>activités</w:t>
            </w:r>
            <w:r w:rsidR="008D382E" w:rsidRPr="005D4E8C">
              <w:rPr>
                <w:rFonts w:ascii="Times New Roman" w:hAnsi="Times New Roman"/>
                <w:b/>
                <w:color w:val="000000"/>
              </w:rPr>
              <w:t xml:space="preserve"> du Projet.</w:t>
            </w:r>
          </w:p>
          <w:p w:rsidR="00187FE0" w:rsidRPr="004D1BD0" w:rsidRDefault="00187FE0"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Les effets induits liés à l’utilisation d’intrants agricoles (engrais, pesticides) pourraient entraîner une dégradation des terres cultivable et des ressources en eau en termes de salinité, d’augmentation de la teneur d’éléments nutritifs (azote et phosphore) et de micropolluants chimiques. </w:t>
            </w:r>
          </w:p>
          <w:p w:rsidR="00187FE0" w:rsidRPr="004D1BD0" w:rsidRDefault="00187FE0"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color w:val="000000"/>
              </w:rPr>
            </w:pPr>
            <w:r w:rsidRPr="004D1BD0">
              <w:rPr>
                <w:rFonts w:ascii="Times New Roman" w:hAnsi="Times New Roman"/>
                <w:b/>
                <w:color w:val="000000"/>
                <w:szCs w:val="22"/>
              </w:rPr>
              <w:t xml:space="preserve">La dégradation des terres dans la zone centre (absence d’enrichissement des sols, disparition jachère) entraine d’énorme pression sur les ressources forestières ; </w:t>
            </w:r>
          </w:p>
        </w:tc>
        <w:tc>
          <w:tcPr>
            <w:tcW w:w="4098" w:type="dxa"/>
            <w:vAlign w:val="center"/>
          </w:tcPr>
          <w:p w:rsidR="008959F1" w:rsidRPr="004D1BD0" w:rsidRDefault="008959F1" w:rsidP="00157035">
            <w:pPr>
              <w:pStyle w:val="PargrafodaLista"/>
              <w:numPr>
                <w:ilvl w:val="0"/>
                <w:numId w:val="51"/>
              </w:numPr>
              <w:spacing w:after="0" w:line="240" w:lineRule="auto"/>
              <w:ind w:left="312"/>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Lutte contre la pauvreté et à l’insécurité alimentaire</w:t>
            </w:r>
          </w:p>
          <w:p w:rsidR="008959F1" w:rsidRPr="008371D1" w:rsidRDefault="008959F1"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371D1">
              <w:rPr>
                <w:rFonts w:ascii="Times New Roman" w:hAnsi="Times New Roman"/>
                <w:color w:val="000000"/>
              </w:rPr>
              <w:t>Certaine</w:t>
            </w:r>
            <w:r w:rsidR="0070095D" w:rsidRPr="008371D1">
              <w:rPr>
                <w:rFonts w:ascii="Times New Roman" w:hAnsi="Times New Roman"/>
                <w:color w:val="000000"/>
              </w:rPr>
              <w:t>s</w:t>
            </w:r>
            <w:r w:rsidRPr="008371D1">
              <w:rPr>
                <w:rFonts w:ascii="Times New Roman" w:hAnsi="Times New Roman"/>
                <w:color w:val="000000"/>
              </w:rPr>
              <w:t xml:space="preserve"> filière</w:t>
            </w:r>
            <w:r w:rsidR="0070095D" w:rsidRPr="008371D1">
              <w:rPr>
                <w:rFonts w:ascii="Times New Roman" w:hAnsi="Times New Roman"/>
                <w:color w:val="000000"/>
              </w:rPr>
              <w:t>s</w:t>
            </w:r>
            <w:r w:rsidRPr="008371D1">
              <w:rPr>
                <w:rFonts w:ascii="Times New Roman" w:hAnsi="Times New Roman"/>
                <w:color w:val="000000"/>
              </w:rPr>
              <w:t xml:space="preserve"> comme le </w:t>
            </w:r>
            <w:r w:rsidR="006E2059" w:rsidRPr="008371D1">
              <w:rPr>
                <w:rFonts w:ascii="Times New Roman" w:hAnsi="Times New Roman"/>
                <w:color w:val="000000"/>
              </w:rPr>
              <w:t xml:space="preserve">riz, </w:t>
            </w:r>
            <w:r w:rsidR="0070095D" w:rsidRPr="008371D1">
              <w:rPr>
                <w:rFonts w:ascii="Times New Roman" w:hAnsi="Times New Roman"/>
                <w:color w:val="000000"/>
              </w:rPr>
              <w:t xml:space="preserve">le </w:t>
            </w:r>
            <w:r w:rsidRPr="008371D1">
              <w:rPr>
                <w:rFonts w:ascii="Times New Roman" w:hAnsi="Times New Roman"/>
                <w:color w:val="000000"/>
              </w:rPr>
              <w:t>mil</w:t>
            </w:r>
            <w:r w:rsidR="0070095D" w:rsidRPr="008371D1">
              <w:rPr>
                <w:rFonts w:ascii="Times New Roman" w:hAnsi="Times New Roman"/>
                <w:color w:val="000000"/>
              </w:rPr>
              <w:t xml:space="preserve">, le sorgho </w:t>
            </w:r>
            <w:r w:rsidR="00F22625" w:rsidRPr="008371D1">
              <w:rPr>
                <w:rFonts w:ascii="Times New Roman" w:hAnsi="Times New Roman"/>
                <w:color w:val="000000"/>
              </w:rPr>
              <w:t>etc.</w:t>
            </w:r>
            <w:r w:rsidR="00811A88" w:rsidRPr="008371D1">
              <w:rPr>
                <w:rFonts w:ascii="Times New Roman" w:hAnsi="Times New Roman"/>
                <w:color w:val="000000"/>
              </w:rPr>
              <w:t xml:space="preserve">, </w:t>
            </w:r>
            <w:r w:rsidR="00157DF9" w:rsidRPr="008371D1">
              <w:rPr>
                <w:rFonts w:ascii="Times New Roman" w:hAnsi="Times New Roman"/>
                <w:color w:val="000000"/>
              </w:rPr>
              <w:t>sont</w:t>
            </w:r>
            <w:r w:rsidRPr="008371D1">
              <w:rPr>
                <w:rFonts w:ascii="Times New Roman" w:hAnsi="Times New Roman"/>
                <w:color w:val="000000"/>
              </w:rPr>
              <w:t xml:space="preserve"> souvent destiné</w:t>
            </w:r>
            <w:r w:rsidR="00157DF9" w:rsidRPr="008371D1">
              <w:rPr>
                <w:rFonts w:ascii="Times New Roman" w:hAnsi="Times New Roman"/>
                <w:color w:val="000000"/>
              </w:rPr>
              <w:t>es</w:t>
            </w:r>
            <w:r w:rsidRPr="008371D1">
              <w:rPr>
                <w:rFonts w:ascii="Times New Roman" w:hAnsi="Times New Roman"/>
                <w:color w:val="000000"/>
              </w:rPr>
              <w:t xml:space="preserve"> à l’autoconsommation fam</w:t>
            </w:r>
            <w:r w:rsidR="0070095D" w:rsidRPr="008371D1">
              <w:rPr>
                <w:rFonts w:ascii="Times New Roman" w:hAnsi="Times New Roman"/>
                <w:color w:val="000000"/>
              </w:rPr>
              <w:t xml:space="preserve">iliale dans certaine zone de la guinée </w:t>
            </w:r>
            <w:r w:rsidR="00F22625" w:rsidRPr="008371D1">
              <w:rPr>
                <w:rFonts w:ascii="Times New Roman" w:hAnsi="Times New Roman"/>
                <w:color w:val="000000"/>
              </w:rPr>
              <w:t>Bissau</w:t>
            </w:r>
            <w:r w:rsidRPr="008371D1">
              <w:rPr>
                <w:rFonts w:ascii="Times New Roman" w:hAnsi="Times New Roman"/>
                <w:color w:val="000000"/>
              </w:rPr>
              <w:t xml:space="preserve"> ainsi </w:t>
            </w:r>
            <w:r w:rsidR="00811A88" w:rsidRPr="008371D1">
              <w:rPr>
                <w:rFonts w:ascii="Times New Roman" w:hAnsi="Times New Roman"/>
                <w:color w:val="000000"/>
              </w:rPr>
              <w:t xml:space="preserve">avec les manques de moyen </w:t>
            </w:r>
            <w:r w:rsidR="001B4DC1" w:rsidRPr="008371D1">
              <w:rPr>
                <w:rFonts w:ascii="Times New Roman" w:hAnsi="Times New Roman"/>
                <w:color w:val="000000"/>
              </w:rPr>
              <w:t>de production</w:t>
            </w:r>
            <w:r w:rsidR="00811A88" w:rsidRPr="008371D1">
              <w:rPr>
                <w:rFonts w:ascii="Times New Roman" w:hAnsi="Times New Roman"/>
                <w:color w:val="000000"/>
              </w:rPr>
              <w:t xml:space="preserve"> en grand quantité</w:t>
            </w:r>
            <w:r w:rsidRPr="008371D1">
              <w:rPr>
                <w:rFonts w:ascii="Times New Roman" w:hAnsi="Times New Roman"/>
                <w:color w:val="000000"/>
              </w:rPr>
              <w:t xml:space="preserve"> </w:t>
            </w:r>
            <w:r w:rsidR="001B4DC1" w:rsidRPr="008371D1">
              <w:rPr>
                <w:rFonts w:ascii="Times New Roman" w:hAnsi="Times New Roman"/>
                <w:color w:val="000000"/>
              </w:rPr>
              <w:t xml:space="preserve">pour la commercialisation </w:t>
            </w:r>
            <w:r w:rsidRPr="008371D1">
              <w:rPr>
                <w:rFonts w:ascii="Times New Roman" w:hAnsi="Times New Roman"/>
                <w:color w:val="000000"/>
              </w:rPr>
              <w:t xml:space="preserve">peut être un enjeu majeur à prendre en compte pour atteindre </w:t>
            </w:r>
            <w:r w:rsidR="001B4DC1" w:rsidRPr="008371D1">
              <w:rPr>
                <w:rFonts w:ascii="Times New Roman" w:hAnsi="Times New Roman"/>
                <w:color w:val="000000"/>
              </w:rPr>
              <w:t>les objecti</w:t>
            </w:r>
            <w:r w:rsidR="00E947E5" w:rsidRPr="008371D1">
              <w:rPr>
                <w:rFonts w:ascii="Times New Roman" w:hAnsi="Times New Roman"/>
                <w:color w:val="000000"/>
              </w:rPr>
              <w:t>fs du projet ;</w:t>
            </w:r>
          </w:p>
          <w:p w:rsidR="001E1262" w:rsidRPr="008371D1" w:rsidRDefault="00512A9E" w:rsidP="008371D1">
            <w:pPr>
              <w:cnfStyle w:val="000000000000" w:firstRow="0" w:lastRow="0" w:firstColumn="0" w:lastColumn="0" w:oddVBand="0" w:evenVBand="0" w:oddHBand="0" w:evenHBand="0" w:firstRowFirstColumn="0" w:firstRowLastColumn="0" w:lastRowFirstColumn="0" w:lastRowLastColumn="0"/>
              <w:rPr>
                <w:color w:val="000000"/>
                <w:szCs w:val="22"/>
              </w:rPr>
            </w:pPr>
            <w:r w:rsidRPr="008371D1">
              <w:rPr>
                <w:color w:val="000000"/>
                <w:szCs w:val="22"/>
              </w:rPr>
              <w:t>-</w:t>
            </w:r>
            <w:r w:rsidR="002A653D" w:rsidRPr="008371D1">
              <w:rPr>
                <w:rFonts w:eastAsia="Calibri"/>
                <w:color w:val="000000"/>
                <w:sz w:val="20"/>
                <w:szCs w:val="20"/>
              </w:rPr>
              <w:t xml:space="preserve">Avec les effets de la </w:t>
            </w:r>
            <w:r w:rsidR="00401FF6" w:rsidRPr="008371D1">
              <w:rPr>
                <w:rFonts w:eastAsia="Calibri"/>
                <w:color w:val="000000"/>
                <w:sz w:val="20"/>
                <w:szCs w:val="20"/>
              </w:rPr>
              <w:t>pandémie</w:t>
            </w:r>
            <w:r w:rsidR="009F5E42" w:rsidRPr="008371D1">
              <w:rPr>
                <w:rFonts w:eastAsia="Calibri"/>
                <w:color w:val="000000"/>
                <w:sz w:val="20"/>
                <w:szCs w:val="20"/>
              </w:rPr>
              <w:t xml:space="preserve"> de la</w:t>
            </w:r>
            <w:r w:rsidR="00401FF6" w:rsidRPr="008371D1">
              <w:rPr>
                <w:rFonts w:eastAsia="Calibri"/>
                <w:color w:val="000000"/>
                <w:sz w:val="20"/>
                <w:szCs w:val="20"/>
              </w:rPr>
              <w:t xml:space="preserve"> Covid </w:t>
            </w:r>
            <w:r w:rsidR="00F22625" w:rsidRPr="008371D1">
              <w:rPr>
                <w:rFonts w:eastAsia="Calibri"/>
                <w:color w:val="000000"/>
                <w:sz w:val="20"/>
                <w:szCs w:val="20"/>
              </w:rPr>
              <w:t xml:space="preserve">19 </w:t>
            </w:r>
            <w:r w:rsidR="005D4760" w:rsidRPr="008371D1">
              <w:rPr>
                <w:rFonts w:eastAsia="Calibri"/>
                <w:color w:val="000000"/>
                <w:sz w:val="20"/>
                <w:szCs w:val="20"/>
              </w:rPr>
              <w:t xml:space="preserve">dans le secteur de la </w:t>
            </w:r>
            <w:r w:rsidR="00F251E8" w:rsidRPr="008371D1">
              <w:rPr>
                <w:rFonts w:eastAsia="Calibri"/>
                <w:color w:val="000000"/>
                <w:sz w:val="20"/>
                <w:szCs w:val="20"/>
              </w:rPr>
              <w:t xml:space="preserve">commercialisation </w:t>
            </w:r>
            <w:r w:rsidR="00881C1A" w:rsidRPr="008371D1">
              <w:rPr>
                <w:rFonts w:eastAsia="Calibri"/>
                <w:color w:val="000000"/>
                <w:sz w:val="20"/>
                <w:szCs w:val="20"/>
              </w:rPr>
              <w:t>des noix de cajou (</w:t>
            </w:r>
            <w:r w:rsidR="00EF2A40" w:rsidRPr="008371D1">
              <w:rPr>
                <w:rFonts w:eastAsia="Calibri"/>
                <w:color w:val="000000"/>
                <w:sz w:val="20"/>
                <w:szCs w:val="20"/>
              </w:rPr>
              <w:t>seule source</w:t>
            </w:r>
            <w:r w:rsidR="00881C1A" w:rsidRPr="008371D1">
              <w:rPr>
                <w:rFonts w:eastAsia="Calibri"/>
                <w:color w:val="000000"/>
                <w:sz w:val="20"/>
                <w:szCs w:val="20"/>
              </w:rPr>
              <w:t xml:space="preserve"> de revenu pour beaucoup de famille) </w:t>
            </w:r>
            <w:r w:rsidR="00F251E8" w:rsidRPr="008371D1">
              <w:rPr>
                <w:rFonts w:eastAsia="Calibri"/>
                <w:color w:val="000000"/>
                <w:sz w:val="20"/>
                <w:szCs w:val="20"/>
              </w:rPr>
              <w:t xml:space="preserve">et les manques de </w:t>
            </w:r>
            <w:r w:rsidR="00E858F4" w:rsidRPr="008371D1">
              <w:rPr>
                <w:rFonts w:eastAsia="Calibri"/>
                <w:color w:val="000000"/>
                <w:sz w:val="20"/>
                <w:szCs w:val="20"/>
              </w:rPr>
              <w:t xml:space="preserve">moyen de la population </w:t>
            </w:r>
            <w:r w:rsidR="002A1FDF" w:rsidRPr="008371D1">
              <w:rPr>
                <w:rFonts w:eastAsia="Calibri"/>
                <w:color w:val="000000"/>
                <w:sz w:val="20"/>
                <w:szCs w:val="20"/>
              </w:rPr>
              <w:t>pour satisfaire l</w:t>
            </w:r>
            <w:r w:rsidR="00E61292" w:rsidRPr="008371D1">
              <w:rPr>
                <w:rFonts w:eastAsia="Calibri"/>
                <w:color w:val="000000"/>
                <w:sz w:val="20"/>
                <w:szCs w:val="20"/>
              </w:rPr>
              <w:t xml:space="preserve">eur besoin quotidien est l’un des enjeux majeurs qu’il </w:t>
            </w:r>
            <w:r w:rsidR="00A97414" w:rsidRPr="008371D1">
              <w:rPr>
                <w:rFonts w:eastAsia="Calibri"/>
                <w:color w:val="000000"/>
                <w:sz w:val="20"/>
                <w:szCs w:val="20"/>
              </w:rPr>
              <w:t>faudra relever par l’Etat et le projet PUSA.</w:t>
            </w:r>
            <w:r w:rsidR="00E61292" w:rsidRPr="008371D1">
              <w:rPr>
                <w:rFonts w:eastAsia="Calibri"/>
                <w:color w:val="000000"/>
                <w:sz w:val="20"/>
                <w:szCs w:val="20"/>
              </w:rPr>
              <w:t xml:space="preserve"> </w:t>
            </w:r>
            <w:r w:rsidR="00B0263C" w:rsidRPr="008371D1">
              <w:rPr>
                <w:rFonts w:eastAsia="Calibri"/>
                <w:color w:val="000000"/>
                <w:sz w:val="20"/>
                <w:szCs w:val="20"/>
              </w:rPr>
              <w:t xml:space="preserve"> </w:t>
            </w:r>
            <w:r w:rsidR="00F22625" w:rsidRPr="008371D1">
              <w:rPr>
                <w:rFonts w:eastAsia="Calibri"/>
                <w:color w:val="000000"/>
                <w:sz w:val="20"/>
                <w:szCs w:val="20"/>
              </w:rPr>
              <w:t>Par</w:t>
            </w:r>
            <w:r w:rsidR="008959F1" w:rsidRPr="008371D1">
              <w:rPr>
                <w:rFonts w:eastAsia="Calibri"/>
                <w:color w:val="000000"/>
                <w:sz w:val="20"/>
                <w:szCs w:val="20"/>
              </w:rPr>
              <w:t xml:space="preserve"> un appui de façon durable et soutenue aux populations vulnérables dans la zone d’intervention du projet ;</w:t>
            </w:r>
          </w:p>
          <w:p w:rsidR="008959F1" w:rsidRPr="008371D1" w:rsidRDefault="00EF2A40" w:rsidP="008371D1">
            <w:pPr>
              <w:cnfStyle w:val="000000000000" w:firstRow="0" w:lastRow="0" w:firstColumn="0" w:lastColumn="0" w:oddVBand="0" w:evenVBand="0" w:oddHBand="0" w:evenHBand="0" w:firstRowFirstColumn="0" w:firstRowLastColumn="0" w:lastRowFirstColumn="0" w:lastRowLastColumn="0"/>
              <w:rPr>
                <w:color w:val="000000"/>
                <w:szCs w:val="22"/>
              </w:rPr>
            </w:pPr>
            <w:r w:rsidRPr="008371D1">
              <w:rPr>
                <w:color w:val="000000"/>
                <w:szCs w:val="22"/>
              </w:rPr>
              <w:t>-</w:t>
            </w:r>
            <w:r w:rsidR="008959F1" w:rsidRPr="008371D1">
              <w:rPr>
                <w:rFonts w:eastAsia="Calibri"/>
                <w:color w:val="000000"/>
                <w:sz w:val="20"/>
                <w:szCs w:val="20"/>
              </w:rPr>
              <w:t>Détournement d</w:t>
            </w:r>
            <w:r w:rsidR="00A05714" w:rsidRPr="008371D1">
              <w:rPr>
                <w:rFonts w:eastAsia="Calibri"/>
                <w:color w:val="000000"/>
                <w:sz w:val="20"/>
                <w:szCs w:val="20"/>
              </w:rPr>
              <w:t>’</w:t>
            </w:r>
            <w:r w:rsidR="008959F1" w:rsidRPr="008371D1">
              <w:rPr>
                <w:rFonts w:eastAsia="Calibri"/>
                <w:color w:val="000000"/>
                <w:sz w:val="20"/>
                <w:szCs w:val="20"/>
              </w:rPr>
              <w:t>objectifs du projet au profit d</w:t>
            </w:r>
            <w:r w:rsidR="00A05714" w:rsidRPr="008371D1">
              <w:rPr>
                <w:rFonts w:eastAsia="Calibri"/>
                <w:color w:val="000000"/>
                <w:sz w:val="20"/>
                <w:szCs w:val="20"/>
              </w:rPr>
              <w:t>’</w:t>
            </w:r>
            <w:r w:rsidR="008959F1" w:rsidRPr="008371D1">
              <w:rPr>
                <w:rFonts w:eastAsia="Calibri"/>
                <w:color w:val="000000"/>
                <w:sz w:val="20"/>
                <w:szCs w:val="20"/>
              </w:rPr>
              <w:t xml:space="preserve">intérêt </w:t>
            </w:r>
            <w:r w:rsidR="00B24A75" w:rsidRPr="008371D1">
              <w:rPr>
                <w:rFonts w:eastAsia="Calibri"/>
                <w:color w:val="000000"/>
                <w:sz w:val="20"/>
                <w:szCs w:val="20"/>
              </w:rPr>
              <w:t xml:space="preserve">personnel ou </w:t>
            </w:r>
            <w:r w:rsidR="008959F1" w:rsidRPr="008371D1">
              <w:rPr>
                <w:rFonts w:eastAsia="Calibri"/>
                <w:color w:val="000000"/>
                <w:sz w:val="20"/>
                <w:szCs w:val="20"/>
              </w:rPr>
              <w:t>partisan ou politique au détriment des ayants droits légitimes.</w:t>
            </w:r>
          </w:p>
          <w:p w:rsidR="002F7F35" w:rsidRPr="008371D1" w:rsidRDefault="008959F1"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Implication des </w:t>
            </w:r>
            <w:r w:rsidR="00A23519" w:rsidRPr="004D1BD0">
              <w:rPr>
                <w:rFonts w:ascii="Times New Roman" w:hAnsi="Times New Roman"/>
                <w:b/>
                <w:color w:val="000000"/>
                <w:szCs w:val="22"/>
              </w:rPr>
              <w:t xml:space="preserve">services ou des associations ou </w:t>
            </w:r>
            <w:r w:rsidR="00AE149C" w:rsidRPr="004D1BD0">
              <w:rPr>
                <w:rFonts w:ascii="Times New Roman" w:hAnsi="Times New Roman"/>
                <w:b/>
                <w:color w:val="000000"/>
                <w:szCs w:val="22"/>
              </w:rPr>
              <w:t>fédérations</w:t>
            </w:r>
            <w:r w:rsidR="00A23519" w:rsidRPr="004D1BD0">
              <w:rPr>
                <w:rFonts w:ascii="Times New Roman" w:hAnsi="Times New Roman"/>
                <w:b/>
                <w:color w:val="000000"/>
                <w:szCs w:val="22"/>
              </w:rPr>
              <w:t xml:space="preserve"> s’</w:t>
            </w:r>
            <w:r w:rsidRPr="004D1BD0">
              <w:rPr>
                <w:rFonts w:ascii="Times New Roman" w:hAnsi="Times New Roman"/>
                <w:b/>
                <w:color w:val="000000"/>
                <w:szCs w:val="22"/>
              </w:rPr>
              <w:t>activant dans le domaine de la</w:t>
            </w:r>
            <w:r w:rsidR="00AE149C" w:rsidRPr="004D1BD0">
              <w:rPr>
                <w:rFonts w:ascii="Times New Roman" w:hAnsi="Times New Roman"/>
                <w:b/>
                <w:color w:val="000000"/>
                <w:szCs w:val="22"/>
              </w:rPr>
              <w:t xml:space="preserve"> production ou de la </w:t>
            </w:r>
            <w:r w:rsidR="00B27BB7" w:rsidRPr="004D1BD0">
              <w:rPr>
                <w:rFonts w:ascii="Times New Roman" w:hAnsi="Times New Roman"/>
                <w:b/>
                <w:color w:val="000000"/>
                <w:szCs w:val="22"/>
              </w:rPr>
              <w:t xml:space="preserve">transformation ou de la commercialisation des productions agricoles surtout </w:t>
            </w:r>
            <w:r w:rsidR="00072782" w:rsidRPr="004D1BD0">
              <w:rPr>
                <w:rFonts w:ascii="Times New Roman" w:hAnsi="Times New Roman"/>
                <w:b/>
                <w:color w:val="000000"/>
                <w:szCs w:val="22"/>
              </w:rPr>
              <w:t>la noix</w:t>
            </w:r>
            <w:r w:rsidR="00B27BB7" w:rsidRPr="004D1BD0">
              <w:rPr>
                <w:rFonts w:ascii="Times New Roman" w:hAnsi="Times New Roman"/>
                <w:b/>
                <w:color w:val="000000"/>
                <w:szCs w:val="22"/>
              </w:rPr>
              <w:t xml:space="preserve"> de cajou reste un </w:t>
            </w:r>
            <w:r w:rsidR="002853E5" w:rsidRPr="004D1BD0">
              <w:rPr>
                <w:rFonts w:ascii="Times New Roman" w:hAnsi="Times New Roman"/>
                <w:b/>
                <w:color w:val="000000"/>
                <w:szCs w:val="22"/>
              </w:rPr>
              <w:t xml:space="preserve">enjeu </w:t>
            </w:r>
            <w:r w:rsidR="00072782" w:rsidRPr="004D1BD0">
              <w:rPr>
                <w:rFonts w:ascii="Times New Roman" w:hAnsi="Times New Roman"/>
                <w:b/>
                <w:color w:val="000000"/>
                <w:szCs w:val="22"/>
              </w:rPr>
              <w:t>très</w:t>
            </w:r>
            <w:r w:rsidR="002853E5" w:rsidRPr="004D1BD0">
              <w:rPr>
                <w:rFonts w:ascii="Times New Roman" w:hAnsi="Times New Roman"/>
                <w:b/>
                <w:color w:val="000000"/>
                <w:szCs w:val="22"/>
              </w:rPr>
              <w:t xml:space="preserve"> important au sien de la mise en œuvre du </w:t>
            </w:r>
            <w:r w:rsidR="00072782" w:rsidRPr="004D1BD0">
              <w:rPr>
                <w:rFonts w:ascii="Times New Roman" w:hAnsi="Times New Roman"/>
                <w:b/>
                <w:color w:val="000000"/>
                <w:szCs w:val="22"/>
              </w:rPr>
              <w:t>projet.</w:t>
            </w:r>
          </w:p>
          <w:p w:rsidR="00F11832" w:rsidRPr="008371D1" w:rsidRDefault="00072782"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Risque de c</w:t>
            </w:r>
            <w:r w:rsidR="008959F1" w:rsidRPr="004D1BD0">
              <w:rPr>
                <w:rFonts w:ascii="Times New Roman" w:hAnsi="Times New Roman"/>
                <w:b/>
                <w:color w:val="000000"/>
                <w:szCs w:val="22"/>
              </w:rPr>
              <w:t>onflits au sein d’une même catégorie socioprofessionnelle où les litiges engagent des individus d’une même famille, d’une même communauté villageoise ou d’une même prof</w:t>
            </w:r>
            <w:r w:rsidR="00771D36" w:rsidRPr="004D1BD0">
              <w:rPr>
                <w:rFonts w:ascii="Times New Roman" w:hAnsi="Times New Roman"/>
                <w:b/>
                <w:color w:val="000000"/>
                <w:szCs w:val="22"/>
              </w:rPr>
              <w:t>ession portant sur les q</w:t>
            </w:r>
            <w:r w:rsidR="00C61B73" w:rsidRPr="004D1BD0">
              <w:rPr>
                <w:rFonts w:ascii="Times New Roman" w:hAnsi="Times New Roman"/>
                <w:b/>
                <w:color w:val="000000"/>
                <w:szCs w:val="22"/>
              </w:rPr>
              <w:t xml:space="preserve">uantités ou </w:t>
            </w:r>
            <w:r w:rsidR="00AD77BB" w:rsidRPr="004D1BD0">
              <w:rPr>
                <w:rFonts w:ascii="Times New Roman" w:hAnsi="Times New Roman"/>
                <w:b/>
                <w:color w:val="000000"/>
                <w:szCs w:val="22"/>
              </w:rPr>
              <w:t xml:space="preserve">les </w:t>
            </w:r>
            <w:r w:rsidR="00C61B73" w:rsidRPr="004D1BD0">
              <w:rPr>
                <w:rFonts w:ascii="Times New Roman" w:hAnsi="Times New Roman"/>
                <w:b/>
                <w:color w:val="000000"/>
                <w:szCs w:val="22"/>
              </w:rPr>
              <w:t xml:space="preserve">qualités </w:t>
            </w:r>
            <w:r w:rsidR="0056754D" w:rsidRPr="004D1BD0">
              <w:rPr>
                <w:rFonts w:ascii="Times New Roman" w:hAnsi="Times New Roman"/>
                <w:b/>
                <w:color w:val="000000"/>
                <w:szCs w:val="22"/>
              </w:rPr>
              <w:t>des semences</w:t>
            </w:r>
            <w:r w:rsidR="00014F3D" w:rsidRPr="004D1BD0">
              <w:rPr>
                <w:rFonts w:ascii="Times New Roman" w:hAnsi="Times New Roman"/>
                <w:b/>
                <w:color w:val="000000"/>
                <w:szCs w:val="22"/>
              </w:rPr>
              <w:t xml:space="preserve"> ou </w:t>
            </w:r>
            <w:r w:rsidR="006030EB" w:rsidRPr="004D1BD0">
              <w:rPr>
                <w:rFonts w:ascii="Times New Roman" w:hAnsi="Times New Roman"/>
                <w:b/>
                <w:color w:val="000000"/>
                <w:szCs w:val="22"/>
              </w:rPr>
              <w:t>des e</w:t>
            </w:r>
            <w:r w:rsidR="00AD77BB" w:rsidRPr="004D1BD0">
              <w:rPr>
                <w:rFonts w:ascii="Times New Roman" w:hAnsi="Times New Roman"/>
                <w:b/>
                <w:color w:val="000000"/>
                <w:szCs w:val="22"/>
              </w:rPr>
              <w:t xml:space="preserve">ngrais </w:t>
            </w:r>
            <w:r w:rsidR="0056754D" w:rsidRPr="004D1BD0">
              <w:rPr>
                <w:rFonts w:ascii="Times New Roman" w:hAnsi="Times New Roman"/>
                <w:b/>
                <w:color w:val="000000"/>
                <w:szCs w:val="22"/>
              </w:rPr>
              <w:t xml:space="preserve">ou des matériels à </w:t>
            </w:r>
            <w:r w:rsidR="002D7D99" w:rsidRPr="004D1BD0">
              <w:rPr>
                <w:rFonts w:ascii="Times New Roman" w:hAnsi="Times New Roman"/>
                <w:b/>
                <w:color w:val="000000"/>
                <w:szCs w:val="22"/>
              </w:rPr>
              <w:t>acheter</w:t>
            </w:r>
            <w:r w:rsidR="00C87356" w:rsidRPr="004D1BD0">
              <w:rPr>
                <w:rFonts w:ascii="Times New Roman" w:hAnsi="Times New Roman"/>
                <w:b/>
                <w:color w:val="000000"/>
                <w:szCs w:val="22"/>
              </w:rPr>
              <w:t xml:space="preserve"> et à distribuer.</w:t>
            </w:r>
          </w:p>
          <w:p w:rsidR="002F7F35" w:rsidRPr="008371D1" w:rsidRDefault="005326BD"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083B97">
              <w:rPr>
                <w:rFonts w:ascii="Times New Roman" w:hAnsi="Times New Roman"/>
                <w:b/>
                <w:color w:val="000000"/>
                <w:szCs w:val="22"/>
              </w:rPr>
              <w:t xml:space="preserve">Manque et non-respect des lois pour reconnaitre les femmes à l’accès à la terre pourra être </w:t>
            </w:r>
            <w:r w:rsidR="00003032" w:rsidRPr="00083B97">
              <w:rPr>
                <w:rFonts w:ascii="Times New Roman" w:hAnsi="Times New Roman"/>
                <w:b/>
                <w:color w:val="000000"/>
                <w:szCs w:val="22"/>
              </w:rPr>
              <w:t>une source importante</w:t>
            </w:r>
            <w:r w:rsidRPr="00083B97">
              <w:rPr>
                <w:rFonts w:ascii="Times New Roman" w:hAnsi="Times New Roman"/>
                <w:b/>
                <w:color w:val="000000"/>
                <w:szCs w:val="22"/>
              </w:rPr>
              <w:t xml:space="preserve"> des actes de VBG  </w:t>
            </w:r>
          </w:p>
          <w:p w:rsidR="002F7F35" w:rsidRPr="008371D1" w:rsidRDefault="008959F1"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Augmentation des difficultés des éleveurs pour atteindre les zones de pâturage ou d’abreuvoir des animaux</w:t>
            </w:r>
            <w:r w:rsidR="0021317C" w:rsidRPr="004D1BD0">
              <w:rPr>
                <w:rFonts w:ascii="Times New Roman" w:hAnsi="Times New Roman"/>
                <w:b/>
                <w:color w:val="000000"/>
                <w:szCs w:val="22"/>
              </w:rPr>
              <w:t xml:space="preserve"> due à augmentation des espaces cultivé</w:t>
            </w:r>
            <w:r w:rsidR="007274D8" w:rsidRPr="004D1BD0">
              <w:rPr>
                <w:rFonts w:ascii="Times New Roman" w:hAnsi="Times New Roman"/>
                <w:b/>
                <w:color w:val="000000"/>
                <w:szCs w:val="22"/>
              </w:rPr>
              <w:t>e</w:t>
            </w:r>
            <w:r w:rsidR="0021317C" w:rsidRPr="004D1BD0">
              <w:rPr>
                <w:rFonts w:ascii="Times New Roman" w:hAnsi="Times New Roman"/>
                <w:b/>
                <w:color w:val="000000"/>
                <w:szCs w:val="22"/>
              </w:rPr>
              <w:t>s</w:t>
            </w:r>
            <w:r w:rsidRPr="004D1BD0">
              <w:rPr>
                <w:rFonts w:ascii="Times New Roman" w:hAnsi="Times New Roman"/>
                <w:b/>
                <w:color w:val="000000"/>
                <w:szCs w:val="22"/>
              </w:rPr>
              <w:t>.</w:t>
            </w:r>
          </w:p>
          <w:p w:rsidR="008959F1" w:rsidRPr="004D1BD0" w:rsidRDefault="008959F1"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Aspect sécuritaire </w:t>
            </w:r>
            <w:r w:rsidR="007274D8" w:rsidRPr="004D1BD0">
              <w:rPr>
                <w:rFonts w:ascii="Times New Roman" w:hAnsi="Times New Roman"/>
                <w:b/>
                <w:color w:val="000000"/>
                <w:szCs w:val="22"/>
              </w:rPr>
              <w:t xml:space="preserve">et sanitaire dans </w:t>
            </w:r>
            <w:r w:rsidR="00EB7917" w:rsidRPr="004D1BD0">
              <w:rPr>
                <w:rFonts w:ascii="Times New Roman" w:hAnsi="Times New Roman"/>
                <w:b/>
                <w:color w:val="000000"/>
                <w:szCs w:val="22"/>
              </w:rPr>
              <w:t>les différentes zones</w:t>
            </w:r>
            <w:r w:rsidR="007274D8" w:rsidRPr="004D1BD0">
              <w:rPr>
                <w:rFonts w:ascii="Times New Roman" w:hAnsi="Times New Roman"/>
                <w:b/>
                <w:color w:val="000000"/>
                <w:szCs w:val="22"/>
              </w:rPr>
              <w:t xml:space="preserve"> d’intervention </w:t>
            </w:r>
            <w:r w:rsidRPr="004D1BD0">
              <w:rPr>
                <w:rFonts w:ascii="Times New Roman" w:hAnsi="Times New Roman"/>
                <w:b/>
                <w:color w:val="000000"/>
                <w:szCs w:val="22"/>
              </w:rPr>
              <w:t>du projet</w:t>
            </w:r>
          </w:p>
          <w:p w:rsidR="007802D8" w:rsidRPr="008371D1" w:rsidRDefault="001D4337"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8371D1">
              <w:rPr>
                <w:color w:val="000000"/>
                <w:sz w:val="20"/>
                <w:szCs w:val="20"/>
              </w:rPr>
              <w:t>-</w:t>
            </w:r>
            <w:r w:rsidR="008959F1" w:rsidRPr="008371D1">
              <w:rPr>
                <w:color w:val="000000"/>
                <w:sz w:val="20"/>
                <w:szCs w:val="20"/>
              </w:rPr>
              <w:t>Les respects des normes sanitaires, d’hygiène, et sécuritaire</w:t>
            </w:r>
            <w:r w:rsidR="001C5593" w:rsidRPr="008371D1">
              <w:rPr>
                <w:color w:val="000000"/>
                <w:sz w:val="20"/>
                <w:szCs w:val="20"/>
              </w:rPr>
              <w:t xml:space="preserve"> par rapport à l’utilisation des pesticides</w:t>
            </w:r>
            <w:r w:rsidR="007802D8" w:rsidRPr="008371D1">
              <w:rPr>
                <w:color w:val="000000"/>
                <w:sz w:val="20"/>
                <w:szCs w:val="20"/>
              </w:rPr>
              <w:t> ;</w:t>
            </w:r>
          </w:p>
          <w:p w:rsidR="00473743" w:rsidRPr="008371D1" w:rsidRDefault="001D4337"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8371D1">
              <w:rPr>
                <w:color w:val="000000"/>
                <w:sz w:val="20"/>
                <w:szCs w:val="20"/>
              </w:rPr>
              <w:t>-</w:t>
            </w:r>
            <w:r w:rsidR="007802D8" w:rsidRPr="008371D1">
              <w:rPr>
                <w:color w:val="000000"/>
                <w:sz w:val="20"/>
                <w:szCs w:val="20"/>
              </w:rPr>
              <w:t>Les maladies d’origine hydrique sont responsables d’environ 9 pour cent des décès et de presque 50 pour cent de la mortalité infantile. Ces chiffres sont dus aux conditions sanitaires et à l’utilisation des eaux de surface pour la boisson.</w:t>
            </w:r>
          </w:p>
          <w:p w:rsidR="00473743" w:rsidRPr="008371D1" w:rsidRDefault="001D4337"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rPr>
              <w:t>-</w:t>
            </w:r>
            <w:r w:rsidR="00473743" w:rsidRPr="008371D1">
              <w:rPr>
                <w:color w:val="000000"/>
                <w:sz w:val="20"/>
                <w:szCs w:val="20"/>
              </w:rPr>
              <w:t xml:space="preserve">Découragement de la population à cause </w:t>
            </w:r>
            <w:r w:rsidR="005F570E" w:rsidRPr="008371D1">
              <w:rPr>
                <w:color w:val="000000"/>
                <w:sz w:val="20"/>
                <w:szCs w:val="20"/>
              </w:rPr>
              <w:t xml:space="preserve">des </w:t>
            </w:r>
            <w:r w:rsidR="00E65679" w:rsidRPr="008371D1">
              <w:rPr>
                <w:color w:val="000000"/>
                <w:sz w:val="20"/>
                <w:szCs w:val="20"/>
              </w:rPr>
              <w:t>inondations</w:t>
            </w:r>
            <w:r w:rsidR="005F570E" w:rsidRPr="008371D1">
              <w:rPr>
                <w:color w:val="000000"/>
                <w:sz w:val="20"/>
                <w:szCs w:val="20"/>
              </w:rPr>
              <w:t xml:space="preserve"> ou de </w:t>
            </w:r>
            <w:r w:rsidR="00E65679" w:rsidRPr="008371D1">
              <w:rPr>
                <w:color w:val="000000"/>
                <w:sz w:val="20"/>
                <w:szCs w:val="20"/>
              </w:rPr>
              <w:t>la salinisation</w:t>
            </w:r>
            <w:r w:rsidR="00473743" w:rsidRPr="008371D1">
              <w:rPr>
                <w:color w:val="000000"/>
                <w:sz w:val="20"/>
                <w:szCs w:val="20"/>
              </w:rPr>
              <w:t xml:space="preserve"> des terres rizicoles </w:t>
            </w:r>
            <w:r w:rsidR="005F570E" w:rsidRPr="008371D1">
              <w:rPr>
                <w:color w:val="000000"/>
                <w:sz w:val="20"/>
                <w:szCs w:val="20"/>
              </w:rPr>
              <w:t>dans</w:t>
            </w:r>
            <w:r w:rsidR="00E65679" w:rsidRPr="008371D1">
              <w:rPr>
                <w:color w:val="000000"/>
                <w:sz w:val="20"/>
                <w:szCs w:val="20"/>
              </w:rPr>
              <w:t xml:space="preserve"> l’intérieur du pays</w:t>
            </w:r>
            <w:r w:rsidR="005F570E" w:rsidRPr="008371D1">
              <w:rPr>
                <w:color w:val="000000"/>
                <w:sz w:val="20"/>
                <w:szCs w:val="20"/>
              </w:rPr>
              <w:t xml:space="preserve"> </w:t>
            </w:r>
            <w:r w:rsidR="00E65679" w:rsidRPr="008371D1">
              <w:rPr>
                <w:color w:val="000000"/>
                <w:sz w:val="20"/>
                <w:szCs w:val="20"/>
              </w:rPr>
              <w:t>(Tomboli, Gabu, Quinara, etc.) ;</w:t>
            </w:r>
          </w:p>
          <w:p w:rsidR="006763EA" w:rsidRPr="008371D1" w:rsidRDefault="001D4337" w:rsidP="008371D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6763EA" w:rsidRPr="008371D1">
              <w:rPr>
                <w:color w:val="000000"/>
                <w:sz w:val="20"/>
                <w:szCs w:val="20"/>
              </w:rPr>
              <w:t>Risque de discrimination des femmes pourrait être noter avec la situation du pays ;</w:t>
            </w:r>
          </w:p>
          <w:p w:rsidR="00E04B7D" w:rsidRPr="008371D1" w:rsidRDefault="00187EBE" w:rsidP="00157035">
            <w:pPr>
              <w:pStyle w:val="PargrafodaLista"/>
              <w:numPr>
                <w:ilvl w:val="0"/>
                <w:numId w:val="51"/>
              </w:numPr>
              <w:ind w:left="170" w:hanging="142"/>
              <w:jc w:val="both"/>
              <w:cnfStyle w:val="000000000000" w:firstRow="0" w:lastRow="0" w:firstColumn="0" w:lastColumn="0" w:oddVBand="0" w:evenVBand="0" w:oddHBand="0" w:evenHBand="0" w:firstRowFirstColumn="0" w:firstRowLastColumn="0" w:lastRowFirstColumn="0" w:lastRowLastColumn="0"/>
              <w:rPr>
                <w:b/>
                <w:color w:val="000000"/>
                <w:szCs w:val="22"/>
              </w:rPr>
            </w:pPr>
            <w:r w:rsidRPr="004D1BD0">
              <w:rPr>
                <w:rFonts w:ascii="Times New Roman" w:hAnsi="Times New Roman"/>
                <w:b/>
                <w:color w:val="000000"/>
                <w:szCs w:val="22"/>
              </w:rPr>
              <w:t>Augmentation des difficultés des éleveurs</w:t>
            </w:r>
            <w:r>
              <w:rPr>
                <w:rFonts w:ascii="Times New Roman" w:hAnsi="Times New Roman"/>
                <w:b/>
                <w:color w:val="000000"/>
                <w:szCs w:val="22"/>
              </w:rPr>
              <w:t xml:space="preserve"> par rapport à la </w:t>
            </w:r>
            <w:r w:rsidR="004C4208">
              <w:rPr>
                <w:rFonts w:ascii="Times New Roman" w:hAnsi="Times New Roman"/>
                <w:b/>
                <w:color w:val="000000"/>
                <w:szCs w:val="22"/>
              </w:rPr>
              <w:t>santé</w:t>
            </w:r>
            <w:r>
              <w:rPr>
                <w:rFonts w:ascii="Times New Roman" w:hAnsi="Times New Roman"/>
                <w:b/>
                <w:color w:val="000000"/>
                <w:szCs w:val="22"/>
              </w:rPr>
              <w:t xml:space="preserve"> des animaux </w:t>
            </w:r>
            <w:r w:rsidR="002664E1">
              <w:rPr>
                <w:rFonts w:ascii="Times New Roman" w:hAnsi="Times New Roman"/>
                <w:b/>
                <w:color w:val="000000"/>
                <w:szCs w:val="22"/>
              </w:rPr>
              <w:t>(</w:t>
            </w:r>
            <w:r w:rsidR="002664E1" w:rsidRPr="002664E1">
              <w:rPr>
                <w:b/>
                <w:color w:val="000000"/>
                <w:szCs w:val="22"/>
              </w:rPr>
              <w:t>notamment</w:t>
            </w:r>
            <w:r w:rsidR="002664E1">
              <w:rPr>
                <w:b/>
                <w:color w:val="000000"/>
                <w:szCs w:val="22"/>
              </w:rPr>
              <w:t xml:space="preserve"> </w:t>
            </w:r>
            <w:r w:rsidR="002664E1" w:rsidRPr="008371D1">
              <w:rPr>
                <w:rFonts w:ascii="Times New Roman" w:hAnsi="Times New Roman"/>
                <w:b/>
                <w:color w:val="000000"/>
                <w:szCs w:val="22"/>
              </w:rPr>
              <w:t xml:space="preserve">la vaccination, la </w:t>
            </w:r>
            <w:r w:rsidR="002664E1" w:rsidRPr="002664E1">
              <w:rPr>
                <w:rFonts w:ascii="Times New Roman" w:hAnsi="Times New Roman"/>
                <w:b/>
                <w:color w:val="000000"/>
                <w:szCs w:val="22"/>
              </w:rPr>
              <w:t>vermification</w:t>
            </w:r>
            <w:r w:rsidR="002664E1">
              <w:rPr>
                <w:rFonts w:ascii="Times New Roman" w:hAnsi="Times New Roman"/>
                <w:b/>
                <w:color w:val="000000"/>
                <w:szCs w:val="22"/>
              </w:rPr>
              <w:t>)</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 xml:space="preserve">Risque de développement de </w:t>
            </w:r>
            <w:r w:rsidR="003A0620" w:rsidRPr="008371D1">
              <w:rPr>
                <w:color w:val="000000"/>
                <w:sz w:val="20"/>
                <w:szCs w:val="20"/>
              </w:rPr>
              <w:t xml:space="preserve">maladies parasitoses chez les animaux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Risque d’exposition à des agents pathogènes contenus dans les déchets organiques et autres zoonoses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Augmentation de la pression sur les parcours naturels (surpâturage)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 xml:space="preserve">Les problèmes d’interdiction d’accès aux puits ou mares ;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Risque de blessure des animaux s’abreuvant au niveau des mares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Amélioration contre le vol de bétail et au banditisme</w:t>
            </w:r>
          </w:p>
          <w:p w:rsidR="00473743" w:rsidRPr="004D1BD0" w:rsidRDefault="008822CA" w:rsidP="008371D1">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 w:val="20"/>
                <w:szCs w:val="20"/>
              </w:rPr>
              <w:t>-</w:t>
            </w:r>
            <w:r w:rsidR="00104F51" w:rsidRPr="008371D1">
              <w:rPr>
                <w:color w:val="000000"/>
                <w:sz w:val="20"/>
                <w:szCs w:val="20"/>
              </w:rPr>
              <w:t>Réduction des problèmes d'accès à l'eau pour l’abreuvage du bétail</w:t>
            </w:r>
          </w:p>
        </w:tc>
        <w:tc>
          <w:tcPr>
            <w:tcW w:w="4252" w:type="dxa"/>
            <w:vAlign w:val="center"/>
          </w:tcPr>
          <w:p w:rsidR="00980057" w:rsidRPr="00A05698" w:rsidRDefault="00980057"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05698">
              <w:rPr>
                <w:rFonts w:ascii="Times New Roman" w:hAnsi="Times New Roman"/>
                <w:color w:val="000000"/>
              </w:rPr>
              <w:t>Coûts élevés de production dans certaines filières ;</w:t>
            </w:r>
          </w:p>
          <w:p w:rsidR="00327103" w:rsidRPr="00A05698" w:rsidRDefault="00327103" w:rsidP="00010BAB">
            <w:pPr>
              <w:contextualSpacing/>
              <w:cnfStyle w:val="000000000000" w:firstRow="0" w:lastRow="0" w:firstColumn="0" w:lastColumn="0" w:oddVBand="0" w:evenVBand="0" w:oddHBand="0" w:evenHBand="0" w:firstRowFirstColumn="0" w:firstRowLastColumn="0" w:lastRowFirstColumn="0" w:lastRowLastColumn="0"/>
              <w:rPr>
                <w:rFonts w:eastAsia="Calibri"/>
                <w:iCs/>
                <w:color w:val="000000"/>
                <w:sz w:val="20"/>
                <w:szCs w:val="20"/>
              </w:rPr>
            </w:pPr>
            <w:r w:rsidRPr="00A05698">
              <w:rPr>
                <w:rFonts w:eastAsia="Calibri"/>
                <w:iCs/>
                <w:color w:val="000000"/>
                <w:sz w:val="20"/>
                <w:szCs w:val="20"/>
              </w:rPr>
              <w:t>-Liés aux facteurs de production (eau, motopompe, gasoil, etc.)</w:t>
            </w:r>
          </w:p>
          <w:p w:rsidR="00327103" w:rsidRPr="00A05698" w:rsidRDefault="00327103" w:rsidP="00010BAB">
            <w:pPr>
              <w:contextualSpacing/>
              <w:cnfStyle w:val="000000000000" w:firstRow="0" w:lastRow="0" w:firstColumn="0" w:lastColumn="0" w:oddVBand="0" w:evenVBand="0" w:oddHBand="0" w:evenHBand="0" w:firstRowFirstColumn="0" w:firstRowLastColumn="0" w:lastRowFirstColumn="0" w:lastRowLastColumn="0"/>
              <w:rPr>
                <w:rFonts w:eastAsia="Calibri"/>
                <w:iCs/>
                <w:color w:val="000000"/>
                <w:sz w:val="20"/>
                <w:szCs w:val="20"/>
              </w:rPr>
            </w:pPr>
            <w:r w:rsidRPr="00A05698">
              <w:rPr>
                <w:rFonts w:eastAsia="Calibri"/>
                <w:iCs/>
                <w:color w:val="000000"/>
                <w:sz w:val="20"/>
                <w:szCs w:val="20"/>
              </w:rPr>
              <w:t xml:space="preserve">-Lies aux prix d’achat des intrants par la population </w:t>
            </w:r>
          </w:p>
          <w:p w:rsidR="00327103" w:rsidRPr="00A05698" w:rsidRDefault="00327103" w:rsidP="00010BAB">
            <w:pPr>
              <w:contextualSpacing/>
              <w:cnfStyle w:val="000000000000" w:firstRow="0" w:lastRow="0" w:firstColumn="0" w:lastColumn="0" w:oddVBand="0" w:evenVBand="0" w:oddHBand="0" w:evenHBand="0" w:firstRowFirstColumn="0" w:firstRowLastColumn="0" w:lastRowFirstColumn="0" w:lastRowLastColumn="0"/>
              <w:rPr>
                <w:rFonts w:eastAsia="Calibri"/>
                <w:iCs/>
                <w:color w:val="000000"/>
                <w:sz w:val="20"/>
                <w:szCs w:val="20"/>
              </w:rPr>
            </w:pPr>
            <w:r w:rsidRPr="00A05698">
              <w:rPr>
                <w:rFonts w:eastAsia="Calibri"/>
                <w:iCs/>
                <w:color w:val="000000"/>
                <w:sz w:val="20"/>
                <w:szCs w:val="20"/>
              </w:rPr>
              <w:t>-Les délais de payement des prêts des agriculteurs trop peut.</w:t>
            </w:r>
          </w:p>
          <w:p w:rsidR="00980057" w:rsidRPr="004D1BD0" w:rsidRDefault="00980057" w:rsidP="00010BAB">
            <w:pPr>
              <w:cnfStyle w:val="000000000000" w:firstRow="0" w:lastRow="0" w:firstColumn="0" w:lastColumn="0" w:oddVBand="0" w:evenVBand="0" w:oddHBand="0" w:evenHBand="0" w:firstRowFirstColumn="0" w:firstRowLastColumn="0" w:lastRowFirstColumn="0" w:lastRowLastColumn="0"/>
              <w:rPr>
                <w:b/>
                <w:color w:val="000000"/>
                <w:szCs w:val="22"/>
              </w:rPr>
            </w:pP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Commercialisation des produits</w:t>
            </w:r>
            <w:r w:rsidR="00E27C49" w:rsidRPr="004D1BD0">
              <w:rPr>
                <w:rFonts w:ascii="Times New Roman" w:hAnsi="Times New Roman"/>
                <w:b/>
                <w:color w:val="000000"/>
                <w:szCs w:val="22"/>
              </w:rPr>
              <w:t xml:space="preserve"> </w:t>
            </w:r>
            <w:r w:rsidR="00C92C17" w:rsidRPr="004D1BD0">
              <w:rPr>
                <w:rFonts w:ascii="Times New Roman" w:hAnsi="Times New Roman"/>
                <w:b/>
                <w:color w:val="000000"/>
                <w:szCs w:val="22"/>
              </w:rPr>
              <w:t>agricole</w:t>
            </w:r>
            <w:r w:rsidR="006961C9" w:rsidRPr="004D1BD0">
              <w:rPr>
                <w:rFonts w:ascii="Times New Roman" w:hAnsi="Times New Roman"/>
                <w:b/>
                <w:color w:val="000000"/>
                <w:szCs w:val="22"/>
              </w:rPr>
              <w:t>s</w:t>
            </w:r>
          </w:p>
          <w:p w:rsidR="008959F1" w:rsidRPr="004D1BD0" w:rsidRDefault="00FC7F19"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rPr>
            </w:pPr>
            <w:r w:rsidRPr="004D1BD0">
              <w:rPr>
                <w:rFonts w:ascii="Times New Roman" w:hAnsi="Times New Roman"/>
                <w:color w:val="000000"/>
                <w:szCs w:val="22"/>
              </w:rPr>
              <w:t xml:space="preserve">- </w:t>
            </w:r>
            <w:r w:rsidR="008959F1" w:rsidRPr="004D1BD0">
              <w:rPr>
                <w:rFonts w:ascii="Times New Roman" w:hAnsi="Times New Roman"/>
                <w:color w:val="000000"/>
                <w:szCs w:val="22"/>
              </w:rPr>
              <w:t>Les marchés</w:t>
            </w:r>
            <w:r w:rsidR="006961C9" w:rsidRPr="004D1BD0">
              <w:rPr>
                <w:rFonts w:ascii="Times New Roman" w:hAnsi="Times New Roman"/>
                <w:color w:val="000000"/>
                <w:szCs w:val="22"/>
              </w:rPr>
              <w:t xml:space="preserve"> nationales et internationale</w:t>
            </w:r>
            <w:r w:rsidR="008959F1" w:rsidRPr="004D1BD0">
              <w:rPr>
                <w:rFonts w:ascii="Times New Roman" w:hAnsi="Times New Roman"/>
                <w:color w:val="000000"/>
                <w:szCs w:val="22"/>
              </w:rPr>
              <w:t xml:space="preserve"> ne semblent pas être maîtrisés au moins pour certaines filières </w:t>
            </w:r>
            <w:r w:rsidR="006961C9" w:rsidRPr="004D1BD0">
              <w:rPr>
                <w:rFonts w:ascii="Times New Roman" w:hAnsi="Times New Roman"/>
                <w:color w:val="000000"/>
                <w:szCs w:val="22"/>
              </w:rPr>
              <w:t xml:space="preserve">par les producteurs et </w:t>
            </w:r>
            <w:r w:rsidR="008E2DFA" w:rsidRPr="004D1BD0">
              <w:rPr>
                <w:rFonts w:ascii="Times New Roman" w:hAnsi="Times New Roman"/>
                <w:color w:val="000000"/>
                <w:szCs w:val="22"/>
              </w:rPr>
              <w:t xml:space="preserve">commerçants surtout </w:t>
            </w:r>
            <w:r w:rsidR="00F22341" w:rsidRPr="004D1BD0">
              <w:rPr>
                <w:rFonts w:ascii="Times New Roman" w:hAnsi="Times New Roman"/>
                <w:color w:val="000000"/>
                <w:szCs w:val="22"/>
              </w:rPr>
              <w:t xml:space="preserve">pour </w:t>
            </w:r>
            <w:r w:rsidR="008E2DFA" w:rsidRPr="004D1BD0">
              <w:rPr>
                <w:rFonts w:ascii="Times New Roman" w:hAnsi="Times New Roman"/>
                <w:color w:val="000000"/>
                <w:szCs w:val="22"/>
              </w:rPr>
              <w:t xml:space="preserve">le secteur </w:t>
            </w:r>
            <w:r w:rsidR="00F22341" w:rsidRPr="004D1BD0">
              <w:rPr>
                <w:rFonts w:ascii="Times New Roman" w:hAnsi="Times New Roman"/>
                <w:color w:val="000000"/>
                <w:szCs w:val="22"/>
              </w:rPr>
              <w:t>de la noix</w:t>
            </w:r>
            <w:r w:rsidR="008E2DFA" w:rsidRPr="004D1BD0">
              <w:rPr>
                <w:rFonts w:ascii="Times New Roman" w:hAnsi="Times New Roman"/>
                <w:color w:val="000000"/>
                <w:szCs w:val="22"/>
              </w:rPr>
              <w:t xml:space="preserve"> de cajou </w:t>
            </w:r>
            <w:r w:rsidR="00F22341" w:rsidRPr="004D1BD0">
              <w:rPr>
                <w:rFonts w:ascii="Times New Roman" w:hAnsi="Times New Roman"/>
                <w:color w:val="000000"/>
                <w:szCs w:val="22"/>
              </w:rPr>
              <w:t>avec l’existence de la pandémie C</w:t>
            </w:r>
            <w:r w:rsidRPr="004D1BD0">
              <w:rPr>
                <w:rFonts w:ascii="Times New Roman" w:hAnsi="Times New Roman"/>
                <w:color w:val="000000"/>
                <w:szCs w:val="22"/>
              </w:rPr>
              <w:t>ovid 19 ;</w:t>
            </w:r>
          </w:p>
          <w:p w:rsidR="008959F1" w:rsidRPr="004D1BD0" w:rsidRDefault="00FC7F19"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rPr>
            </w:pPr>
            <w:r w:rsidRPr="004D1BD0">
              <w:rPr>
                <w:rFonts w:ascii="Times New Roman" w:hAnsi="Times New Roman"/>
                <w:color w:val="000000"/>
                <w:szCs w:val="22"/>
              </w:rPr>
              <w:t xml:space="preserve">- </w:t>
            </w:r>
            <w:r w:rsidR="008959F1" w:rsidRPr="004D1BD0">
              <w:rPr>
                <w:rFonts w:ascii="Times New Roman" w:hAnsi="Times New Roman"/>
                <w:color w:val="000000"/>
                <w:szCs w:val="22"/>
              </w:rPr>
              <w:t>Les problèmes et difficultés d’accès au</w:t>
            </w:r>
            <w:r w:rsidRPr="004D1BD0">
              <w:rPr>
                <w:rFonts w:ascii="Times New Roman" w:hAnsi="Times New Roman"/>
                <w:color w:val="000000"/>
                <w:szCs w:val="22"/>
              </w:rPr>
              <w:t>x</w:t>
            </w:r>
            <w:r w:rsidR="008959F1" w:rsidRPr="004D1BD0">
              <w:rPr>
                <w:rFonts w:ascii="Times New Roman" w:hAnsi="Times New Roman"/>
                <w:color w:val="000000"/>
                <w:szCs w:val="22"/>
              </w:rPr>
              <w:t xml:space="preserve"> marché</w:t>
            </w:r>
            <w:r w:rsidRPr="004D1BD0">
              <w:rPr>
                <w:rFonts w:ascii="Times New Roman" w:hAnsi="Times New Roman"/>
                <w:color w:val="000000"/>
                <w:szCs w:val="22"/>
              </w:rPr>
              <w:t>s</w:t>
            </w:r>
            <w:r w:rsidR="008959F1" w:rsidRPr="004D1BD0">
              <w:rPr>
                <w:rFonts w:ascii="Times New Roman" w:hAnsi="Times New Roman"/>
                <w:color w:val="000000"/>
                <w:szCs w:val="22"/>
              </w:rPr>
              <w:t> </w:t>
            </w:r>
            <w:r w:rsidRPr="004D1BD0">
              <w:rPr>
                <w:rFonts w:ascii="Times New Roman" w:hAnsi="Times New Roman"/>
                <w:color w:val="000000"/>
                <w:szCs w:val="22"/>
              </w:rPr>
              <w:t xml:space="preserve">locales </w:t>
            </w:r>
            <w:r w:rsidR="00090315" w:rsidRPr="004D1BD0">
              <w:rPr>
                <w:rFonts w:ascii="Times New Roman" w:hAnsi="Times New Roman"/>
                <w:color w:val="000000"/>
                <w:szCs w:val="22"/>
              </w:rPr>
              <w:t>ou sous régionale pa</w:t>
            </w:r>
            <w:r w:rsidR="005E393E" w:rsidRPr="004D1BD0">
              <w:rPr>
                <w:rFonts w:ascii="Times New Roman" w:hAnsi="Times New Roman"/>
                <w:color w:val="000000"/>
                <w:szCs w:val="22"/>
              </w:rPr>
              <w:t xml:space="preserve">r les producteurs </w:t>
            </w:r>
            <w:r w:rsidR="00090315" w:rsidRPr="004D1BD0">
              <w:rPr>
                <w:rFonts w:ascii="Times New Roman" w:hAnsi="Times New Roman"/>
                <w:color w:val="000000"/>
                <w:szCs w:val="22"/>
              </w:rPr>
              <w:t xml:space="preserve">pour écouler leurs produits </w:t>
            </w:r>
            <w:r w:rsidR="00AF79EB" w:rsidRPr="004D1BD0">
              <w:rPr>
                <w:rFonts w:ascii="Times New Roman" w:hAnsi="Times New Roman"/>
                <w:color w:val="000000"/>
                <w:szCs w:val="22"/>
              </w:rPr>
              <w:t>agricoles ;</w:t>
            </w:r>
            <w:r w:rsidR="008959F1" w:rsidRPr="004D1BD0">
              <w:rPr>
                <w:rFonts w:ascii="Times New Roman" w:hAnsi="Times New Roman"/>
                <w:color w:val="000000"/>
                <w:szCs w:val="22"/>
              </w:rPr>
              <w:t xml:space="preserve"> </w:t>
            </w:r>
          </w:p>
          <w:p w:rsidR="008C2CE0" w:rsidRPr="004D1BD0" w:rsidRDefault="008C2CE0"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rPr>
            </w:pP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La qualit</w:t>
            </w:r>
            <w:r w:rsidR="004D3811" w:rsidRPr="004D1BD0">
              <w:rPr>
                <w:rFonts w:ascii="Times New Roman" w:hAnsi="Times New Roman"/>
                <w:b/>
                <w:color w:val="000000"/>
                <w:szCs w:val="22"/>
              </w:rPr>
              <w:t>é de</w:t>
            </w:r>
            <w:r w:rsidRPr="004D1BD0">
              <w:rPr>
                <w:rFonts w:ascii="Times New Roman" w:hAnsi="Times New Roman"/>
                <w:b/>
                <w:color w:val="000000"/>
                <w:szCs w:val="22"/>
              </w:rPr>
              <w:t xml:space="preserve"> transformations des produits </w:t>
            </w:r>
            <w:r w:rsidR="00AF79EB" w:rsidRPr="004D1BD0">
              <w:rPr>
                <w:rFonts w:ascii="Times New Roman" w:hAnsi="Times New Roman"/>
                <w:b/>
                <w:color w:val="000000"/>
                <w:szCs w:val="22"/>
              </w:rPr>
              <w:t xml:space="preserve">agricoles </w:t>
            </w:r>
            <w:r w:rsidR="006F7D7C" w:rsidRPr="004D1BD0">
              <w:rPr>
                <w:rFonts w:ascii="Times New Roman" w:hAnsi="Times New Roman"/>
                <w:b/>
                <w:color w:val="000000"/>
                <w:szCs w:val="22"/>
              </w:rPr>
              <w:t xml:space="preserve">par les associations, GIE ou </w:t>
            </w:r>
            <w:r w:rsidR="00980057" w:rsidRPr="004D1BD0">
              <w:rPr>
                <w:rFonts w:ascii="Times New Roman" w:hAnsi="Times New Roman"/>
                <w:b/>
                <w:color w:val="000000"/>
                <w:szCs w:val="22"/>
              </w:rPr>
              <w:t xml:space="preserve">fédérations </w:t>
            </w:r>
            <w:r w:rsidR="00AF79EB" w:rsidRPr="004D1BD0">
              <w:rPr>
                <w:rFonts w:ascii="Times New Roman" w:hAnsi="Times New Roman"/>
                <w:b/>
                <w:color w:val="000000"/>
                <w:szCs w:val="22"/>
              </w:rPr>
              <w:t>pour la</w:t>
            </w:r>
            <w:r w:rsidRPr="004D1BD0">
              <w:rPr>
                <w:rFonts w:ascii="Times New Roman" w:hAnsi="Times New Roman"/>
                <w:b/>
                <w:color w:val="000000"/>
                <w:szCs w:val="22"/>
              </w:rPr>
              <w:t xml:space="preserve"> commercialisation (nationale et/ou internationale) qui répondent aux normes et conditions sanitaires requises </w:t>
            </w:r>
            <w:r w:rsidR="004D3811" w:rsidRPr="004D1BD0">
              <w:rPr>
                <w:rFonts w:ascii="Times New Roman" w:hAnsi="Times New Roman"/>
                <w:b/>
                <w:color w:val="000000"/>
                <w:szCs w:val="22"/>
              </w:rPr>
              <w:t>pour concurrencer les produits importés ;</w:t>
            </w:r>
          </w:p>
          <w:p w:rsidR="008959F1" w:rsidRPr="004D1BD0" w:rsidRDefault="008959F1" w:rsidP="00010BAB">
            <w:pPr>
              <w:pStyle w:val="PargrafodaLista"/>
              <w:spacing w:line="240" w:lineRule="auto"/>
              <w:ind w:left="32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8959F1" w:rsidRPr="004D1BD0" w:rsidRDefault="00AF79EB"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Exploitation des </w:t>
            </w:r>
            <w:r w:rsidR="00B27D18" w:rsidRPr="004D1BD0">
              <w:rPr>
                <w:rFonts w:ascii="Times New Roman" w:hAnsi="Times New Roman"/>
                <w:b/>
                <w:color w:val="000000"/>
                <w:szCs w:val="22"/>
              </w:rPr>
              <w:t>périmètres</w:t>
            </w:r>
            <w:r w:rsidRPr="004D1BD0">
              <w:rPr>
                <w:rFonts w:ascii="Times New Roman" w:hAnsi="Times New Roman"/>
                <w:b/>
                <w:color w:val="000000"/>
                <w:szCs w:val="22"/>
              </w:rPr>
              <w:t xml:space="preserve"> maraichers </w:t>
            </w:r>
            <w:r w:rsidR="008959F1" w:rsidRPr="004D1BD0">
              <w:rPr>
                <w:rFonts w:ascii="Times New Roman" w:hAnsi="Times New Roman"/>
                <w:b/>
                <w:color w:val="000000"/>
                <w:szCs w:val="22"/>
              </w:rPr>
              <w:t>pourraient constituer un en</w:t>
            </w:r>
            <w:r w:rsidR="00EA366C" w:rsidRPr="004D1BD0">
              <w:rPr>
                <w:rFonts w:ascii="Times New Roman" w:hAnsi="Times New Roman"/>
                <w:b/>
                <w:color w:val="000000"/>
                <w:szCs w:val="22"/>
              </w:rPr>
              <w:t>jeu majeur pour ces jeunes des</w:t>
            </w:r>
            <w:r w:rsidR="008959F1" w:rsidRPr="004D1BD0">
              <w:rPr>
                <w:rFonts w:ascii="Times New Roman" w:hAnsi="Times New Roman"/>
                <w:b/>
                <w:color w:val="000000"/>
                <w:szCs w:val="22"/>
              </w:rPr>
              <w:t xml:space="preserve"> localité</w:t>
            </w:r>
            <w:r w:rsidR="00EA366C" w:rsidRPr="004D1BD0">
              <w:rPr>
                <w:rFonts w:ascii="Times New Roman" w:hAnsi="Times New Roman"/>
                <w:b/>
                <w:color w:val="000000"/>
                <w:szCs w:val="22"/>
              </w:rPr>
              <w:t>s</w:t>
            </w:r>
            <w:r w:rsidR="00D802F0" w:rsidRPr="004D1BD0">
              <w:rPr>
                <w:rFonts w:ascii="Times New Roman" w:hAnsi="Times New Roman"/>
                <w:b/>
                <w:color w:val="000000"/>
                <w:szCs w:val="22"/>
              </w:rPr>
              <w:t xml:space="preserve"> concernées</w:t>
            </w:r>
            <w:r w:rsidR="008959F1" w:rsidRPr="004D1BD0">
              <w:rPr>
                <w:rFonts w:ascii="Times New Roman" w:hAnsi="Times New Roman"/>
                <w:b/>
                <w:color w:val="000000"/>
                <w:szCs w:val="22"/>
              </w:rPr>
              <w:t xml:space="preserve"> en ce qu’il peut offrir des emplois directs et permanents ;</w:t>
            </w:r>
          </w:p>
          <w:p w:rsidR="008959F1" w:rsidRPr="004D1BD0" w:rsidRDefault="008959F1" w:rsidP="00010BAB">
            <w:pPr>
              <w:pStyle w:val="PargrafodaLista"/>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Développement de l</w:t>
            </w:r>
            <w:r w:rsidR="00A05714" w:rsidRPr="004D1BD0">
              <w:rPr>
                <w:rFonts w:ascii="Times New Roman" w:hAnsi="Times New Roman"/>
                <w:b/>
                <w:color w:val="000000"/>
                <w:szCs w:val="22"/>
              </w:rPr>
              <w:t>’</w:t>
            </w:r>
            <w:r w:rsidRPr="004D1BD0">
              <w:rPr>
                <w:rFonts w:ascii="Times New Roman" w:hAnsi="Times New Roman"/>
                <w:b/>
                <w:color w:val="000000"/>
                <w:szCs w:val="22"/>
              </w:rPr>
              <w:t>entreprenariat rural dans le domaine des PME-PMI ;</w:t>
            </w:r>
          </w:p>
          <w:p w:rsidR="00D92271" w:rsidRPr="004D1BD0" w:rsidRDefault="00D92271" w:rsidP="00010BAB">
            <w:pPr>
              <w:cnfStyle w:val="000000000000" w:firstRow="0" w:lastRow="0" w:firstColumn="0" w:lastColumn="0" w:oddVBand="0" w:evenVBand="0" w:oddHBand="0" w:evenHBand="0" w:firstRowFirstColumn="0" w:firstRowLastColumn="0" w:lastRowFirstColumn="0" w:lastRowLastColumn="0"/>
              <w:rPr>
                <w:b/>
                <w:color w:val="000000"/>
                <w:szCs w:val="22"/>
              </w:rPr>
            </w:pPr>
          </w:p>
          <w:p w:rsidR="00D92271" w:rsidRPr="004D1BD0" w:rsidRDefault="00D92271" w:rsidP="00010BAB">
            <w:pPr>
              <w:pStyle w:val="PargrafodaLista"/>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CA648E"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Améliorati</w:t>
            </w:r>
            <w:r w:rsidR="00FB5F1D" w:rsidRPr="004D1BD0">
              <w:rPr>
                <w:rFonts w:ascii="Times New Roman" w:hAnsi="Times New Roman"/>
                <w:b/>
                <w:color w:val="000000"/>
                <w:szCs w:val="22"/>
              </w:rPr>
              <w:t xml:space="preserve">on des revenus des </w:t>
            </w:r>
            <w:r w:rsidR="005F73E7" w:rsidRPr="004D1BD0">
              <w:rPr>
                <w:rFonts w:ascii="Times New Roman" w:hAnsi="Times New Roman"/>
                <w:b/>
                <w:color w:val="000000"/>
                <w:szCs w:val="22"/>
              </w:rPr>
              <w:t xml:space="preserve">agriculteurs </w:t>
            </w:r>
            <w:r w:rsidR="00362E8C" w:rsidRPr="004D1BD0">
              <w:rPr>
                <w:rFonts w:ascii="Times New Roman" w:hAnsi="Times New Roman"/>
                <w:b/>
                <w:color w:val="000000"/>
                <w:szCs w:val="22"/>
              </w:rPr>
              <w:t>grâce</w:t>
            </w:r>
            <w:r w:rsidR="005F73E7" w:rsidRPr="004D1BD0">
              <w:rPr>
                <w:rFonts w:ascii="Times New Roman" w:hAnsi="Times New Roman"/>
                <w:b/>
                <w:color w:val="000000"/>
                <w:szCs w:val="22"/>
              </w:rPr>
              <w:t xml:space="preserve"> au </w:t>
            </w:r>
            <w:r w:rsidR="00362E8C" w:rsidRPr="004D1BD0">
              <w:rPr>
                <w:rFonts w:ascii="Times New Roman" w:hAnsi="Times New Roman"/>
                <w:b/>
                <w:color w:val="000000"/>
                <w:szCs w:val="22"/>
              </w:rPr>
              <w:t xml:space="preserve">renforcement des capacité techniques </w:t>
            </w:r>
            <w:r w:rsidR="00542272" w:rsidRPr="004D1BD0">
              <w:rPr>
                <w:rFonts w:ascii="Times New Roman" w:hAnsi="Times New Roman"/>
                <w:b/>
                <w:color w:val="000000"/>
                <w:szCs w:val="22"/>
              </w:rPr>
              <w:t xml:space="preserve">et </w:t>
            </w:r>
            <w:r w:rsidR="00C76D5B" w:rsidRPr="004D1BD0">
              <w:rPr>
                <w:rFonts w:ascii="Times New Roman" w:hAnsi="Times New Roman"/>
                <w:b/>
                <w:color w:val="000000"/>
                <w:szCs w:val="22"/>
              </w:rPr>
              <w:t>matériels</w:t>
            </w:r>
            <w:r w:rsidR="00542272" w:rsidRPr="004D1BD0">
              <w:rPr>
                <w:rFonts w:ascii="Times New Roman" w:hAnsi="Times New Roman"/>
                <w:b/>
                <w:color w:val="000000"/>
                <w:szCs w:val="22"/>
              </w:rPr>
              <w:t xml:space="preserve"> </w:t>
            </w:r>
            <w:r w:rsidR="00C76D5B" w:rsidRPr="004D1BD0">
              <w:rPr>
                <w:rFonts w:ascii="Times New Roman" w:hAnsi="Times New Roman"/>
                <w:b/>
                <w:color w:val="000000"/>
                <w:szCs w:val="22"/>
              </w:rPr>
              <w:t xml:space="preserve">qu’offrira le projet PUSA </w:t>
            </w:r>
            <w:r w:rsidR="00362E8C" w:rsidRPr="004D1BD0">
              <w:rPr>
                <w:rFonts w:ascii="Times New Roman" w:hAnsi="Times New Roman"/>
                <w:b/>
                <w:color w:val="000000"/>
                <w:szCs w:val="22"/>
              </w:rPr>
              <w:t>;</w:t>
            </w:r>
          </w:p>
          <w:p w:rsidR="00CA648E" w:rsidRPr="004D1BD0" w:rsidRDefault="00CA648E" w:rsidP="00010BAB">
            <w:pPr>
              <w:pStyle w:val="PargrafodaLista"/>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CA648E" w:rsidRPr="004D1BD0" w:rsidRDefault="00351DD2"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Pr>
                <w:rFonts w:ascii="Times New Roman" w:hAnsi="Times New Roman"/>
                <w:b/>
                <w:iCs/>
                <w:color w:val="000000"/>
                <w:szCs w:val="22"/>
              </w:rPr>
              <w:t>La présence et l</w:t>
            </w:r>
            <w:r w:rsidR="007E1919">
              <w:rPr>
                <w:rFonts w:ascii="Times New Roman" w:hAnsi="Times New Roman"/>
                <w:b/>
                <w:iCs/>
                <w:color w:val="000000"/>
                <w:szCs w:val="22"/>
              </w:rPr>
              <w:t xml:space="preserve">’augmentation </w:t>
            </w:r>
            <w:r>
              <w:rPr>
                <w:rFonts w:ascii="Times New Roman" w:hAnsi="Times New Roman"/>
                <w:b/>
                <w:iCs/>
                <w:color w:val="000000"/>
                <w:szCs w:val="22"/>
              </w:rPr>
              <w:t>des importateurs de la noix de cajou</w:t>
            </w:r>
            <w:r w:rsidR="00CA648E" w:rsidRPr="004D1BD0">
              <w:rPr>
                <w:rFonts w:ascii="Times New Roman" w:hAnsi="Times New Roman"/>
                <w:b/>
                <w:iCs/>
                <w:color w:val="000000"/>
                <w:szCs w:val="22"/>
              </w:rPr>
              <w:t xml:space="preserve"> simultanée</w:t>
            </w:r>
            <w:r w:rsidR="00B43051">
              <w:rPr>
                <w:rFonts w:ascii="Times New Roman" w:hAnsi="Times New Roman"/>
                <w:b/>
                <w:iCs/>
                <w:color w:val="000000"/>
                <w:szCs w:val="22"/>
              </w:rPr>
              <w:t xml:space="preserve"> au niveau des</w:t>
            </w:r>
            <w:r w:rsidR="00CA648E" w:rsidRPr="004D1BD0">
              <w:rPr>
                <w:rFonts w:ascii="Times New Roman" w:hAnsi="Times New Roman"/>
                <w:b/>
                <w:iCs/>
                <w:color w:val="000000"/>
                <w:szCs w:val="22"/>
              </w:rPr>
              <w:t xml:space="preserve"> marchés </w:t>
            </w:r>
            <w:r w:rsidR="00B43051">
              <w:rPr>
                <w:rFonts w:ascii="Times New Roman" w:hAnsi="Times New Roman"/>
                <w:b/>
                <w:iCs/>
                <w:color w:val="000000"/>
                <w:szCs w:val="22"/>
              </w:rPr>
              <w:t xml:space="preserve">constituer </w:t>
            </w:r>
            <w:r w:rsidR="0073132A">
              <w:rPr>
                <w:rFonts w:ascii="Times New Roman" w:hAnsi="Times New Roman"/>
                <w:b/>
                <w:iCs/>
                <w:color w:val="000000"/>
                <w:szCs w:val="22"/>
              </w:rPr>
              <w:t>un enjeu économique important qu’il faudra réglementer pour permettre au</w:t>
            </w:r>
            <w:r w:rsidR="00AB040F">
              <w:rPr>
                <w:rFonts w:ascii="Times New Roman" w:hAnsi="Times New Roman"/>
                <w:b/>
                <w:iCs/>
                <w:color w:val="000000"/>
                <w:szCs w:val="22"/>
              </w:rPr>
              <w:t>x</w:t>
            </w:r>
            <w:r w:rsidR="0073132A">
              <w:rPr>
                <w:rFonts w:ascii="Times New Roman" w:hAnsi="Times New Roman"/>
                <w:b/>
                <w:iCs/>
                <w:color w:val="000000"/>
                <w:szCs w:val="22"/>
              </w:rPr>
              <w:t xml:space="preserve"> producteur</w:t>
            </w:r>
            <w:r w:rsidR="00AB040F">
              <w:rPr>
                <w:rFonts w:ascii="Times New Roman" w:hAnsi="Times New Roman"/>
                <w:b/>
                <w:iCs/>
                <w:color w:val="000000"/>
                <w:szCs w:val="22"/>
              </w:rPr>
              <w:t xml:space="preserve">s d’accroitre leurs </w:t>
            </w:r>
            <w:r w:rsidR="00434BF1">
              <w:rPr>
                <w:rFonts w:ascii="Times New Roman" w:hAnsi="Times New Roman"/>
                <w:b/>
                <w:iCs/>
                <w:color w:val="000000"/>
                <w:szCs w:val="22"/>
              </w:rPr>
              <w:t>revenus</w:t>
            </w:r>
            <w:r w:rsidR="00434BF1" w:rsidRPr="004D1BD0">
              <w:rPr>
                <w:rFonts w:ascii="Times New Roman" w:hAnsi="Times New Roman"/>
                <w:b/>
                <w:iCs/>
                <w:color w:val="000000"/>
                <w:szCs w:val="22"/>
              </w:rPr>
              <w:t xml:space="preserve"> ;</w:t>
            </w:r>
          </w:p>
          <w:p w:rsidR="00CA648E" w:rsidRPr="004D1BD0" w:rsidRDefault="00CA648E" w:rsidP="00010BAB">
            <w:pPr>
              <w:cnfStyle w:val="000000000000" w:firstRow="0" w:lastRow="0" w:firstColumn="0" w:lastColumn="0" w:oddVBand="0" w:evenVBand="0" w:oddHBand="0" w:evenHBand="0" w:firstRowFirstColumn="0" w:firstRowLastColumn="0" w:lastRowFirstColumn="0" w:lastRowLastColumn="0"/>
              <w:rPr>
                <w:b/>
                <w:color w:val="000000"/>
                <w:szCs w:val="22"/>
              </w:rPr>
            </w:pPr>
          </w:p>
        </w:tc>
      </w:tr>
      <w:tr w:rsidR="00C662B9" w:rsidRPr="00A05698" w:rsidTr="00010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shd w:val="clear" w:color="auto" w:fill="FFFFFF" w:themeFill="background1"/>
            <w:vAlign w:val="center"/>
          </w:tcPr>
          <w:p w:rsidR="008959F1" w:rsidRPr="00A05698" w:rsidRDefault="00EA70EE" w:rsidP="00C662B9">
            <w:pPr>
              <w:jc w:val="center"/>
              <w:rPr>
                <w:bCs w:val="0"/>
                <w:i/>
                <w:sz w:val="28"/>
                <w:szCs w:val="28"/>
              </w:rPr>
            </w:pPr>
            <w:r w:rsidRPr="00A05698">
              <w:rPr>
                <w:bCs w:val="0"/>
                <w:i/>
                <w:sz w:val="28"/>
                <w:szCs w:val="28"/>
              </w:rPr>
              <w:t xml:space="preserve">Soutien aux Filets de Sécurité communautaires </w:t>
            </w:r>
          </w:p>
        </w:tc>
        <w:tc>
          <w:tcPr>
            <w:tcW w:w="3916" w:type="dxa"/>
            <w:shd w:val="clear" w:color="auto" w:fill="FFFFFF" w:themeFill="background1"/>
            <w:vAlign w:val="center"/>
          </w:tcPr>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Perte de couverts végétal et </w:t>
            </w:r>
            <w:r w:rsidR="00F36227" w:rsidRPr="00F36227">
              <w:rPr>
                <w:rFonts w:ascii="Times New Roman" w:hAnsi="Times New Roman"/>
                <w:b/>
                <w:color w:val="000000"/>
                <w:szCs w:val="22"/>
              </w:rPr>
              <w:t>d'habitats critiques, naturels ou</w:t>
            </w:r>
            <w:r w:rsidR="007B48B1">
              <w:rPr>
                <w:rFonts w:ascii="Times New Roman" w:hAnsi="Times New Roman"/>
                <w:b/>
                <w:color w:val="000000"/>
                <w:szCs w:val="22"/>
              </w:rPr>
              <w:t xml:space="preserve"> de haute valeur</w:t>
            </w:r>
            <w:r w:rsidRPr="004D1BD0">
              <w:rPr>
                <w:rFonts w:ascii="Times New Roman" w:hAnsi="Times New Roman"/>
                <w:b/>
                <w:color w:val="000000"/>
                <w:szCs w:val="22"/>
              </w:rPr>
              <w:t xml:space="preserve"> pour la faune</w:t>
            </w:r>
            <w:r w:rsidR="004C6A2A" w:rsidRPr="004D1BD0">
              <w:rPr>
                <w:rFonts w:ascii="Times New Roman" w:hAnsi="Times New Roman"/>
                <w:b/>
                <w:color w:val="000000"/>
                <w:szCs w:val="22"/>
              </w:rPr>
              <w:t>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Phénomènes de déboisement pour les activités de libération des emprises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Disparation de certaine espèce végétale locale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Pollution des eaux de surface et sous souterraine</w:t>
            </w:r>
            <w:r w:rsidR="004C6A2A" w:rsidRPr="004D1BD0">
              <w:rPr>
                <w:rFonts w:ascii="Times New Roman" w:hAnsi="Times New Roman"/>
                <w:b/>
                <w:color w:val="000000"/>
                <w:szCs w:val="22"/>
              </w:rPr>
              <w:t> ;</w:t>
            </w:r>
          </w:p>
          <w:p w:rsidR="002B747A" w:rsidRPr="004D1BD0" w:rsidRDefault="004C6A2A"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Dégradation des sols ou sous-sols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Une mauvaise utilisation et de gestion de ces sources peut polluer les eaux</w:t>
            </w:r>
            <w:r w:rsidR="004C6A2A" w:rsidRPr="004D1BD0">
              <w:rPr>
                <w:rFonts w:ascii="Times New Roman" w:hAnsi="Times New Roman"/>
                <w:b/>
                <w:color w:val="000000"/>
                <w:szCs w:val="22"/>
              </w:rPr>
              <w:t>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rPr>
            </w:pPr>
            <w:r w:rsidRPr="004D1BD0">
              <w:rPr>
                <w:rFonts w:ascii="Times New Roman" w:hAnsi="Times New Roman"/>
                <w:b/>
                <w:color w:val="000000"/>
                <w:szCs w:val="22"/>
              </w:rPr>
              <w:t>Par rapport à la fragilisation et l’imperméabilisation du sol</w:t>
            </w:r>
            <w:r w:rsidR="004C6A2A" w:rsidRPr="004D1BD0">
              <w:rPr>
                <w:rFonts w:ascii="Times New Roman" w:hAnsi="Times New Roman"/>
                <w:b/>
                <w:color w:val="000000"/>
                <w:szCs w:val="22"/>
              </w:rPr>
              <w:t> ;</w:t>
            </w:r>
          </w:p>
        </w:tc>
        <w:tc>
          <w:tcPr>
            <w:tcW w:w="4098" w:type="dxa"/>
            <w:shd w:val="clear" w:color="auto" w:fill="FFFFFF" w:themeFill="background1"/>
            <w:vAlign w:val="center"/>
          </w:tcPr>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Besoin en infrastructures agricoles</w:t>
            </w:r>
          </w:p>
          <w:p w:rsidR="008959F1" w:rsidRPr="004D1BD0" w:rsidRDefault="00865147" w:rsidP="00157035">
            <w:pPr>
              <w:pStyle w:val="PargrafodaLista"/>
              <w:numPr>
                <w:ilvl w:val="0"/>
                <w:numId w:val="52"/>
              </w:numPr>
              <w:spacing w:after="0"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w:t>
            </w:r>
            <w:r w:rsidR="00541C71" w:rsidRPr="004D1BD0">
              <w:rPr>
                <w:rFonts w:ascii="Times New Roman" w:hAnsi="Times New Roman"/>
                <w:iCs/>
                <w:color w:val="000000"/>
                <w:szCs w:val="22"/>
              </w:rPr>
              <w:t xml:space="preserve"> </w:t>
            </w:r>
            <w:r w:rsidR="008959F1" w:rsidRPr="004D1BD0">
              <w:rPr>
                <w:rFonts w:ascii="Times New Roman" w:hAnsi="Times New Roman"/>
                <w:iCs/>
                <w:color w:val="000000"/>
                <w:szCs w:val="22"/>
              </w:rPr>
              <w:t>Obtention en nombre des infrastructures de stockage des semences</w:t>
            </w:r>
            <w:r w:rsidR="0001211A" w:rsidRPr="004D1BD0">
              <w:rPr>
                <w:rFonts w:ascii="Times New Roman" w:hAnsi="Times New Roman"/>
                <w:iCs/>
                <w:color w:val="000000"/>
                <w:szCs w:val="22"/>
              </w:rPr>
              <w:t>, des engrais</w:t>
            </w:r>
            <w:r w:rsidR="008959F1" w:rsidRPr="004D1BD0">
              <w:rPr>
                <w:rFonts w:ascii="Times New Roman" w:hAnsi="Times New Roman"/>
                <w:iCs/>
                <w:color w:val="000000"/>
                <w:szCs w:val="22"/>
              </w:rPr>
              <w:t xml:space="preserve"> et des récoltes</w:t>
            </w:r>
            <w:r w:rsidR="0001211A" w:rsidRPr="004D1BD0">
              <w:rPr>
                <w:rFonts w:ascii="Times New Roman" w:hAnsi="Times New Roman"/>
                <w:iCs/>
                <w:color w:val="000000"/>
                <w:szCs w:val="22"/>
              </w:rPr>
              <w:t xml:space="preserve"> (noix de cajou, riz, mil,</w:t>
            </w:r>
            <w:r w:rsidR="00B3145B" w:rsidRPr="004D1BD0">
              <w:rPr>
                <w:rFonts w:ascii="Times New Roman" w:hAnsi="Times New Roman"/>
                <w:iCs/>
                <w:color w:val="000000"/>
                <w:szCs w:val="22"/>
              </w:rPr>
              <w:t xml:space="preserve"> maïs, etc.)</w:t>
            </w:r>
            <w:r w:rsidR="008959F1" w:rsidRPr="004D1BD0">
              <w:rPr>
                <w:rFonts w:ascii="Times New Roman" w:hAnsi="Times New Roman"/>
                <w:iCs/>
                <w:color w:val="000000"/>
                <w:szCs w:val="22"/>
              </w:rPr>
              <w:t xml:space="preserve"> so</w:t>
            </w:r>
            <w:r w:rsidR="002222DD" w:rsidRPr="004D1BD0">
              <w:rPr>
                <w:rFonts w:ascii="Times New Roman" w:hAnsi="Times New Roman"/>
                <w:iCs/>
                <w:color w:val="000000"/>
                <w:szCs w:val="22"/>
              </w:rPr>
              <w:t>nt les principaux enjeux dans le pays ;</w:t>
            </w:r>
          </w:p>
          <w:p w:rsidR="008959F1" w:rsidRPr="004D1BD0" w:rsidRDefault="00230F38" w:rsidP="00157035">
            <w:pPr>
              <w:pStyle w:val="PargrafodaLista"/>
              <w:numPr>
                <w:ilvl w:val="0"/>
                <w:numId w:val="52"/>
              </w:numPr>
              <w:spacing w:after="0"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-Les</w:t>
            </w:r>
            <w:r w:rsidR="008959F1" w:rsidRPr="004D1BD0">
              <w:rPr>
                <w:rFonts w:ascii="Times New Roman" w:hAnsi="Times New Roman"/>
                <w:iCs/>
                <w:color w:val="000000"/>
                <w:szCs w:val="22"/>
              </w:rPr>
              <w:t xml:space="preserve"> capacité</w:t>
            </w:r>
            <w:r w:rsidRPr="004D1BD0">
              <w:rPr>
                <w:rFonts w:ascii="Times New Roman" w:hAnsi="Times New Roman"/>
                <w:iCs/>
                <w:color w:val="000000"/>
                <w:szCs w:val="22"/>
              </w:rPr>
              <w:t>s</w:t>
            </w:r>
            <w:r w:rsidR="008959F1" w:rsidRPr="004D1BD0">
              <w:rPr>
                <w:rFonts w:ascii="Times New Roman" w:hAnsi="Times New Roman"/>
                <w:iCs/>
                <w:color w:val="000000"/>
                <w:szCs w:val="22"/>
              </w:rPr>
              <w:t xml:space="preserve"> </w:t>
            </w:r>
            <w:r w:rsidR="00B739F6" w:rsidRPr="004D1BD0">
              <w:rPr>
                <w:rFonts w:ascii="Times New Roman" w:hAnsi="Times New Roman"/>
                <w:iCs/>
                <w:color w:val="000000"/>
                <w:szCs w:val="22"/>
              </w:rPr>
              <w:t>stockage</w:t>
            </w:r>
            <w:r w:rsidRPr="004D1BD0">
              <w:rPr>
                <w:rFonts w:ascii="Times New Roman" w:hAnsi="Times New Roman"/>
                <w:iCs/>
                <w:color w:val="000000"/>
                <w:szCs w:val="22"/>
              </w:rPr>
              <w:t>s</w:t>
            </w:r>
            <w:r w:rsidR="00B739F6" w:rsidRPr="004D1BD0">
              <w:rPr>
                <w:rFonts w:ascii="Times New Roman" w:hAnsi="Times New Roman"/>
                <w:iCs/>
                <w:color w:val="000000"/>
                <w:szCs w:val="22"/>
              </w:rPr>
              <w:t xml:space="preserve"> font</w:t>
            </w:r>
            <w:r w:rsidR="008959F1" w:rsidRPr="004D1BD0">
              <w:rPr>
                <w:rFonts w:ascii="Times New Roman" w:hAnsi="Times New Roman"/>
                <w:iCs/>
                <w:color w:val="000000"/>
                <w:szCs w:val="22"/>
              </w:rPr>
              <w:t xml:space="preserve"> partie des enjeux à prendre en compte dans </w:t>
            </w:r>
            <w:r w:rsidR="00BA1FDA" w:rsidRPr="004D1BD0">
              <w:rPr>
                <w:rFonts w:ascii="Times New Roman" w:hAnsi="Times New Roman"/>
                <w:iCs/>
                <w:color w:val="000000"/>
                <w:szCs w:val="22"/>
              </w:rPr>
              <w:t>les futures réhabilitations</w:t>
            </w:r>
            <w:r w:rsidR="005F57F1" w:rsidRPr="004D1BD0">
              <w:rPr>
                <w:rFonts w:ascii="Times New Roman" w:hAnsi="Times New Roman"/>
                <w:iCs/>
                <w:color w:val="000000"/>
                <w:szCs w:val="22"/>
              </w:rPr>
              <w:t xml:space="preserve"> car certaines</w:t>
            </w:r>
            <w:r w:rsidR="008959F1" w:rsidRPr="004D1BD0">
              <w:rPr>
                <w:rFonts w:ascii="Times New Roman" w:hAnsi="Times New Roman"/>
                <w:iCs/>
                <w:color w:val="000000"/>
                <w:szCs w:val="22"/>
              </w:rPr>
              <w:t xml:space="preserve"> zone</w:t>
            </w:r>
            <w:r w:rsidR="005F57F1" w:rsidRPr="004D1BD0">
              <w:rPr>
                <w:rFonts w:ascii="Times New Roman" w:hAnsi="Times New Roman"/>
                <w:iCs/>
                <w:color w:val="000000"/>
                <w:szCs w:val="22"/>
              </w:rPr>
              <w:t>s</w:t>
            </w:r>
            <w:r w:rsidR="008959F1" w:rsidRPr="004D1BD0">
              <w:rPr>
                <w:rFonts w:ascii="Times New Roman" w:hAnsi="Times New Roman"/>
                <w:iCs/>
                <w:color w:val="000000"/>
                <w:szCs w:val="22"/>
              </w:rPr>
              <w:t xml:space="preserve"> rencontre</w:t>
            </w:r>
            <w:r w:rsidR="005F57F1" w:rsidRPr="004D1BD0">
              <w:rPr>
                <w:rFonts w:ascii="Times New Roman" w:hAnsi="Times New Roman"/>
                <w:iCs/>
                <w:color w:val="000000"/>
                <w:szCs w:val="22"/>
              </w:rPr>
              <w:t>nt</w:t>
            </w:r>
            <w:r w:rsidRPr="004D1BD0">
              <w:rPr>
                <w:rFonts w:ascii="Times New Roman" w:hAnsi="Times New Roman"/>
                <w:iCs/>
                <w:color w:val="000000"/>
                <w:szCs w:val="22"/>
              </w:rPr>
              <w:t xml:space="preserve"> </w:t>
            </w:r>
            <w:r w:rsidR="00007C07" w:rsidRPr="004D1BD0">
              <w:rPr>
                <w:rFonts w:ascii="Times New Roman" w:hAnsi="Times New Roman"/>
                <w:iCs/>
                <w:color w:val="000000"/>
                <w:szCs w:val="22"/>
              </w:rPr>
              <w:t>des problèmes</w:t>
            </w:r>
            <w:r w:rsidR="00AC250D" w:rsidRPr="004D1BD0">
              <w:rPr>
                <w:rFonts w:ascii="Times New Roman" w:hAnsi="Times New Roman"/>
                <w:iCs/>
                <w:color w:val="000000"/>
                <w:szCs w:val="22"/>
              </w:rPr>
              <w:t xml:space="preserve"> de capacité</w:t>
            </w:r>
            <w:r w:rsidR="008959F1" w:rsidRPr="004D1BD0">
              <w:rPr>
                <w:rFonts w:ascii="Times New Roman" w:hAnsi="Times New Roman"/>
                <w:iCs/>
                <w:color w:val="000000"/>
                <w:szCs w:val="22"/>
              </w:rPr>
              <w:t xml:space="preserve"> </w:t>
            </w:r>
            <w:r w:rsidR="00AC250D" w:rsidRPr="004D1BD0">
              <w:rPr>
                <w:rFonts w:ascii="Times New Roman" w:hAnsi="Times New Roman"/>
                <w:iCs/>
                <w:color w:val="000000"/>
                <w:szCs w:val="22"/>
              </w:rPr>
              <w:t>stockage</w:t>
            </w:r>
            <w:r w:rsidR="005F57F1" w:rsidRPr="004D1BD0">
              <w:rPr>
                <w:rFonts w:ascii="Times New Roman" w:hAnsi="Times New Roman"/>
                <w:iCs/>
                <w:color w:val="000000"/>
                <w:szCs w:val="22"/>
              </w:rPr>
              <w:t xml:space="preserve"> des produits agricoles surtout </w:t>
            </w:r>
            <w:r w:rsidR="00AC250D" w:rsidRPr="004D1BD0">
              <w:rPr>
                <w:rFonts w:ascii="Times New Roman" w:hAnsi="Times New Roman"/>
                <w:iCs/>
                <w:color w:val="000000"/>
                <w:szCs w:val="22"/>
              </w:rPr>
              <w:t xml:space="preserve">pour </w:t>
            </w:r>
            <w:r w:rsidR="005F57F1" w:rsidRPr="004D1BD0">
              <w:rPr>
                <w:rFonts w:ascii="Times New Roman" w:hAnsi="Times New Roman"/>
                <w:iCs/>
                <w:color w:val="000000"/>
                <w:szCs w:val="22"/>
              </w:rPr>
              <w:t xml:space="preserve">les noix de </w:t>
            </w:r>
            <w:r w:rsidR="00BA1FDA" w:rsidRPr="004D1BD0">
              <w:rPr>
                <w:rFonts w:ascii="Times New Roman" w:hAnsi="Times New Roman"/>
                <w:iCs/>
                <w:color w:val="000000"/>
                <w:szCs w:val="22"/>
              </w:rPr>
              <w:t>cajou ;</w:t>
            </w:r>
          </w:p>
          <w:p w:rsidR="00960EC4" w:rsidRPr="004D1BD0" w:rsidRDefault="00960EC4" w:rsidP="00157035">
            <w:pPr>
              <w:pStyle w:val="PargrafodaLista"/>
              <w:numPr>
                <w:ilvl w:val="0"/>
                <w:numId w:val="52"/>
              </w:numPr>
              <w:spacing w:after="0"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-Informer et sensibiliser les agricultures par rapport à la présence des plateformes stockages et leur utilité pour bonifier les impacts positives ;</w:t>
            </w:r>
          </w:p>
          <w:p w:rsidR="005121C8" w:rsidRPr="004D1BD0" w:rsidRDefault="00DA7E2E"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Besoin en </w:t>
            </w:r>
            <w:r w:rsidR="001358D8" w:rsidRPr="004D1BD0">
              <w:rPr>
                <w:rFonts w:ascii="Times New Roman" w:hAnsi="Times New Roman"/>
                <w:b/>
                <w:color w:val="000000"/>
                <w:szCs w:val="22"/>
              </w:rPr>
              <w:t>infrastructure</w:t>
            </w:r>
            <w:r w:rsidR="00F87E89" w:rsidRPr="004D1BD0">
              <w:rPr>
                <w:rFonts w:ascii="Times New Roman" w:hAnsi="Times New Roman"/>
                <w:b/>
                <w:color w:val="000000"/>
                <w:szCs w:val="22"/>
              </w:rPr>
              <w:t xml:space="preserve"> d</w:t>
            </w:r>
            <w:r w:rsidR="00670493" w:rsidRPr="004D1BD0">
              <w:rPr>
                <w:rFonts w:ascii="Times New Roman" w:hAnsi="Times New Roman"/>
                <w:b/>
                <w:color w:val="000000"/>
                <w:szCs w:val="22"/>
              </w:rPr>
              <w:t>’</w:t>
            </w:r>
            <w:r w:rsidR="001479DE" w:rsidRPr="004D1BD0">
              <w:rPr>
                <w:rFonts w:ascii="Times New Roman" w:hAnsi="Times New Roman"/>
                <w:b/>
                <w:color w:val="000000"/>
                <w:szCs w:val="22"/>
              </w:rPr>
              <w:t>espace</w:t>
            </w:r>
            <w:r w:rsidR="006D150C" w:rsidRPr="004D1BD0">
              <w:rPr>
                <w:rFonts w:ascii="Times New Roman" w:hAnsi="Times New Roman"/>
                <w:b/>
                <w:color w:val="000000"/>
                <w:szCs w:val="22"/>
              </w:rPr>
              <w:t xml:space="preserve"> de </w:t>
            </w:r>
            <w:r w:rsidR="007B01FE" w:rsidRPr="004D1BD0">
              <w:rPr>
                <w:rFonts w:ascii="Times New Roman" w:hAnsi="Times New Roman"/>
                <w:b/>
                <w:color w:val="000000"/>
                <w:szCs w:val="22"/>
              </w:rPr>
              <w:t xml:space="preserve">commercialisation </w:t>
            </w:r>
            <w:r w:rsidR="005D01B0" w:rsidRPr="004D1BD0">
              <w:rPr>
                <w:rFonts w:ascii="Times New Roman" w:hAnsi="Times New Roman"/>
                <w:b/>
                <w:color w:val="000000"/>
                <w:szCs w:val="22"/>
              </w:rPr>
              <w:t>des produits d’agricole</w:t>
            </w:r>
          </w:p>
          <w:p w:rsidR="00DA7E2E" w:rsidRPr="004D1BD0" w:rsidRDefault="00B4580A" w:rsidP="00010BAB">
            <w:pPr>
              <w:cnfStyle w:val="000000100000" w:firstRow="0" w:lastRow="0" w:firstColumn="0" w:lastColumn="0" w:oddVBand="0" w:evenVBand="0" w:oddHBand="1" w:evenHBand="0" w:firstRowFirstColumn="0" w:firstRowLastColumn="0" w:lastRowFirstColumn="0" w:lastRowLastColumn="0"/>
              <w:rPr>
                <w:rFonts w:eastAsia="Calibri"/>
                <w:iCs/>
                <w:color w:val="000000"/>
                <w:sz w:val="20"/>
                <w:szCs w:val="22"/>
              </w:rPr>
            </w:pPr>
            <w:r w:rsidRPr="004D1BD0">
              <w:rPr>
                <w:iCs/>
                <w:color w:val="000000"/>
                <w:szCs w:val="22"/>
              </w:rPr>
              <w:t>-</w:t>
            </w:r>
            <w:r w:rsidR="00E764D5" w:rsidRPr="004D1BD0">
              <w:rPr>
                <w:rFonts w:eastAsia="Calibri"/>
                <w:iCs/>
                <w:color w:val="000000"/>
                <w:sz w:val="20"/>
                <w:szCs w:val="22"/>
              </w:rPr>
              <w:t>L</w:t>
            </w:r>
            <w:r w:rsidR="000E2378" w:rsidRPr="004D1BD0">
              <w:rPr>
                <w:rFonts w:eastAsia="Calibri"/>
                <w:iCs/>
                <w:color w:val="000000"/>
                <w:sz w:val="20"/>
                <w:szCs w:val="22"/>
              </w:rPr>
              <w:t xml:space="preserve">es manques de marché </w:t>
            </w:r>
            <w:r w:rsidR="0013562A" w:rsidRPr="004D1BD0">
              <w:rPr>
                <w:rFonts w:eastAsia="Calibri"/>
                <w:iCs/>
                <w:color w:val="000000"/>
                <w:sz w:val="20"/>
                <w:szCs w:val="22"/>
              </w:rPr>
              <w:t>loca</w:t>
            </w:r>
            <w:r w:rsidR="00D30360" w:rsidRPr="004D1BD0">
              <w:rPr>
                <w:rFonts w:eastAsia="Calibri"/>
                <w:iCs/>
                <w:color w:val="000000"/>
                <w:sz w:val="20"/>
                <w:szCs w:val="22"/>
              </w:rPr>
              <w:t xml:space="preserve">le, </w:t>
            </w:r>
            <w:r w:rsidR="00124CEB" w:rsidRPr="004D1BD0">
              <w:rPr>
                <w:rFonts w:eastAsia="Calibri"/>
                <w:iCs/>
                <w:color w:val="000000"/>
                <w:sz w:val="20"/>
                <w:szCs w:val="22"/>
              </w:rPr>
              <w:t>régionale</w:t>
            </w:r>
            <w:r w:rsidR="003F75BF" w:rsidRPr="004D1BD0">
              <w:rPr>
                <w:rFonts w:eastAsia="Calibri"/>
                <w:iCs/>
                <w:color w:val="000000"/>
                <w:sz w:val="20"/>
                <w:szCs w:val="22"/>
              </w:rPr>
              <w:t xml:space="preserve"> et </w:t>
            </w:r>
            <w:r w:rsidR="006D62FD" w:rsidRPr="004D1BD0">
              <w:rPr>
                <w:rFonts w:eastAsia="Calibri"/>
                <w:iCs/>
                <w:color w:val="000000"/>
                <w:sz w:val="20"/>
                <w:szCs w:val="22"/>
              </w:rPr>
              <w:t xml:space="preserve">sous régionale au niveau </w:t>
            </w:r>
            <w:r w:rsidR="003F75BF" w:rsidRPr="004D1BD0">
              <w:rPr>
                <w:rFonts w:eastAsia="Calibri"/>
                <w:iCs/>
                <w:color w:val="000000"/>
                <w:sz w:val="20"/>
                <w:szCs w:val="22"/>
              </w:rPr>
              <w:t>de la</w:t>
            </w:r>
            <w:r w:rsidR="00AB4163" w:rsidRPr="004D1BD0">
              <w:rPr>
                <w:rFonts w:eastAsia="Calibri"/>
                <w:iCs/>
                <w:color w:val="000000"/>
                <w:sz w:val="20"/>
                <w:szCs w:val="22"/>
              </w:rPr>
              <w:t xml:space="preserve"> G</w:t>
            </w:r>
            <w:r w:rsidR="0057710F" w:rsidRPr="004D1BD0">
              <w:rPr>
                <w:rFonts w:eastAsia="Calibri"/>
                <w:iCs/>
                <w:color w:val="000000"/>
                <w:sz w:val="20"/>
                <w:szCs w:val="22"/>
              </w:rPr>
              <w:t xml:space="preserve">uinée </w:t>
            </w:r>
            <w:r w:rsidR="00AB4163" w:rsidRPr="004D1BD0">
              <w:rPr>
                <w:rFonts w:eastAsia="Calibri"/>
                <w:iCs/>
                <w:color w:val="000000"/>
                <w:sz w:val="20"/>
                <w:szCs w:val="22"/>
              </w:rPr>
              <w:t>Bissau</w:t>
            </w:r>
            <w:r w:rsidR="00F327F6" w:rsidRPr="004D1BD0">
              <w:rPr>
                <w:rFonts w:eastAsia="Calibri"/>
                <w:iCs/>
                <w:color w:val="000000"/>
                <w:sz w:val="20"/>
                <w:szCs w:val="22"/>
              </w:rPr>
              <w:t xml:space="preserve"> </w:t>
            </w:r>
            <w:r w:rsidR="00AB4163" w:rsidRPr="004D1BD0">
              <w:rPr>
                <w:rFonts w:eastAsia="Calibri"/>
                <w:iCs/>
                <w:color w:val="000000"/>
                <w:sz w:val="20"/>
                <w:szCs w:val="22"/>
              </w:rPr>
              <w:t>constitue</w:t>
            </w:r>
            <w:r w:rsidR="00F327F6" w:rsidRPr="004D1BD0">
              <w:rPr>
                <w:rFonts w:eastAsia="Calibri"/>
                <w:iCs/>
                <w:color w:val="000000"/>
                <w:sz w:val="20"/>
                <w:szCs w:val="22"/>
              </w:rPr>
              <w:t xml:space="preserve"> </w:t>
            </w:r>
            <w:r w:rsidR="003C66D1" w:rsidRPr="004D1BD0">
              <w:rPr>
                <w:rFonts w:eastAsia="Calibri"/>
                <w:iCs/>
                <w:color w:val="000000"/>
                <w:sz w:val="20"/>
                <w:szCs w:val="22"/>
              </w:rPr>
              <w:t xml:space="preserve">l’un des enjeux </w:t>
            </w:r>
            <w:r w:rsidR="003F5652" w:rsidRPr="004D1BD0">
              <w:rPr>
                <w:rFonts w:eastAsia="Calibri"/>
                <w:iCs/>
                <w:color w:val="000000"/>
                <w:sz w:val="20"/>
                <w:szCs w:val="22"/>
              </w:rPr>
              <w:t>dans la lutte</w:t>
            </w:r>
            <w:r w:rsidR="00715CFF" w:rsidRPr="004D1BD0">
              <w:rPr>
                <w:rFonts w:eastAsia="Calibri"/>
                <w:iCs/>
                <w:color w:val="000000"/>
                <w:sz w:val="20"/>
                <w:szCs w:val="22"/>
              </w:rPr>
              <w:t xml:space="preserve"> contre la pauvreté</w:t>
            </w:r>
            <w:r w:rsidR="006528CB" w:rsidRPr="004D1BD0">
              <w:rPr>
                <w:rFonts w:eastAsia="Calibri"/>
                <w:iCs/>
                <w:color w:val="000000"/>
                <w:sz w:val="20"/>
                <w:szCs w:val="22"/>
              </w:rPr>
              <w:t xml:space="preserve"> et le </w:t>
            </w:r>
            <w:r w:rsidR="00AA7D8F" w:rsidRPr="004D1BD0">
              <w:rPr>
                <w:rFonts w:eastAsia="Calibri"/>
                <w:iCs/>
                <w:color w:val="000000"/>
                <w:sz w:val="20"/>
                <w:szCs w:val="22"/>
              </w:rPr>
              <w:t>développement</w:t>
            </w:r>
            <w:r w:rsidR="008E38E8" w:rsidRPr="004D1BD0">
              <w:rPr>
                <w:rFonts w:eastAsia="Calibri"/>
                <w:iCs/>
                <w:color w:val="000000"/>
                <w:sz w:val="20"/>
                <w:szCs w:val="22"/>
              </w:rPr>
              <w:t xml:space="preserve"> de l’agriculture ;</w:t>
            </w:r>
          </w:p>
          <w:p w:rsidR="008E38E8" w:rsidRPr="004D1BD0" w:rsidRDefault="008E38E8" w:rsidP="00010BAB">
            <w:pPr>
              <w:cnfStyle w:val="000000100000" w:firstRow="0" w:lastRow="0" w:firstColumn="0" w:lastColumn="0" w:oddVBand="0" w:evenVBand="0" w:oddHBand="1" w:evenHBand="0" w:firstRowFirstColumn="0" w:firstRowLastColumn="0" w:lastRowFirstColumn="0" w:lastRowLastColumn="0"/>
              <w:rPr>
                <w:rFonts w:eastAsia="Calibri"/>
                <w:iCs/>
                <w:color w:val="000000"/>
                <w:sz w:val="20"/>
                <w:szCs w:val="22"/>
              </w:rPr>
            </w:pPr>
            <w:r w:rsidRPr="004D1BD0">
              <w:rPr>
                <w:rFonts w:eastAsia="Calibri"/>
                <w:iCs/>
                <w:color w:val="000000"/>
                <w:sz w:val="20"/>
                <w:szCs w:val="22"/>
              </w:rPr>
              <w:t>-</w:t>
            </w:r>
            <w:r w:rsidR="00681CAA" w:rsidRPr="004D1BD0">
              <w:rPr>
                <w:rFonts w:eastAsia="Calibri"/>
                <w:iCs/>
                <w:color w:val="000000"/>
                <w:sz w:val="20"/>
                <w:szCs w:val="22"/>
              </w:rPr>
              <w:t>S</w:t>
            </w:r>
            <w:r w:rsidR="00E6470D" w:rsidRPr="004D1BD0">
              <w:rPr>
                <w:rFonts w:eastAsia="Calibri"/>
                <w:iCs/>
                <w:color w:val="000000"/>
                <w:sz w:val="20"/>
                <w:szCs w:val="22"/>
              </w:rPr>
              <w:t xml:space="preserve">tructuration des </w:t>
            </w:r>
            <w:r w:rsidR="0040739B" w:rsidRPr="004D1BD0">
              <w:rPr>
                <w:rFonts w:eastAsia="Calibri"/>
                <w:iCs/>
                <w:color w:val="000000"/>
                <w:sz w:val="20"/>
                <w:szCs w:val="22"/>
              </w:rPr>
              <w:t>futures constructions</w:t>
            </w:r>
            <w:r w:rsidR="00F94A2E" w:rsidRPr="004D1BD0">
              <w:rPr>
                <w:rFonts w:eastAsia="Calibri"/>
                <w:iCs/>
                <w:color w:val="000000"/>
                <w:sz w:val="20"/>
                <w:szCs w:val="22"/>
              </w:rPr>
              <w:t xml:space="preserve"> </w:t>
            </w:r>
            <w:r w:rsidR="00A06E7A" w:rsidRPr="004D1BD0">
              <w:rPr>
                <w:rFonts w:eastAsia="Calibri"/>
                <w:iCs/>
                <w:color w:val="000000"/>
                <w:sz w:val="20"/>
                <w:szCs w:val="22"/>
              </w:rPr>
              <w:t>des marchés lo</w:t>
            </w:r>
            <w:r w:rsidR="00116B85" w:rsidRPr="004D1BD0">
              <w:rPr>
                <w:rFonts w:eastAsia="Calibri"/>
                <w:iCs/>
                <w:color w:val="000000"/>
                <w:sz w:val="20"/>
                <w:szCs w:val="22"/>
              </w:rPr>
              <w:t>caux</w:t>
            </w:r>
            <w:r w:rsidR="00D912F6" w:rsidRPr="004D1BD0">
              <w:rPr>
                <w:rFonts w:eastAsia="Calibri"/>
                <w:iCs/>
                <w:color w:val="000000"/>
                <w:sz w:val="20"/>
                <w:szCs w:val="22"/>
              </w:rPr>
              <w:t xml:space="preserve"> </w:t>
            </w:r>
            <w:r w:rsidR="00A16C7C" w:rsidRPr="004D1BD0">
              <w:rPr>
                <w:rFonts w:eastAsia="Calibri"/>
                <w:iCs/>
                <w:color w:val="000000"/>
                <w:sz w:val="20"/>
                <w:szCs w:val="22"/>
              </w:rPr>
              <w:t xml:space="preserve">doit </w:t>
            </w:r>
            <w:r w:rsidR="00183B93" w:rsidRPr="004D1BD0">
              <w:rPr>
                <w:rFonts w:eastAsia="Calibri"/>
                <w:iCs/>
                <w:color w:val="000000"/>
                <w:sz w:val="20"/>
                <w:szCs w:val="22"/>
              </w:rPr>
              <w:t xml:space="preserve">respecter les aspects </w:t>
            </w:r>
            <w:r w:rsidR="00451627" w:rsidRPr="004D1BD0">
              <w:rPr>
                <w:rFonts w:eastAsia="Calibri"/>
                <w:iCs/>
                <w:color w:val="000000"/>
                <w:sz w:val="20"/>
                <w:szCs w:val="22"/>
              </w:rPr>
              <w:t xml:space="preserve">d’emploi des jeunes, </w:t>
            </w:r>
            <w:r w:rsidR="00A01FCB" w:rsidRPr="004D1BD0">
              <w:rPr>
                <w:rFonts w:eastAsia="Calibri"/>
                <w:iCs/>
                <w:color w:val="000000"/>
                <w:sz w:val="20"/>
                <w:szCs w:val="22"/>
              </w:rPr>
              <w:t>d’</w:t>
            </w:r>
            <w:r w:rsidR="00F67114" w:rsidRPr="004D1BD0">
              <w:rPr>
                <w:rFonts w:eastAsia="Calibri"/>
                <w:iCs/>
                <w:color w:val="000000"/>
                <w:sz w:val="20"/>
                <w:szCs w:val="22"/>
              </w:rPr>
              <w:t>hygiène</w:t>
            </w:r>
            <w:r w:rsidR="00451627" w:rsidRPr="004D1BD0">
              <w:rPr>
                <w:rFonts w:eastAsia="Calibri"/>
                <w:iCs/>
                <w:color w:val="000000"/>
                <w:sz w:val="20"/>
                <w:szCs w:val="22"/>
              </w:rPr>
              <w:t xml:space="preserve">, de sécurité et </w:t>
            </w:r>
            <w:r w:rsidR="00A01FCB" w:rsidRPr="004D1BD0">
              <w:rPr>
                <w:rFonts w:eastAsia="Calibri"/>
                <w:iCs/>
                <w:color w:val="000000"/>
                <w:sz w:val="20"/>
                <w:szCs w:val="22"/>
              </w:rPr>
              <w:t>de santé</w:t>
            </w:r>
            <w:r w:rsidR="00802593" w:rsidRPr="004D1BD0">
              <w:rPr>
                <w:rFonts w:eastAsia="Calibri"/>
                <w:iCs/>
                <w:color w:val="000000"/>
                <w:sz w:val="20"/>
                <w:szCs w:val="22"/>
              </w:rPr>
              <w:t xml:space="preserve"> ce qui </w:t>
            </w:r>
            <w:r w:rsidR="00F02223" w:rsidRPr="004D1BD0">
              <w:rPr>
                <w:rFonts w:eastAsia="Calibri"/>
                <w:iCs/>
                <w:color w:val="000000"/>
                <w:sz w:val="20"/>
                <w:szCs w:val="22"/>
              </w:rPr>
              <w:t xml:space="preserve">est </w:t>
            </w:r>
            <w:r w:rsidR="0095080F" w:rsidRPr="004D1BD0">
              <w:rPr>
                <w:rFonts w:eastAsia="Calibri"/>
                <w:iCs/>
                <w:color w:val="000000"/>
                <w:sz w:val="20"/>
                <w:szCs w:val="22"/>
              </w:rPr>
              <w:t xml:space="preserve">un enjeu </w:t>
            </w:r>
            <w:r w:rsidR="005C02FA" w:rsidRPr="004D1BD0">
              <w:rPr>
                <w:rFonts w:eastAsia="Calibri"/>
                <w:iCs/>
                <w:color w:val="000000"/>
                <w:sz w:val="20"/>
                <w:szCs w:val="22"/>
              </w:rPr>
              <w:t>à prendre en compte par les entreprises BTP</w:t>
            </w:r>
            <w:r w:rsidR="005D3BDD" w:rsidRPr="004D1BD0">
              <w:rPr>
                <w:rFonts w:eastAsia="Calibri"/>
                <w:iCs/>
                <w:color w:val="000000"/>
                <w:sz w:val="20"/>
                <w:szCs w:val="22"/>
              </w:rPr>
              <w:t> ;</w:t>
            </w:r>
          </w:p>
          <w:p w:rsidR="00630A98" w:rsidRDefault="002F431A" w:rsidP="00010BAB">
            <w:pPr>
              <w:cnfStyle w:val="000000100000" w:firstRow="0" w:lastRow="0" w:firstColumn="0" w:lastColumn="0" w:oddVBand="0" w:evenVBand="0" w:oddHBand="1" w:evenHBand="0" w:firstRowFirstColumn="0" w:firstRowLastColumn="0" w:lastRowFirstColumn="0" w:lastRowLastColumn="0"/>
              <w:rPr>
                <w:rFonts w:eastAsia="Calibri"/>
                <w:iCs/>
                <w:color w:val="000000"/>
                <w:sz w:val="20"/>
                <w:szCs w:val="22"/>
              </w:rPr>
            </w:pPr>
            <w:r w:rsidRPr="004D1BD0">
              <w:rPr>
                <w:rFonts w:eastAsia="Calibri"/>
                <w:iCs/>
                <w:color w:val="000000"/>
                <w:sz w:val="20"/>
                <w:szCs w:val="22"/>
              </w:rPr>
              <w:t>-Détournement d</w:t>
            </w:r>
            <w:r w:rsidR="00A05714" w:rsidRPr="004D1BD0">
              <w:rPr>
                <w:rFonts w:eastAsia="Calibri"/>
                <w:iCs/>
                <w:color w:val="000000"/>
                <w:sz w:val="20"/>
                <w:szCs w:val="22"/>
              </w:rPr>
              <w:t>’</w:t>
            </w:r>
            <w:r w:rsidRPr="004D1BD0">
              <w:rPr>
                <w:rFonts w:eastAsia="Calibri"/>
                <w:iCs/>
                <w:color w:val="000000"/>
                <w:sz w:val="20"/>
                <w:szCs w:val="22"/>
              </w:rPr>
              <w:t>objectifs du projet par rapport au</w:t>
            </w:r>
            <w:r w:rsidR="001742DD" w:rsidRPr="004D1BD0">
              <w:rPr>
                <w:rFonts w:eastAsia="Calibri"/>
                <w:iCs/>
                <w:color w:val="000000"/>
                <w:sz w:val="20"/>
                <w:szCs w:val="22"/>
              </w:rPr>
              <w:t xml:space="preserve"> activités </w:t>
            </w:r>
            <w:r w:rsidR="00A05714" w:rsidRPr="004D1BD0">
              <w:rPr>
                <w:rFonts w:eastAsia="Calibri"/>
                <w:iCs/>
                <w:color w:val="000000"/>
                <w:sz w:val="20"/>
                <w:szCs w:val="22"/>
              </w:rPr>
              <w:t>« </w:t>
            </w:r>
            <w:r w:rsidR="001742DD" w:rsidRPr="004D1BD0">
              <w:rPr>
                <w:rFonts w:eastAsia="Calibri"/>
                <w:iCs/>
                <w:color w:val="000000"/>
                <w:sz w:val="20"/>
                <w:szCs w:val="22"/>
              </w:rPr>
              <w:t>argent c</w:t>
            </w:r>
            <w:r w:rsidR="00F75028" w:rsidRPr="004D1BD0">
              <w:rPr>
                <w:rFonts w:eastAsia="Calibri"/>
                <w:iCs/>
                <w:color w:val="000000"/>
                <w:sz w:val="20"/>
                <w:szCs w:val="22"/>
              </w:rPr>
              <w:t>ontre travail</w:t>
            </w:r>
            <w:r w:rsidR="00A05714" w:rsidRPr="004D1BD0">
              <w:rPr>
                <w:rFonts w:eastAsia="Calibri"/>
                <w:iCs/>
                <w:color w:val="000000"/>
                <w:sz w:val="20"/>
                <w:szCs w:val="22"/>
              </w:rPr>
              <w:t> »</w:t>
            </w:r>
            <w:r w:rsidR="00F75028" w:rsidRPr="004D1BD0">
              <w:rPr>
                <w:rFonts w:eastAsia="Calibri"/>
                <w:iCs/>
                <w:color w:val="000000"/>
                <w:sz w:val="20"/>
                <w:szCs w:val="22"/>
              </w:rPr>
              <w:t xml:space="preserve"> </w:t>
            </w:r>
            <w:r w:rsidRPr="004D1BD0">
              <w:rPr>
                <w:rFonts w:eastAsia="Calibri"/>
                <w:iCs/>
                <w:color w:val="000000"/>
                <w:sz w:val="20"/>
                <w:szCs w:val="22"/>
              </w:rPr>
              <w:t>au profit d</w:t>
            </w:r>
            <w:r w:rsidR="00A05714" w:rsidRPr="004D1BD0">
              <w:rPr>
                <w:rFonts w:eastAsia="Calibri"/>
                <w:iCs/>
                <w:color w:val="000000"/>
                <w:sz w:val="20"/>
                <w:szCs w:val="22"/>
              </w:rPr>
              <w:t>’</w:t>
            </w:r>
            <w:r w:rsidRPr="004D1BD0">
              <w:rPr>
                <w:rFonts w:eastAsia="Calibri"/>
                <w:iCs/>
                <w:color w:val="000000"/>
                <w:sz w:val="20"/>
                <w:szCs w:val="22"/>
              </w:rPr>
              <w:t xml:space="preserve">intérêt </w:t>
            </w:r>
            <w:r w:rsidR="00630A98" w:rsidRPr="004D1BD0">
              <w:rPr>
                <w:rFonts w:eastAsia="Calibri"/>
                <w:iCs/>
                <w:color w:val="000000"/>
                <w:sz w:val="20"/>
                <w:szCs w:val="22"/>
              </w:rPr>
              <w:t>personnel</w:t>
            </w:r>
            <w:r w:rsidR="005E063D" w:rsidRPr="004D1BD0">
              <w:rPr>
                <w:rFonts w:eastAsia="Calibri"/>
                <w:iCs/>
                <w:color w:val="000000"/>
                <w:sz w:val="20"/>
                <w:szCs w:val="22"/>
              </w:rPr>
              <w:t xml:space="preserve"> ou pour </w:t>
            </w:r>
            <w:r w:rsidR="000A0D5C" w:rsidRPr="004D1BD0">
              <w:rPr>
                <w:rFonts w:eastAsia="Calibri"/>
                <w:iCs/>
                <w:color w:val="000000"/>
                <w:sz w:val="20"/>
                <w:szCs w:val="22"/>
              </w:rPr>
              <w:t>d’</w:t>
            </w:r>
            <w:r w:rsidR="005E063D" w:rsidRPr="004D1BD0">
              <w:rPr>
                <w:rFonts w:eastAsia="Calibri"/>
                <w:iCs/>
                <w:color w:val="000000"/>
                <w:sz w:val="20"/>
                <w:szCs w:val="22"/>
              </w:rPr>
              <w:t>une seule communauté</w:t>
            </w:r>
            <w:r w:rsidR="000A0D5C" w:rsidRPr="004D1BD0">
              <w:rPr>
                <w:rFonts w:eastAsia="Calibri"/>
                <w:iCs/>
                <w:color w:val="000000"/>
                <w:sz w:val="20"/>
                <w:szCs w:val="22"/>
              </w:rPr>
              <w:t> ;</w:t>
            </w:r>
          </w:p>
          <w:p w:rsidR="00A16B5E" w:rsidRPr="008371D1" w:rsidRDefault="00A16B5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iCs/>
                <w:color w:val="000000"/>
                <w:szCs w:val="22"/>
              </w:rPr>
            </w:pPr>
            <w:r>
              <w:rPr>
                <w:rFonts w:ascii="Times New Roman" w:hAnsi="Times New Roman"/>
                <w:sz w:val="22"/>
                <w:szCs w:val="22"/>
              </w:rPr>
              <w:t>Risque de discrimination des femmes pourrait être noter avec la situation du pays ;</w:t>
            </w:r>
          </w:p>
          <w:p w:rsidR="008959F1" w:rsidRPr="004D1BD0" w:rsidRDefault="008959F1" w:rsidP="00010BAB">
            <w:pPr>
              <w:cnfStyle w:val="000000100000" w:firstRow="0" w:lastRow="0" w:firstColumn="0" w:lastColumn="0" w:oddVBand="0" w:evenVBand="0" w:oddHBand="1" w:evenHBand="0" w:firstRowFirstColumn="0" w:firstRowLastColumn="0" w:lastRowFirstColumn="0" w:lastRowLastColumn="0"/>
              <w:rPr>
                <w:color w:val="000000"/>
                <w:szCs w:val="22"/>
              </w:rPr>
            </w:pPr>
            <w:r w:rsidRPr="004D1BD0">
              <w:rPr>
                <w:b/>
                <w:color w:val="000000"/>
                <w:szCs w:val="22"/>
              </w:rPr>
              <w:t>C</w:t>
            </w:r>
            <w:r w:rsidR="00F800B8" w:rsidRPr="004D1BD0">
              <w:rPr>
                <w:b/>
                <w:color w:val="000000"/>
                <w:szCs w:val="22"/>
              </w:rPr>
              <w:t>onditions d</w:t>
            </w:r>
            <w:r w:rsidR="00A05714" w:rsidRPr="004D1BD0">
              <w:rPr>
                <w:b/>
                <w:color w:val="000000"/>
                <w:szCs w:val="22"/>
              </w:rPr>
              <w:t>’</w:t>
            </w:r>
            <w:r w:rsidR="00F800B8" w:rsidRPr="004D1BD0">
              <w:rPr>
                <w:b/>
                <w:color w:val="000000"/>
                <w:szCs w:val="22"/>
              </w:rPr>
              <w:t xml:space="preserve">accès </w:t>
            </w:r>
            <w:r w:rsidRPr="004D1BD0">
              <w:rPr>
                <w:color w:val="000000"/>
                <w:szCs w:val="22"/>
              </w:rPr>
              <w:t>;</w:t>
            </w:r>
          </w:p>
          <w:p w:rsidR="00EC2646" w:rsidRPr="00A05698" w:rsidRDefault="00B33437" w:rsidP="00010BAB">
            <w:pPr>
              <w:ind w:left="37"/>
              <w:cnfStyle w:val="000000100000" w:firstRow="0" w:lastRow="0" w:firstColumn="0" w:lastColumn="0" w:oddVBand="0" w:evenVBand="0" w:oddHBand="1" w:evenHBand="0" w:firstRowFirstColumn="0" w:firstRowLastColumn="0" w:lastRowFirstColumn="0" w:lastRowLastColumn="0"/>
              <w:rPr>
                <w:color w:val="000000"/>
                <w:sz w:val="22"/>
                <w:szCs w:val="22"/>
              </w:rPr>
            </w:pPr>
            <w:r w:rsidRPr="00A05698">
              <w:rPr>
                <w:color w:val="000000"/>
                <w:sz w:val="22"/>
                <w:szCs w:val="22"/>
              </w:rPr>
              <w:t>-</w:t>
            </w:r>
            <w:r w:rsidR="00EC2646" w:rsidRPr="00A05698">
              <w:rPr>
                <w:color w:val="000000"/>
                <w:sz w:val="22"/>
                <w:szCs w:val="22"/>
              </w:rPr>
              <w:t xml:space="preserve">Difficulté de déplacement des personnes </w:t>
            </w:r>
            <w:r w:rsidRPr="00A05698">
              <w:rPr>
                <w:color w:val="000000"/>
                <w:sz w:val="22"/>
                <w:szCs w:val="22"/>
              </w:rPr>
              <w:t xml:space="preserve">dans le pays </w:t>
            </w:r>
            <w:r w:rsidR="00015603" w:rsidRPr="00A05698">
              <w:rPr>
                <w:color w:val="000000"/>
                <w:sz w:val="22"/>
                <w:szCs w:val="22"/>
              </w:rPr>
              <w:t xml:space="preserve">surtout </w:t>
            </w:r>
            <w:r w:rsidR="00EC2646" w:rsidRPr="00A05698">
              <w:rPr>
                <w:color w:val="000000"/>
                <w:sz w:val="22"/>
                <w:szCs w:val="22"/>
              </w:rPr>
              <w:t xml:space="preserve">pendant la saison des pluies </w:t>
            </w:r>
            <w:r w:rsidR="000B3891" w:rsidRPr="00A05698">
              <w:rPr>
                <w:color w:val="000000"/>
                <w:sz w:val="22"/>
                <w:szCs w:val="22"/>
              </w:rPr>
              <w:t xml:space="preserve">à cause </w:t>
            </w:r>
            <w:r w:rsidR="000454B6" w:rsidRPr="00A05698">
              <w:rPr>
                <w:color w:val="000000"/>
                <w:sz w:val="22"/>
                <w:szCs w:val="22"/>
              </w:rPr>
              <w:t>des mauvais états</w:t>
            </w:r>
            <w:r w:rsidR="000B3891" w:rsidRPr="00A05698">
              <w:rPr>
                <w:color w:val="000000"/>
                <w:sz w:val="22"/>
                <w:szCs w:val="22"/>
              </w:rPr>
              <w:t xml:space="preserve"> des route</w:t>
            </w:r>
            <w:r w:rsidR="00907A2B" w:rsidRPr="00A05698">
              <w:rPr>
                <w:color w:val="000000"/>
                <w:sz w:val="22"/>
                <w:szCs w:val="22"/>
              </w:rPr>
              <w:t>s</w:t>
            </w:r>
            <w:r w:rsidR="000B3891" w:rsidRPr="00A05698">
              <w:rPr>
                <w:color w:val="000000"/>
                <w:sz w:val="22"/>
                <w:szCs w:val="22"/>
              </w:rPr>
              <w:t> ;</w:t>
            </w:r>
          </w:p>
          <w:p w:rsidR="00EC2646" w:rsidRPr="00A05698" w:rsidRDefault="00B91AA2" w:rsidP="00157035">
            <w:pPr>
              <w:pStyle w:val="PargrafodaLista"/>
              <w:numPr>
                <w:ilvl w:val="0"/>
                <w:numId w:val="52"/>
              </w:numPr>
              <w:spacing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22"/>
                <w:szCs w:val="22"/>
              </w:rPr>
            </w:pPr>
            <w:r w:rsidRPr="00A05698">
              <w:rPr>
                <w:rFonts w:ascii="Times New Roman" w:hAnsi="Times New Roman"/>
                <w:iCs/>
                <w:color w:val="000000"/>
                <w:sz w:val="22"/>
                <w:szCs w:val="22"/>
              </w:rPr>
              <w:t>-</w:t>
            </w:r>
            <w:r w:rsidR="00EC2646" w:rsidRPr="00A05698">
              <w:rPr>
                <w:rFonts w:ascii="Times New Roman" w:hAnsi="Times New Roman"/>
                <w:iCs/>
                <w:color w:val="000000"/>
                <w:sz w:val="22"/>
                <w:szCs w:val="22"/>
              </w:rPr>
              <w:t>Par la topographie de la zone ;</w:t>
            </w:r>
          </w:p>
          <w:p w:rsidR="00EC2646" w:rsidRPr="00A05698" w:rsidRDefault="004B2A9D" w:rsidP="00157035">
            <w:pPr>
              <w:pStyle w:val="PargrafodaLista"/>
              <w:numPr>
                <w:ilvl w:val="0"/>
                <w:numId w:val="52"/>
              </w:numPr>
              <w:spacing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22"/>
                <w:szCs w:val="22"/>
              </w:rPr>
            </w:pPr>
            <w:r w:rsidRPr="00A05698">
              <w:rPr>
                <w:rFonts w:ascii="Times New Roman" w:hAnsi="Times New Roman"/>
                <w:iCs/>
                <w:color w:val="000000"/>
                <w:sz w:val="22"/>
                <w:szCs w:val="22"/>
              </w:rPr>
              <w:t>-</w:t>
            </w:r>
            <w:r w:rsidR="00EC2646" w:rsidRPr="00A05698">
              <w:rPr>
                <w:rFonts w:ascii="Times New Roman" w:hAnsi="Times New Roman"/>
                <w:iCs/>
                <w:color w:val="000000"/>
                <w:sz w:val="22"/>
                <w:szCs w:val="22"/>
              </w:rPr>
              <w:t>Par les phénomènes d’érosion hydrique ;</w:t>
            </w:r>
          </w:p>
        </w:tc>
        <w:tc>
          <w:tcPr>
            <w:tcW w:w="4252" w:type="dxa"/>
            <w:shd w:val="clear" w:color="auto" w:fill="FFFFFF" w:themeFill="background1"/>
            <w:vAlign w:val="center"/>
          </w:tcPr>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Amélioration et la gestion des revenues financières des agriculteurs</w:t>
            </w:r>
            <w:r w:rsidR="006D32A5" w:rsidRPr="004D1BD0">
              <w:rPr>
                <w:rFonts w:ascii="Times New Roman" w:hAnsi="Times New Roman"/>
                <w:b/>
                <w:color w:val="000000"/>
                <w:szCs w:val="22"/>
              </w:rPr>
              <w:t xml:space="preserve">, des </w:t>
            </w:r>
            <w:r w:rsidR="00CE2D79" w:rsidRPr="004D1BD0">
              <w:rPr>
                <w:rFonts w:ascii="Times New Roman" w:hAnsi="Times New Roman"/>
                <w:b/>
                <w:color w:val="000000"/>
                <w:szCs w:val="22"/>
              </w:rPr>
              <w:t xml:space="preserve">commerçants, des producteurs, des </w:t>
            </w:r>
            <w:r w:rsidR="0038708E" w:rsidRPr="004D1BD0">
              <w:rPr>
                <w:rFonts w:ascii="Times New Roman" w:hAnsi="Times New Roman"/>
                <w:b/>
                <w:color w:val="000000"/>
                <w:szCs w:val="22"/>
              </w:rPr>
              <w:t>jeunes d</w:t>
            </w:r>
            <w:r w:rsidR="002657DB" w:rsidRPr="004D1BD0">
              <w:rPr>
                <w:rFonts w:ascii="Times New Roman" w:hAnsi="Times New Roman"/>
                <w:b/>
                <w:color w:val="000000"/>
                <w:szCs w:val="22"/>
              </w:rPr>
              <w:t xml:space="preserve">es villages, des femmes ; </w:t>
            </w:r>
            <w:r w:rsidR="00992B3B" w:rsidRPr="004D1BD0">
              <w:rPr>
                <w:rFonts w:ascii="Times New Roman" w:hAnsi="Times New Roman"/>
                <w:b/>
                <w:color w:val="000000"/>
                <w:szCs w:val="22"/>
              </w:rPr>
              <w:t>etc. ;</w:t>
            </w:r>
          </w:p>
          <w:p w:rsidR="00493653" w:rsidRPr="004D1BD0" w:rsidRDefault="00493653" w:rsidP="00010BAB">
            <w:pPr>
              <w:pStyle w:val="PargrafodaLista"/>
              <w:spacing w:after="0" w:line="240" w:lineRule="auto"/>
              <w:ind w:left="32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p>
          <w:p w:rsidR="008959F1" w:rsidRPr="004D1BD0" w:rsidRDefault="00214FE7"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rPr>
            </w:pPr>
            <w:r w:rsidRPr="004D1BD0">
              <w:rPr>
                <w:rFonts w:ascii="Times New Roman" w:hAnsi="Times New Roman"/>
                <w:b/>
                <w:color w:val="000000"/>
                <w:szCs w:val="22"/>
              </w:rPr>
              <w:t xml:space="preserve">La réalisation des </w:t>
            </w:r>
            <w:r w:rsidR="003A1015" w:rsidRPr="004D1BD0">
              <w:rPr>
                <w:rFonts w:ascii="Times New Roman" w:hAnsi="Times New Roman"/>
                <w:b/>
                <w:color w:val="000000"/>
                <w:szCs w:val="22"/>
              </w:rPr>
              <w:t>ma</w:t>
            </w:r>
            <w:r w:rsidR="00143819" w:rsidRPr="004D1BD0">
              <w:rPr>
                <w:rFonts w:ascii="Times New Roman" w:hAnsi="Times New Roman"/>
                <w:b/>
                <w:color w:val="000000"/>
                <w:szCs w:val="22"/>
              </w:rPr>
              <w:t>gasins stockage</w:t>
            </w:r>
            <w:r w:rsidR="00682D4D" w:rsidRPr="004D1BD0">
              <w:rPr>
                <w:rFonts w:ascii="Times New Roman" w:hAnsi="Times New Roman"/>
                <w:b/>
                <w:color w:val="000000"/>
                <w:szCs w:val="22"/>
              </w:rPr>
              <w:t>s, des routes d’</w:t>
            </w:r>
            <w:r w:rsidR="00992B3B" w:rsidRPr="004D1BD0">
              <w:rPr>
                <w:rFonts w:ascii="Times New Roman" w:hAnsi="Times New Roman"/>
                <w:b/>
                <w:color w:val="000000"/>
                <w:szCs w:val="22"/>
              </w:rPr>
              <w:t>accès</w:t>
            </w:r>
            <w:r w:rsidR="00682D4D" w:rsidRPr="004D1BD0">
              <w:rPr>
                <w:rFonts w:ascii="Times New Roman" w:hAnsi="Times New Roman"/>
                <w:b/>
                <w:color w:val="000000"/>
                <w:szCs w:val="22"/>
              </w:rPr>
              <w:t xml:space="preserve"> et des marchés locaux permettront</w:t>
            </w:r>
            <w:r w:rsidR="008959F1" w:rsidRPr="004D1BD0">
              <w:rPr>
                <w:rFonts w:ascii="Times New Roman" w:hAnsi="Times New Roman"/>
                <w:b/>
                <w:color w:val="000000"/>
                <w:szCs w:val="22"/>
              </w:rPr>
              <w:t xml:space="preserve"> l’écoulement rapide des produits </w:t>
            </w:r>
            <w:r w:rsidR="00AB0E2A" w:rsidRPr="004D1BD0">
              <w:rPr>
                <w:rFonts w:ascii="Times New Roman" w:hAnsi="Times New Roman"/>
                <w:b/>
                <w:color w:val="000000"/>
                <w:szCs w:val="22"/>
              </w:rPr>
              <w:t xml:space="preserve">agricoles </w:t>
            </w:r>
            <w:r w:rsidR="008959F1" w:rsidRPr="004D1BD0">
              <w:rPr>
                <w:rFonts w:ascii="Times New Roman" w:hAnsi="Times New Roman"/>
                <w:b/>
                <w:color w:val="000000"/>
                <w:szCs w:val="22"/>
              </w:rPr>
              <w:t xml:space="preserve">nécessaires pour </w:t>
            </w:r>
            <w:r w:rsidR="00F67F5E" w:rsidRPr="004D1BD0">
              <w:rPr>
                <w:rFonts w:ascii="Times New Roman" w:hAnsi="Times New Roman"/>
                <w:b/>
                <w:color w:val="000000"/>
                <w:szCs w:val="22"/>
              </w:rPr>
              <w:t xml:space="preserve">atteindre </w:t>
            </w:r>
            <w:r w:rsidR="002E0D2D" w:rsidRPr="004D1BD0">
              <w:rPr>
                <w:rFonts w:ascii="Times New Roman" w:hAnsi="Times New Roman"/>
                <w:b/>
                <w:color w:val="000000"/>
                <w:szCs w:val="22"/>
              </w:rPr>
              <w:t xml:space="preserve">la sécurité </w:t>
            </w:r>
            <w:r w:rsidR="00EA0DB2" w:rsidRPr="004D1BD0">
              <w:rPr>
                <w:rFonts w:ascii="Times New Roman" w:hAnsi="Times New Roman"/>
                <w:b/>
                <w:color w:val="000000"/>
                <w:szCs w:val="22"/>
              </w:rPr>
              <w:t>alimentaire</w:t>
            </w:r>
            <w:r w:rsidR="00657C27" w:rsidRPr="004D1BD0">
              <w:rPr>
                <w:rFonts w:ascii="Times New Roman" w:hAnsi="Times New Roman"/>
                <w:b/>
                <w:color w:val="000000"/>
                <w:szCs w:val="22"/>
              </w:rPr>
              <w:t xml:space="preserve"> en Guinée Bissau ;</w:t>
            </w:r>
          </w:p>
          <w:p w:rsidR="00EA0DB2" w:rsidRPr="004D1BD0" w:rsidRDefault="00EA0DB2" w:rsidP="00010BAB">
            <w:pPr>
              <w:cnfStyle w:val="000000100000" w:firstRow="0" w:lastRow="0" w:firstColumn="0" w:lastColumn="0" w:oddVBand="0" w:evenVBand="0" w:oddHBand="1" w:evenHBand="0" w:firstRowFirstColumn="0" w:firstRowLastColumn="0" w:lastRowFirstColumn="0" w:lastRowLastColumn="0"/>
              <w:rPr>
                <w:color w:val="000000"/>
                <w:szCs w:val="22"/>
              </w:rPr>
            </w:pPr>
          </w:p>
          <w:p w:rsidR="00EA0DB2" w:rsidRPr="004D1BD0" w:rsidRDefault="0063077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Augmentation </w:t>
            </w:r>
            <w:r w:rsidR="009C64CA" w:rsidRPr="004D1BD0">
              <w:rPr>
                <w:rFonts w:ascii="Times New Roman" w:hAnsi="Times New Roman"/>
                <w:b/>
                <w:color w:val="000000"/>
                <w:szCs w:val="22"/>
              </w:rPr>
              <w:t xml:space="preserve">des </w:t>
            </w:r>
            <w:r w:rsidR="00122926" w:rsidRPr="004D1BD0">
              <w:rPr>
                <w:rFonts w:ascii="Times New Roman" w:hAnsi="Times New Roman"/>
                <w:b/>
                <w:color w:val="000000"/>
                <w:szCs w:val="22"/>
              </w:rPr>
              <w:t>revenus</w:t>
            </w:r>
            <w:r w:rsidR="009C64CA" w:rsidRPr="004D1BD0">
              <w:rPr>
                <w:rFonts w:ascii="Times New Roman" w:hAnsi="Times New Roman"/>
                <w:b/>
                <w:color w:val="000000"/>
                <w:szCs w:val="22"/>
              </w:rPr>
              <w:t xml:space="preserve"> </w:t>
            </w:r>
            <w:r w:rsidR="000B57D2" w:rsidRPr="004D1BD0">
              <w:rPr>
                <w:rFonts w:ascii="Times New Roman" w:hAnsi="Times New Roman"/>
                <w:b/>
                <w:color w:val="000000"/>
                <w:szCs w:val="22"/>
              </w:rPr>
              <w:t xml:space="preserve">des </w:t>
            </w:r>
            <w:r w:rsidR="00122926" w:rsidRPr="004D1BD0">
              <w:rPr>
                <w:rFonts w:ascii="Times New Roman" w:hAnsi="Times New Roman"/>
                <w:b/>
                <w:color w:val="000000"/>
                <w:szCs w:val="22"/>
              </w:rPr>
              <w:t xml:space="preserve">ouvriers ou des jeunes au niveau </w:t>
            </w:r>
            <w:r w:rsidR="00CB5826" w:rsidRPr="004D1BD0">
              <w:rPr>
                <w:rFonts w:ascii="Times New Roman" w:hAnsi="Times New Roman"/>
                <w:b/>
                <w:color w:val="000000"/>
                <w:szCs w:val="22"/>
              </w:rPr>
              <w:t xml:space="preserve">des zones </w:t>
            </w:r>
            <w:r w:rsidR="00003447" w:rsidRPr="004D1BD0">
              <w:rPr>
                <w:rFonts w:ascii="Times New Roman" w:hAnsi="Times New Roman"/>
                <w:b/>
                <w:color w:val="000000"/>
                <w:szCs w:val="22"/>
              </w:rPr>
              <w:t>intervention des activités</w:t>
            </w:r>
          </w:p>
          <w:p w:rsidR="00EF4AC4" w:rsidRPr="004D1BD0" w:rsidRDefault="00EF4AC4" w:rsidP="00010BAB">
            <w:pPr>
              <w:cnfStyle w:val="000000100000" w:firstRow="0" w:lastRow="0" w:firstColumn="0" w:lastColumn="0" w:oddVBand="0" w:evenVBand="0" w:oddHBand="1" w:evenHBand="0" w:firstRowFirstColumn="0" w:firstRowLastColumn="0" w:lastRowFirstColumn="0" w:lastRowLastColumn="0"/>
              <w:rPr>
                <w:color w:val="000000"/>
                <w:szCs w:val="22"/>
              </w:rPr>
            </w:pPr>
          </w:p>
          <w:p w:rsidR="00EF4AC4" w:rsidRPr="004D1BD0" w:rsidRDefault="004B0ED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Création</w:t>
            </w:r>
            <w:r w:rsidR="003F744D" w:rsidRPr="004D1BD0">
              <w:rPr>
                <w:rFonts w:ascii="Times New Roman" w:hAnsi="Times New Roman"/>
                <w:b/>
                <w:color w:val="000000"/>
                <w:szCs w:val="22"/>
              </w:rPr>
              <w:t xml:space="preserve"> </w:t>
            </w:r>
            <w:r w:rsidR="00E34E43" w:rsidRPr="004D1BD0">
              <w:rPr>
                <w:rFonts w:ascii="Times New Roman" w:hAnsi="Times New Roman"/>
                <w:b/>
                <w:color w:val="000000"/>
                <w:szCs w:val="22"/>
              </w:rPr>
              <w:t>opportunité</w:t>
            </w:r>
            <w:r w:rsidR="002352F0" w:rsidRPr="004D1BD0">
              <w:rPr>
                <w:rFonts w:ascii="Times New Roman" w:hAnsi="Times New Roman"/>
                <w:b/>
                <w:color w:val="000000"/>
                <w:szCs w:val="22"/>
              </w:rPr>
              <w:t xml:space="preserve"> </w:t>
            </w:r>
            <w:r w:rsidR="00AF1B54" w:rsidRPr="004D1BD0">
              <w:rPr>
                <w:rFonts w:ascii="Times New Roman" w:hAnsi="Times New Roman"/>
                <w:b/>
                <w:color w:val="000000"/>
                <w:szCs w:val="22"/>
              </w:rPr>
              <w:t xml:space="preserve">d’affaire pour les entreprise </w:t>
            </w:r>
            <w:r w:rsidR="00E34E43" w:rsidRPr="004D1BD0">
              <w:rPr>
                <w:rFonts w:ascii="Times New Roman" w:hAnsi="Times New Roman"/>
                <w:b/>
                <w:color w:val="000000"/>
                <w:szCs w:val="22"/>
              </w:rPr>
              <w:t>BTP et les associations.</w:t>
            </w:r>
          </w:p>
        </w:tc>
      </w:tr>
      <w:tr w:rsidR="00C662B9" w:rsidRPr="00A05698" w:rsidTr="00700ACF">
        <w:trPr>
          <w:trHeight w:val="3618"/>
        </w:trPr>
        <w:tc>
          <w:tcPr>
            <w:cnfStyle w:val="001000000000" w:firstRow="0" w:lastRow="0" w:firstColumn="1" w:lastColumn="0" w:oddVBand="0" w:evenVBand="0" w:oddHBand="0" w:evenHBand="0" w:firstRowFirstColumn="0" w:firstRowLastColumn="0" w:lastRowFirstColumn="0" w:lastRowLastColumn="0"/>
            <w:tcW w:w="2747" w:type="dxa"/>
            <w:vAlign w:val="center"/>
          </w:tcPr>
          <w:p w:rsidR="008959F1" w:rsidRPr="00A05698" w:rsidRDefault="00E52E3E" w:rsidP="00700ACF">
            <w:pPr>
              <w:jc w:val="center"/>
              <w:rPr>
                <w:bCs w:val="0"/>
                <w:i/>
                <w:sz w:val="28"/>
                <w:szCs w:val="28"/>
              </w:rPr>
            </w:pPr>
            <w:r w:rsidRPr="00A05698">
              <w:rPr>
                <w:bCs w:val="0"/>
                <w:i/>
                <w:sz w:val="28"/>
                <w:szCs w:val="28"/>
              </w:rPr>
              <w:t>Soutien à l</w:t>
            </w:r>
            <w:r w:rsidR="00A05714" w:rsidRPr="00A05698">
              <w:rPr>
                <w:bCs w:val="0"/>
                <w:i/>
                <w:sz w:val="28"/>
                <w:szCs w:val="28"/>
              </w:rPr>
              <w:t>’</w:t>
            </w:r>
            <w:r w:rsidRPr="00A05698">
              <w:rPr>
                <w:bCs w:val="0"/>
                <w:i/>
                <w:sz w:val="28"/>
                <w:szCs w:val="28"/>
              </w:rPr>
              <w:t>atténuation des risques</w:t>
            </w:r>
          </w:p>
        </w:tc>
        <w:tc>
          <w:tcPr>
            <w:tcW w:w="3916" w:type="dxa"/>
            <w:vAlign w:val="center"/>
          </w:tcPr>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Tendance de la baisse pluviométrie caractérisée par une variabilité inter et intra annuelle ;</w:t>
            </w: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tc>
        <w:tc>
          <w:tcPr>
            <w:tcW w:w="4098" w:type="dxa"/>
            <w:vAlign w:val="center"/>
          </w:tcPr>
          <w:p w:rsidR="00C03DDF" w:rsidRPr="004D1BD0" w:rsidRDefault="00C03DDF"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Augmentation </w:t>
            </w:r>
            <w:r w:rsidR="00CA365E" w:rsidRPr="004D1BD0">
              <w:rPr>
                <w:rFonts w:ascii="Times New Roman" w:hAnsi="Times New Roman"/>
                <w:b/>
                <w:color w:val="000000"/>
                <w:szCs w:val="22"/>
              </w:rPr>
              <w:t xml:space="preserve">des mesures de </w:t>
            </w:r>
            <w:r w:rsidR="002F5450" w:rsidRPr="004D1BD0">
              <w:rPr>
                <w:rFonts w:ascii="Times New Roman" w:hAnsi="Times New Roman"/>
                <w:b/>
                <w:color w:val="000000"/>
                <w:szCs w:val="22"/>
              </w:rPr>
              <w:t>prévention</w:t>
            </w:r>
            <w:r w:rsidR="00CA365E" w:rsidRPr="004D1BD0">
              <w:rPr>
                <w:rFonts w:ascii="Times New Roman" w:hAnsi="Times New Roman"/>
                <w:b/>
                <w:color w:val="000000"/>
                <w:szCs w:val="22"/>
              </w:rPr>
              <w:t xml:space="preserve"> et d’</w:t>
            </w:r>
            <w:r w:rsidR="002F5450" w:rsidRPr="004D1BD0">
              <w:rPr>
                <w:rFonts w:ascii="Times New Roman" w:hAnsi="Times New Roman"/>
                <w:b/>
                <w:color w:val="000000"/>
                <w:szCs w:val="22"/>
              </w:rPr>
              <w:t>intervention contre</w:t>
            </w:r>
            <w:r w:rsidR="00767529" w:rsidRPr="004D1BD0">
              <w:rPr>
                <w:rFonts w:ascii="Times New Roman" w:hAnsi="Times New Roman"/>
                <w:b/>
                <w:color w:val="000000"/>
                <w:szCs w:val="22"/>
              </w:rPr>
              <w:t xml:space="preserve"> les catastrop</w:t>
            </w:r>
            <w:r w:rsidR="002F5450" w:rsidRPr="004D1BD0">
              <w:rPr>
                <w:rFonts w:ascii="Times New Roman" w:hAnsi="Times New Roman"/>
                <w:b/>
                <w:color w:val="000000"/>
                <w:szCs w:val="22"/>
              </w:rPr>
              <w:t xml:space="preserve">hes naturelles ou </w:t>
            </w:r>
            <w:r w:rsidR="00FB1F57" w:rsidRPr="004D1BD0">
              <w:rPr>
                <w:rFonts w:ascii="Times New Roman" w:hAnsi="Times New Roman"/>
                <w:b/>
                <w:color w:val="000000"/>
                <w:szCs w:val="22"/>
              </w:rPr>
              <w:t>sanitaire ;</w:t>
            </w:r>
          </w:p>
          <w:p w:rsidR="008959F1" w:rsidRPr="004D1BD0" w:rsidRDefault="00CA0FEF"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Meilleure gestion</w:t>
            </w:r>
            <w:r w:rsidR="0037025A" w:rsidRPr="004D1BD0">
              <w:rPr>
                <w:rFonts w:ascii="Times New Roman" w:hAnsi="Times New Roman"/>
                <w:b/>
                <w:color w:val="000000"/>
                <w:szCs w:val="22"/>
              </w:rPr>
              <w:t xml:space="preserve"> des risques de </w:t>
            </w:r>
            <w:r w:rsidR="008959F1" w:rsidRPr="004D1BD0">
              <w:rPr>
                <w:rFonts w:ascii="Times New Roman" w:hAnsi="Times New Roman"/>
                <w:b/>
                <w:color w:val="000000"/>
                <w:szCs w:val="22"/>
              </w:rPr>
              <w:t xml:space="preserve">Conflits entre plusieurs catégories </w:t>
            </w:r>
            <w:r w:rsidRPr="004D1BD0">
              <w:rPr>
                <w:rFonts w:ascii="Times New Roman" w:hAnsi="Times New Roman"/>
                <w:b/>
                <w:color w:val="000000"/>
                <w:szCs w:val="22"/>
              </w:rPr>
              <w:t>socioprofessionnelles ;</w:t>
            </w:r>
          </w:p>
          <w:p w:rsidR="00EF2A9D"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Obtention des </w:t>
            </w:r>
            <w:r w:rsidR="00083AEA" w:rsidRPr="004D1BD0">
              <w:rPr>
                <w:rFonts w:ascii="Times New Roman" w:hAnsi="Times New Roman"/>
                <w:b/>
                <w:color w:val="000000"/>
                <w:szCs w:val="22"/>
              </w:rPr>
              <w:t xml:space="preserve">stratégiques de </w:t>
            </w:r>
            <w:r w:rsidR="008A73C7" w:rsidRPr="004D1BD0">
              <w:rPr>
                <w:rFonts w:ascii="Times New Roman" w:hAnsi="Times New Roman"/>
                <w:b/>
                <w:color w:val="000000"/>
                <w:szCs w:val="22"/>
              </w:rPr>
              <w:t xml:space="preserve">gestion des </w:t>
            </w:r>
            <w:r w:rsidR="00706DB6" w:rsidRPr="004D1BD0">
              <w:rPr>
                <w:rFonts w:ascii="Times New Roman" w:hAnsi="Times New Roman"/>
                <w:b/>
                <w:color w:val="000000"/>
                <w:szCs w:val="22"/>
              </w:rPr>
              <w:t>mesures d’atténuation des risques ;</w:t>
            </w:r>
          </w:p>
          <w:p w:rsidR="006653CA"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rPr>
              <w:t>Appuyer, Former et encadrer les agriculteurs qui intervient dans la production des filières prioritaire </w:t>
            </w:r>
            <w:r w:rsidR="00EF2A9D" w:rsidRPr="004D1BD0">
              <w:rPr>
                <w:rFonts w:ascii="Times New Roman" w:hAnsi="Times New Roman"/>
                <w:b/>
                <w:color w:val="000000"/>
              </w:rPr>
              <w:t>(</w:t>
            </w:r>
            <w:r w:rsidR="00127ECB" w:rsidRPr="004D1BD0">
              <w:rPr>
                <w:rFonts w:ascii="Times New Roman" w:hAnsi="Times New Roman"/>
                <w:b/>
                <w:color w:val="000000"/>
              </w:rPr>
              <w:t xml:space="preserve">noix de cajou, mil, </w:t>
            </w:r>
            <w:r w:rsidR="006653CA" w:rsidRPr="004D1BD0">
              <w:rPr>
                <w:rFonts w:ascii="Times New Roman" w:hAnsi="Times New Roman"/>
                <w:b/>
                <w:color w:val="000000"/>
              </w:rPr>
              <w:t>riz, maïs</w:t>
            </w:r>
            <w:r w:rsidR="00127ECB" w:rsidRPr="004D1BD0">
              <w:rPr>
                <w:rFonts w:ascii="Times New Roman" w:hAnsi="Times New Roman"/>
                <w:b/>
                <w:color w:val="000000"/>
              </w:rPr>
              <w:t>, manioc, sorgho</w:t>
            </w:r>
            <w:r w:rsidR="00A81950" w:rsidRPr="004D1BD0">
              <w:rPr>
                <w:rFonts w:ascii="Times New Roman" w:hAnsi="Times New Roman"/>
                <w:b/>
                <w:color w:val="000000"/>
              </w:rPr>
              <w:t>) ;</w:t>
            </w:r>
          </w:p>
          <w:p w:rsidR="00156D9F" w:rsidRPr="004D1BD0" w:rsidRDefault="006653CA"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rPr>
              <w:t xml:space="preserve">Une meilleure connaissance des </w:t>
            </w:r>
            <w:r w:rsidR="008959F1" w:rsidRPr="004D1BD0">
              <w:rPr>
                <w:rFonts w:ascii="Times New Roman" w:hAnsi="Times New Roman"/>
                <w:b/>
                <w:color w:val="000000"/>
              </w:rPr>
              <w:t>enjeu</w:t>
            </w:r>
            <w:r w:rsidRPr="004D1BD0">
              <w:rPr>
                <w:rFonts w:ascii="Times New Roman" w:hAnsi="Times New Roman"/>
                <w:b/>
                <w:color w:val="000000"/>
              </w:rPr>
              <w:t>x</w:t>
            </w:r>
            <w:r w:rsidR="008959F1" w:rsidRPr="004D1BD0">
              <w:rPr>
                <w:rFonts w:ascii="Times New Roman" w:hAnsi="Times New Roman"/>
                <w:b/>
                <w:color w:val="000000"/>
              </w:rPr>
              <w:t xml:space="preserve"> au niveau sanitaire existe avec </w:t>
            </w:r>
            <w:r w:rsidR="00156D9F" w:rsidRPr="004D1BD0">
              <w:rPr>
                <w:rFonts w:ascii="Times New Roman" w:hAnsi="Times New Roman"/>
                <w:b/>
                <w:color w:val="000000"/>
              </w:rPr>
              <w:t>les traitements phytosanitaires.</w:t>
            </w:r>
          </w:p>
          <w:p w:rsidR="00156D9F" w:rsidRPr="004D1BD0" w:rsidRDefault="00F7672B"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D</w:t>
            </w:r>
            <w:r w:rsidR="0093528B" w:rsidRPr="004D1BD0">
              <w:rPr>
                <w:rFonts w:ascii="Times New Roman" w:hAnsi="Times New Roman"/>
                <w:b/>
                <w:color w:val="000000"/>
                <w:szCs w:val="22"/>
              </w:rPr>
              <w:t xml:space="preserve">isposition de moyen pour les services de l’Etat à la gestion </w:t>
            </w:r>
            <w:r w:rsidR="00A64F0A" w:rsidRPr="004D1BD0">
              <w:rPr>
                <w:rFonts w:ascii="Times New Roman" w:hAnsi="Times New Roman"/>
                <w:b/>
                <w:color w:val="000000"/>
                <w:szCs w:val="22"/>
              </w:rPr>
              <w:t>des risque naturelles (</w:t>
            </w:r>
            <w:r w:rsidR="00B51E22" w:rsidRPr="004D1BD0">
              <w:rPr>
                <w:rFonts w:ascii="Times New Roman" w:hAnsi="Times New Roman"/>
                <w:b/>
                <w:color w:val="000000"/>
                <w:szCs w:val="22"/>
              </w:rPr>
              <w:t>inondation</w:t>
            </w:r>
            <w:r w:rsidR="00A64F0A" w:rsidRPr="004D1BD0">
              <w:rPr>
                <w:rFonts w:ascii="Times New Roman" w:hAnsi="Times New Roman"/>
                <w:b/>
                <w:color w:val="000000"/>
                <w:szCs w:val="22"/>
              </w:rPr>
              <w:t xml:space="preserve">), des </w:t>
            </w:r>
            <w:r w:rsidR="00B51E22" w:rsidRPr="004D1BD0">
              <w:rPr>
                <w:rFonts w:ascii="Times New Roman" w:hAnsi="Times New Roman"/>
                <w:b/>
                <w:color w:val="000000"/>
                <w:szCs w:val="22"/>
              </w:rPr>
              <w:t>risques sanitaires (Covid 19), etc. ;</w:t>
            </w:r>
          </w:p>
        </w:tc>
        <w:tc>
          <w:tcPr>
            <w:tcW w:w="4252" w:type="dxa"/>
            <w:vAlign w:val="center"/>
          </w:tcPr>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Coûts élevés de</w:t>
            </w:r>
            <w:r w:rsidR="001A6B55" w:rsidRPr="004D1BD0">
              <w:rPr>
                <w:rFonts w:ascii="Times New Roman" w:hAnsi="Times New Roman"/>
                <w:b/>
                <w:color w:val="000000"/>
                <w:szCs w:val="22"/>
              </w:rPr>
              <w:t xml:space="preserve"> mise en œuvre des </w:t>
            </w:r>
            <w:r w:rsidR="008659B7" w:rsidRPr="004D1BD0">
              <w:rPr>
                <w:rFonts w:ascii="Times New Roman" w:hAnsi="Times New Roman"/>
                <w:b/>
                <w:color w:val="000000"/>
                <w:szCs w:val="22"/>
              </w:rPr>
              <w:t xml:space="preserve">mesures </w:t>
            </w:r>
            <w:r w:rsidR="00A57DCB" w:rsidRPr="004D1BD0">
              <w:rPr>
                <w:rFonts w:ascii="Times New Roman" w:hAnsi="Times New Roman"/>
                <w:b/>
                <w:color w:val="000000"/>
                <w:szCs w:val="22"/>
              </w:rPr>
              <w:t>des gestions</w:t>
            </w:r>
            <w:r w:rsidR="008659B7" w:rsidRPr="004D1BD0">
              <w:rPr>
                <w:rFonts w:ascii="Times New Roman" w:hAnsi="Times New Roman"/>
                <w:b/>
                <w:color w:val="000000"/>
                <w:szCs w:val="22"/>
              </w:rPr>
              <w:t xml:space="preserve"> des risques</w:t>
            </w:r>
            <w:r w:rsidR="002A11C2" w:rsidRPr="004D1BD0">
              <w:rPr>
                <w:rFonts w:ascii="Times New Roman" w:hAnsi="Times New Roman"/>
                <w:b/>
                <w:color w:val="000000"/>
                <w:szCs w:val="22"/>
              </w:rPr>
              <w:t xml:space="preserve"> </w:t>
            </w:r>
            <w:r w:rsidRPr="004D1BD0">
              <w:rPr>
                <w:rFonts w:ascii="Times New Roman" w:hAnsi="Times New Roman"/>
                <w:b/>
                <w:color w:val="000000"/>
                <w:szCs w:val="22"/>
              </w:rPr>
              <w:t>;</w:t>
            </w:r>
          </w:p>
          <w:p w:rsidR="008959F1" w:rsidRPr="004D1BD0" w:rsidRDefault="002A11C2"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w:t>
            </w:r>
            <w:r w:rsidR="00D65F3F" w:rsidRPr="004D1BD0">
              <w:rPr>
                <w:rFonts w:ascii="Times New Roman" w:hAnsi="Times New Roman"/>
                <w:iCs/>
                <w:color w:val="000000"/>
                <w:szCs w:val="22"/>
              </w:rPr>
              <w:t>Lié</w:t>
            </w:r>
            <w:r w:rsidR="008959F1" w:rsidRPr="004D1BD0">
              <w:rPr>
                <w:rFonts w:ascii="Times New Roman" w:hAnsi="Times New Roman"/>
                <w:iCs/>
                <w:color w:val="000000"/>
                <w:szCs w:val="22"/>
              </w:rPr>
              <w:t>s aux prix d’achat des</w:t>
            </w:r>
            <w:r w:rsidRPr="004D1BD0">
              <w:rPr>
                <w:rFonts w:ascii="Times New Roman" w:hAnsi="Times New Roman"/>
                <w:iCs/>
                <w:color w:val="000000"/>
                <w:szCs w:val="22"/>
              </w:rPr>
              <w:t xml:space="preserve"> </w:t>
            </w:r>
            <w:r w:rsidR="0049442E" w:rsidRPr="004D1BD0">
              <w:rPr>
                <w:rFonts w:ascii="Times New Roman" w:hAnsi="Times New Roman"/>
                <w:iCs/>
                <w:color w:val="000000"/>
                <w:szCs w:val="22"/>
              </w:rPr>
              <w:t>matérielles</w:t>
            </w:r>
            <w:r w:rsidR="00660937" w:rsidRPr="004D1BD0">
              <w:rPr>
                <w:rFonts w:ascii="Times New Roman" w:hAnsi="Times New Roman"/>
                <w:iCs/>
                <w:color w:val="000000"/>
                <w:szCs w:val="22"/>
              </w:rPr>
              <w:t xml:space="preserve"> nécessaire</w:t>
            </w:r>
            <w:r w:rsidRPr="004D1BD0">
              <w:rPr>
                <w:rFonts w:ascii="Times New Roman" w:hAnsi="Times New Roman"/>
                <w:iCs/>
                <w:color w:val="000000"/>
                <w:szCs w:val="22"/>
              </w:rPr>
              <w:t xml:space="preserve"> </w:t>
            </w:r>
            <w:r w:rsidR="008959F1" w:rsidRPr="004D1BD0">
              <w:rPr>
                <w:rFonts w:ascii="Times New Roman" w:hAnsi="Times New Roman"/>
                <w:iCs/>
                <w:color w:val="000000"/>
                <w:szCs w:val="22"/>
              </w:rPr>
              <w:t>;</w:t>
            </w:r>
          </w:p>
          <w:p w:rsidR="008959F1" w:rsidRPr="004D1BD0" w:rsidRDefault="00D65F3F" w:rsidP="00010BAB">
            <w:pPr>
              <w:pStyle w:val="PargrafodaLista"/>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-lié</w:t>
            </w:r>
            <w:r w:rsidR="00AE4AB1" w:rsidRPr="004D1BD0">
              <w:rPr>
                <w:rFonts w:ascii="Times New Roman" w:hAnsi="Times New Roman"/>
                <w:iCs/>
                <w:color w:val="000000"/>
                <w:szCs w:val="22"/>
              </w:rPr>
              <w:t xml:space="preserve">s </w:t>
            </w:r>
            <w:r w:rsidR="007F0603" w:rsidRPr="004D1BD0">
              <w:rPr>
                <w:rFonts w:ascii="Times New Roman" w:hAnsi="Times New Roman"/>
                <w:iCs/>
                <w:color w:val="000000"/>
                <w:szCs w:val="22"/>
              </w:rPr>
              <w:t>aux disponibilités</w:t>
            </w:r>
            <w:r w:rsidR="00AE4AB1" w:rsidRPr="004D1BD0">
              <w:rPr>
                <w:rFonts w:ascii="Times New Roman" w:hAnsi="Times New Roman"/>
                <w:iCs/>
                <w:color w:val="000000"/>
                <w:szCs w:val="22"/>
              </w:rPr>
              <w:t xml:space="preserve"> </w:t>
            </w:r>
            <w:r w:rsidR="00A57DCB" w:rsidRPr="004D1BD0">
              <w:rPr>
                <w:rFonts w:ascii="Times New Roman" w:hAnsi="Times New Roman"/>
                <w:iCs/>
                <w:color w:val="000000"/>
                <w:szCs w:val="22"/>
              </w:rPr>
              <w:t>des moyens financiers</w:t>
            </w:r>
            <w:r w:rsidR="007F0603" w:rsidRPr="004D1BD0">
              <w:rPr>
                <w:rFonts w:ascii="Times New Roman" w:hAnsi="Times New Roman"/>
                <w:iCs/>
                <w:color w:val="000000"/>
                <w:szCs w:val="22"/>
              </w:rPr>
              <w:t> ;</w:t>
            </w:r>
          </w:p>
          <w:p w:rsidR="007F0603" w:rsidRPr="004D1BD0" w:rsidRDefault="00D65F3F"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Couts liés</w:t>
            </w:r>
            <w:r w:rsidR="007F0603" w:rsidRPr="004D1BD0">
              <w:rPr>
                <w:rFonts w:ascii="Times New Roman" w:hAnsi="Times New Roman"/>
                <w:b/>
                <w:color w:val="000000"/>
                <w:szCs w:val="22"/>
              </w:rPr>
              <w:t xml:space="preserve"> au renforcement des capacité</w:t>
            </w:r>
            <w:r w:rsidRPr="004D1BD0">
              <w:rPr>
                <w:rFonts w:ascii="Times New Roman" w:hAnsi="Times New Roman"/>
                <w:b/>
                <w:color w:val="000000"/>
                <w:szCs w:val="22"/>
              </w:rPr>
              <w:t>s</w:t>
            </w:r>
            <w:r w:rsidR="007F0603" w:rsidRPr="004D1BD0">
              <w:rPr>
                <w:rFonts w:ascii="Times New Roman" w:hAnsi="Times New Roman"/>
                <w:b/>
                <w:color w:val="000000"/>
                <w:szCs w:val="22"/>
              </w:rPr>
              <w:t xml:space="preserve"> des acteurs</w:t>
            </w:r>
            <w:r w:rsidRPr="004D1BD0">
              <w:rPr>
                <w:rFonts w:ascii="Times New Roman" w:hAnsi="Times New Roman"/>
                <w:b/>
                <w:color w:val="000000"/>
                <w:szCs w:val="22"/>
              </w:rPr>
              <w:t> ;</w:t>
            </w:r>
          </w:p>
          <w:p w:rsidR="00D65F3F" w:rsidRPr="004D1BD0" w:rsidRDefault="00D65F3F" w:rsidP="00010BAB">
            <w:pPr>
              <w:pStyle w:val="PargrafodaLista"/>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7F0603" w:rsidRPr="004D1BD0" w:rsidRDefault="007F0603" w:rsidP="00010BAB">
            <w:pPr>
              <w:pStyle w:val="PargrafodaLista"/>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Cs w:val="22"/>
              </w:rPr>
            </w:pPr>
          </w:p>
          <w:p w:rsidR="008959F1" w:rsidRPr="004D1BD0" w:rsidRDefault="008959F1"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Cs w:val="22"/>
              </w:rPr>
            </w:pPr>
          </w:p>
        </w:tc>
      </w:tr>
    </w:tbl>
    <w:p w:rsidR="006B259C" w:rsidRPr="00A05698" w:rsidRDefault="006B259C" w:rsidP="004F4212">
      <w:pPr>
        <w:tabs>
          <w:tab w:val="left" w:pos="3811"/>
        </w:tabs>
        <w:ind w:right="-851"/>
        <w:rPr>
          <w:b/>
        </w:rPr>
      </w:pPr>
    </w:p>
    <w:p w:rsidR="00AC4DBD" w:rsidRPr="00A05698" w:rsidRDefault="00AC4DBD" w:rsidP="004F4212">
      <w:pPr>
        <w:pStyle w:val="Primeiroavanodecorpodetexto2"/>
        <w:spacing w:line="240" w:lineRule="auto"/>
        <w:rPr>
          <w:rFonts w:ascii="Times New Roman" w:hAnsi="Times New Roman"/>
        </w:rPr>
        <w:sectPr w:rsidR="00AC4DBD" w:rsidRPr="00A05698" w:rsidSect="00AC4DBD">
          <w:pgSz w:w="16838" w:h="11906" w:orient="landscape"/>
          <w:pgMar w:top="1417" w:right="1417" w:bottom="1417" w:left="1417" w:header="316" w:footer="708" w:gutter="0"/>
          <w:cols w:space="708"/>
          <w:docGrid w:linePitch="360"/>
        </w:sectPr>
      </w:pPr>
    </w:p>
    <w:p w:rsidR="00DA2CB9" w:rsidRPr="00760E97" w:rsidRDefault="00C06DB6" w:rsidP="00157035">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right="-995"/>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28" w:name="_Toc73459740"/>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ANALYSE DES ALTERNATIVES ;</w:t>
      </w:r>
      <w:bookmarkEnd w:id="228"/>
    </w:p>
    <w:p w:rsidR="00B53B63" w:rsidRPr="00A05698" w:rsidRDefault="00B53B63" w:rsidP="00700ACF">
      <w:pPr>
        <w:ind w:left="-284" w:right="-851"/>
        <w:jc w:val="both"/>
      </w:pPr>
      <w:r w:rsidRPr="00A05698">
        <w:t>L’analyse consiste à identifier les variantes ou alternatives pertinentes et à les comparer en termes d’avantages et d’inconvénients selon l’environnement biophysique et socio - économique. Mais aussi par rapport aux solutions proposées en termes de</w:t>
      </w:r>
      <w:r w:rsidR="005B1F1B" w:rsidRPr="00A05698">
        <w:t xml:space="preserve"> s</w:t>
      </w:r>
      <w:r w:rsidR="002C0162" w:rsidRPr="00A05698">
        <w:t>outien à la production agricole</w:t>
      </w:r>
      <w:r w:rsidR="005B1F1B" w:rsidRPr="00A05698">
        <w:t>, de s</w:t>
      </w:r>
      <w:r w:rsidR="002C0162" w:rsidRPr="00A05698">
        <w:t>outien aux Filets de Sécurité communautaires</w:t>
      </w:r>
      <w:r w:rsidR="00F7484E" w:rsidRPr="00A05698">
        <w:t xml:space="preserve"> et de s</w:t>
      </w:r>
      <w:r w:rsidR="002C0162" w:rsidRPr="00A05698">
        <w:t>outien à l</w:t>
      </w:r>
      <w:r w:rsidR="00A05714" w:rsidRPr="00A05698">
        <w:t>’</w:t>
      </w:r>
      <w:r w:rsidR="002C0162" w:rsidRPr="00A05698">
        <w:t>atténuation des risques</w:t>
      </w:r>
      <w:r w:rsidR="00F7484E" w:rsidRPr="00A05698">
        <w:t>.</w:t>
      </w:r>
    </w:p>
    <w:p w:rsidR="00700ACF" w:rsidRPr="00A05698" w:rsidRDefault="00700ACF" w:rsidP="007056AF"/>
    <w:p w:rsidR="00F7484E" w:rsidRPr="00A05698" w:rsidRDefault="003B38B7" w:rsidP="00157035">
      <w:pPr>
        <w:pStyle w:val="PargrafodaLista"/>
        <w:numPr>
          <w:ilvl w:val="1"/>
          <w:numId w:val="99"/>
        </w:numPr>
        <w:spacing w:after="120" w:line="240" w:lineRule="auto"/>
        <w:outlineLvl w:val="1"/>
        <w:rPr>
          <w:rFonts w:ascii="Times New Roman" w:hAnsi="Times New Roman"/>
          <w:b/>
          <w:bCs/>
          <w:sz w:val="24"/>
          <w:szCs w:val="24"/>
        </w:rPr>
      </w:pPr>
      <w:bookmarkStart w:id="229" w:name="_Toc73459741"/>
      <w:r w:rsidRPr="00A05698">
        <w:rPr>
          <w:rFonts w:ascii="Times New Roman" w:hAnsi="Times New Roman"/>
          <w:b/>
          <w:bCs/>
          <w:sz w:val="24"/>
          <w:szCs w:val="24"/>
        </w:rPr>
        <w:t>PRESENTATION ET ANALYSE DES ALTERNATIVES</w:t>
      </w:r>
      <w:bookmarkEnd w:id="229"/>
      <w:r w:rsidRPr="00A05698">
        <w:rPr>
          <w:rFonts w:ascii="Times New Roman" w:hAnsi="Times New Roman"/>
          <w:b/>
          <w:bCs/>
          <w:sz w:val="24"/>
          <w:szCs w:val="24"/>
        </w:rPr>
        <w:t> </w:t>
      </w:r>
    </w:p>
    <w:p w:rsidR="00BE58DA" w:rsidRPr="00A05698" w:rsidRDefault="00BE58DA" w:rsidP="00AB50DA">
      <w:pPr>
        <w:ind w:left="-284" w:right="-851"/>
        <w:jc w:val="both"/>
      </w:pPr>
      <w:r w:rsidRPr="00A05698">
        <w:t xml:space="preserve">Dans le cadre de ce projet </w:t>
      </w:r>
      <w:r w:rsidR="0017579A" w:rsidRPr="00A05698">
        <w:t>PUSA deux (2</w:t>
      </w:r>
      <w:r w:rsidR="0057505C" w:rsidRPr="00A05698">
        <w:t xml:space="preserve">) </w:t>
      </w:r>
      <w:r w:rsidR="00DB17BC" w:rsidRPr="00A05698">
        <w:t>alternatives</w:t>
      </w:r>
      <w:r w:rsidRPr="00A05698">
        <w:t xml:space="preserve"> qui semblent importantes ont été analysées. Il s’agit essentiellement :</w:t>
      </w:r>
    </w:p>
    <w:p w:rsidR="00676D11" w:rsidRPr="00A05698" w:rsidRDefault="00676D11" w:rsidP="00157035">
      <w:pPr>
        <w:pStyle w:val="PargrafodaLista"/>
        <w:numPr>
          <w:ilvl w:val="0"/>
          <w:numId w:val="56"/>
        </w:numPr>
        <w:overflowPunct w:val="0"/>
        <w:autoSpaceDE w:val="0"/>
        <w:autoSpaceDN w:val="0"/>
        <w:adjustRightInd w:val="0"/>
        <w:spacing w:after="240" w:line="240" w:lineRule="auto"/>
        <w:ind w:right="284"/>
        <w:jc w:val="both"/>
        <w:textAlignment w:val="baseline"/>
        <w:rPr>
          <w:rFonts w:ascii="Times New Roman" w:hAnsi="Times New Roman"/>
          <w:i/>
          <w:sz w:val="24"/>
          <w:szCs w:val="24"/>
        </w:rPr>
      </w:pPr>
      <w:r w:rsidRPr="00A05698">
        <w:rPr>
          <w:rFonts w:ascii="Times New Roman" w:hAnsi="Times New Roman"/>
          <w:b/>
          <w:i/>
          <w:sz w:val="24"/>
          <w:szCs w:val="24"/>
        </w:rPr>
        <w:t>Alternative 1 :</w:t>
      </w:r>
      <w:r w:rsidRPr="00A05698">
        <w:rPr>
          <w:rFonts w:ascii="Times New Roman" w:hAnsi="Times New Roman"/>
          <w:i/>
          <w:sz w:val="24"/>
          <w:szCs w:val="24"/>
        </w:rPr>
        <w:t xml:space="preserve"> « </w:t>
      </w:r>
      <w:r w:rsidRPr="00A05698">
        <w:rPr>
          <w:rFonts w:ascii="Times New Roman" w:hAnsi="Times New Roman"/>
          <w:b/>
          <w:i/>
          <w:sz w:val="24"/>
          <w:szCs w:val="24"/>
        </w:rPr>
        <w:t xml:space="preserve">sans projet » </w:t>
      </w:r>
    </w:p>
    <w:p w:rsidR="00676D11" w:rsidRPr="00A05698" w:rsidRDefault="00676D11" w:rsidP="00157035">
      <w:pPr>
        <w:pStyle w:val="PargrafodaLista"/>
        <w:numPr>
          <w:ilvl w:val="0"/>
          <w:numId w:val="56"/>
        </w:numPr>
        <w:overflowPunct w:val="0"/>
        <w:autoSpaceDE w:val="0"/>
        <w:autoSpaceDN w:val="0"/>
        <w:adjustRightInd w:val="0"/>
        <w:spacing w:after="0" w:line="240" w:lineRule="auto"/>
        <w:ind w:right="284"/>
        <w:jc w:val="both"/>
        <w:textAlignment w:val="baseline"/>
        <w:rPr>
          <w:rFonts w:ascii="Times New Roman" w:hAnsi="Times New Roman"/>
          <w:i/>
          <w:sz w:val="24"/>
          <w:szCs w:val="24"/>
        </w:rPr>
      </w:pPr>
      <w:r w:rsidRPr="00A05698">
        <w:rPr>
          <w:rFonts w:ascii="Times New Roman" w:hAnsi="Times New Roman"/>
          <w:b/>
          <w:i/>
          <w:sz w:val="24"/>
          <w:szCs w:val="24"/>
        </w:rPr>
        <w:t>Alternative</w:t>
      </w:r>
      <w:r w:rsidR="0017579A" w:rsidRPr="00A05698">
        <w:rPr>
          <w:rFonts w:ascii="Times New Roman" w:hAnsi="Times New Roman"/>
          <w:b/>
          <w:i/>
          <w:sz w:val="24"/>
          <w:szCs w:val="24"/>
        </w:rPr>
        <w:t xml:space="preserve"> 2</w:t>
      </w:r>
      <w:r w:rsidRPr="00A05698">
        <w:rPr>
          <w:rFonts w:ascii="Times New Roman" w:hAnsi="Times New Roman"/>
          <w:b/>
          <w:i/>
          <w:sz w:val="24"/>
          <w:szCs w:val="24"/>
        </w:rPr>
        <w:t> :</w:t>
      </w:r>
      <w:r w:rsidRPr="00A05698">
        <w:rPr>
          <w:rFonts w:ascii="Times New Roman" w:hAnsi="Times New Roman"/>
          <w:i/>
          <w:sz w:val="24"/>
          <w:szCs w:val="24"/>
        </w:rPr>
        <w:t xml:space="preserve"> « </w:t>
      </w:r>
      <w:r w:rsidRPr="00A05698">
        <w:rPr>
          <w:rFonts w:ascii="Times New Roman" w:hAnsi="Times New Roman"/>
          <w:b/>
          <w:i/>
          <w:sz w:val="24"/>
          <w:szCs w:val="24"/>
        </w:rPr>
        <w:t>avec projet</w:t>
      </w:r>
      <w:r w:rsidRPr="00A05698">
        <w:rPr>
          <w:rFonts w:ascii="Times New Roman" w:hAnsi="Times New Roman"/>
          <w:i/>
          <w:sz w:val="24"/>
          <w:szCs w:val="24"/>
        </w:rPr>
        <w:t xml:space="preserve"> »</w:t>
      </w:r>
    </w:p>
    <w:p w:rsidR="009C1B7B" w:rsidRPr="00A05698" w:rsidRDefault="009C1B7B" w:rsidP="00157035">
      <w:pPr>
        <w:pStyle w:val="Listacommarcas3"/>
        <w:numPr>
          <w:ilvl w:val="1"/>
          <w:numId w:val="56"/>
        </w:numPr>
      </w:pPr>
      <w:r w:rsidRPr="00A05698">
        <w:t>Option</w:t>
      </w:r>
      <w:r w:rsidR="00FD0BFE" w:rsidRPr="00A05698">
        <w:t xml:space="preserve"> </w:t>
      </w:r>
      <w:r w:rsidRPr="00A05698">
        <w:t xml:space="preserve">2.a : Projet axé </w:t>
      </w:r>
      <w:r w:rsidR="00FC6F52" w:rsidRPr="00A05698">
        <w:t>sur le développement du secteur de noix cajou</w:t>
      </w:r>
      <w:r w:rsidRPr="00A05698">
        <w:t xml:space="preserve"> ;</w:t>
      </w:r>
    </w:p>
    <w:p w:rsidR="009C1B7B" w:rsidRPr="00A05698" w:rsidRDefault="00301C33" w:rsidP="00157035">
      <w:pPr>
        <w:pStyle w:val="Listacommarcas3"/>
        <w:numPr>
          <w:ilvl w:val="1"/>
          <w:numId w:val="56"/>
        </w:numPr>
      </w:pPr>
      <w:r w:rsidRPr="00A05698">
        <w:t>Option 2.b</w:t>
      </w:r>
      <w:r w:rsidR="009C1B7B" w:rsidRPr="00A05698">
        <w:t xml:space="preserve"> : Intervention du </w:t>
      </w:r>
      <w:r w:rsidR="00950446" w:rsidRPr="00A05698">
        <w:t>projet dans c</w:t>
      </w:r>
      <w:r w:rsidR="009C1B7B" w:rsidRPr="00A05698">
        <w:t>es domaines (</w:t>
      </w:r>
      <w:r w:rsidR="002A3617" w:rsidRPr="00A05698">
        <w:t xml:space="preserve">secteur </w:t>
      </w:r>
      <w:r w:rsidR="00FF5231" w:rsidRPr="00A05698">
        <w:t>de la noix</w:t>
      </w:r>
      <w:r w:rsidR="008270B7" w:rsidRPr="00A05698">
        <w:t xml:space="preserve"> de cajou et </w:t>
      </w:r>
      <w:r w:rsidR="002A3617" w:rsidRPr="00A05698">
        <w:t>des cultures vivrière</w:t>
      </w:r>
      <w:r w:rsidR="00B26267" w:rsidRPr="00A05698">
        <w:t>s</w:t>
      </w:r>
      <w:r w:rsidR="009C1B7B" w:rsidRPr="00A05698">
        <w:t>).</w:t>
      </w:r>
    </w:p>
    <w:p w:rsidR="00090A33" w:rsidRPr="00A05698" w:rsidRDefault="00090A33" w:rsidP="004F4212">
      <w:pPr>
        <w:ind w:left="1788"/>
        <w:contextualSpacing/>
      </w:pPr>
    </w:p>
    <w:p w:rsidR="003B38B7" w:rsidRPr="00A05698" w:rsidRDefault="003B38B7" w:rsidP="00157035">
      <w:pPr>
        <w:pStyle w:val="PargrafodaLista"/>
        <w:numPr>
          <w:ilvl w:val="1"/>
          <w:numId w:val="99"/>
        </w:numPr>
        <w:spacing w:after="120" w:line="240" w:lineRule="auto"/>
        <w:outlineLvl w:val="1"/>
        <w:rPr>
          <w:rFonts w:ascii="Times New Roman" w:hAnsi="Times New Roman"/>
          <w:b/>
          <w:bCs/>
          <w:sz w:val="24"/>
          <w:szCs w:val="24"/>
        </w:rPr>
      </w:pPr>
      <w:bookmarkStart w:id="230" w:name="_Toc51084427"/>
      <w:bookmarkStart w:id="231" w:name="_Toc73459742"/>
      <w:r w:rsidRPr="00A05698">
        <w:rPr>
          <w:rFonts w:ascii="Times New Roman" w:hAnsi="Times New Roman"/>
          <w:b/>
          <w:bCs/>
          <w:sz w:val="24"/>
          <w:szCs w:val="24"/>
        </w:rPr>
        <w:t>ANALYSE MULTICRITERE</w:t>
      </w:r>
      <w:bookmarkEnd w:id="230"/>
      <w:bookmarkEnd w:id="231"/>
    </w:p>
    <w:p w:rsidR="003B38B7" w:rsidRPr="00A05698" w:rsidRDefault="00291626" w:rsidP="00AB50DA">
      <w:pPr>
        <w:ind w:left="-284" w:right="-851"/>
        <w:jc w:val="both"/>
      </w:pPr>
      <w:r w:rsidRPr="00A05698">
        <w:t>Ces alternatives</w:t>
      </w:r>
      <w:r w:rsidR="003B38B7" w:rsidRPr="00A05698">
        <w:t xml:space="preserve"> ont été analysées sur la base de critères socio-économiques et environnementaux. Le tableau suivant présente les différentes caractéris</w:t>
      </w:r>
      <w:r w:rsidRPr="00A05698">
        <w:t>tiques des alternatives</w:t>
      </w:r>
      <w:r w:rsidR="003B38B7" w:rsidRPr="00A05698">
        <w:t xml:space="preserve"> et des options identifiées ainsi que leur conformité sur les plans sociaux, environnementaux et économiques.</w:t>
      </w:r>
    </w:p>
    <w:p w:rsidR="00AD25B8" w:rsidRPr="00A05698" w:rsidRDefault="00AD25B8" w:rsidP="00157035">
      <w:pPr>
        <w:pStyle w:val="PargrafodaLista"/>
        <w:numPr>
          <w:ilvl w:val="0"/>
          <w:numId w:val="56"/>
        </w:numPr>
        <w:overflowPunct w:val="0"/>
        <w:autoSpaceDE w:val="0"/>
        <w:autoSpaceDN w:val="0"/>
        <w:adjustRightInd w:val="0"/>
        <w:spacing w:after="0" w:line="240" w:lineRule="auto"/>
        <w:ind w:right="284"/>
        <w:jc w:val="both"/>
        <w:textAlignment w:val="baseline"/>
        <w:rPr>
          <w:rFonts w:ascii="Times New Roman" w:hAnsi="Times New Roman"/>
          <w:i/>
          <w:sz w:val="24"/>
          <w:szCs w:val="24"/>
        </w:rPr>
      </w:pPr>
      <w:r w:rsidRPr="00A05698">
        <w:rPr>
          <w:rFonts w:ascii="Times New Roman" w:hAnsi="Times New Roman"/>
          <w:b/>
          <w:i/>
          <w:sz w:val="24"/>
          <w:szCs w:val="24"/>
        </w:rPr>
        <w:t>Alternative 1 :</w:t>
      </w:r>
      <w:r w:rsidRPr="00A05698">
        <w:rPr>
          <w:rFonts w:ascii="Times New Roman" w:hAnsi="Times New Roman"/>
          <w:i/>
          <w:sz w:val="24"/>
          <w:szCs w:val="24"/>
        </w:rPr>
        <w:t xml:space="preserve"> « </w:t>
      </w:r>
      <w:r w:rsidRPr="00A05698">
        <w:rPr>
          <w:rFonts w:ascii="Times New Roman" w:hAnsi="Times New Roman"/>
          <w:b/>
          <w:i/>
          <w:sz w:val="24"/>
          <w:szCs w:val="24"/>
        </w:rPr>
        <w:t>sans projet » où ;</w:t>
      </w:r>
    </w:p>
    <w:p w:rsidR="00BB228E" w:rsidRPr="00A05698" w:rsidRDefault="00BB228E" w:rsidP="00AB50DA">
      <w:pPr>
        <w:ind w:left="-284" w:right="-851"/>
        <w:jc w:val="both"/>
      </w:pPr>
      <w:r w:rsidRPr="00A05698">
        <w:t xml:space="preserve">L’option </w:t>
      </w:r>
      <w:r w:rsidR="004530F9" w:rsidRPr="00A05698">
        <w:t>« sans</w:t>
      </w:r>
      <w:r w:rsidRPr="00A05698">
        <w:t xml:space="preserve"> projet </w:t>
      </w:r>
      <w:r w:rsidR="004530F9" w:rsidRPr="00A05698">
        <w:t>« a</w:t>
      </w:r>
      <w:r w:rsidRPr="00A05698">
        <w:t xml:space="preserve"> été évaluée en considérant les effets de l’absence ou de la présence du projet sur l’environnement, la société et l’économie. Cette analyse a pour objectif principal d’étudier les différents scénarios et leurs incidences.</w:t>
      </w:r>
    </w:p>
    <w:tbl>
      <w:tblPr>
        <w:tblStyle w:val="TableauGrille4-Accentuation11"/>
        <w:tblW w:w="10092" w:type="dxa"/>
        <w:tblLook w:val="04A0" w:firstRow="1" w:lastRow="0" w:firstColumn="1" w:lastColumn="0" w:noHBand="0" w:noVBand="1"/>
      </w:tblPr>
      <w:tblGrid>
        <w:gridCol w:w="1163"/>
        <w:gridCol w:w="3481"/>
        <w:gridCol w:w="5448"/>
      </w:tblGrid>
      <w:tr w:rsidR="00AB50DA" w:rsidRPr="00760E97" w:rsidTr="009C7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val="restart"/>
            <w:shd w:val="clear" w:color="auto" w:fill="C5E0B3" w:themeFill="accent6" w:themeFillTint="66"/>
          </w:tcPr>
          <w:p w:rsidR="00AB50DA" w:rsidRPr="00760E97" w:rsidRDefault="00AB50DA" w:rsidP="00760E97">
            <w:pPr>
              <w:contextualSpacing/>
              <w:jc w:val="center"/>
              <w:rPr>
                <w:i/>
                <w:sz w:val="21"/>
                <w:szCs w:val="21"/>
              </w:rPr>
            </w:pPr>
            <w:r w:rsidRPr="00760E97">
              <w:rPr>
                <w:i/>
                <w:sz w:val="21"/>
                <w:szCs w:val="21"/>
              </w:rPr>
              <w:t>Options</w:t>
            </w:r>
          </w:p>
        </w:tc>
        <w:tc>
          <w:tcPr>
            <w:tcW w:w="8929" w:type="dxa"/>
            <w:gridSpan w:val="2"/>
            <w:shd w:val="clear" w:color="auto" w:fill="C5E0B3" w:themeFill="accent6" w:themeFillTint="66"/>
          </w:tcPr>
          <w:p w:rsidR="00AB50DA" w:rsidRPr="00760E97" w:rsidRDefault="00AB50DA" w:rsidP="00760E97">
            <w:pPr>
              <w:contextualSpacing/>
              <w:jc w:val="center"/>
              <w:cnfStyle w:val="100000000000" w:firstRow="1" w:lastRow="0" w:firstColumn="0" w:lastColumn="0" w:oddVBand="0" w:evenVBand="0" w:oddHBand="0" w:evenHBand="0" w:firstRowFirstColumn="0" w:firstRowLastColumn="0" w:lastRowFirstColumn="0" w:lastRowLastColumn="0"/>
              <w:rPr>
                <w:b w:val="0"/>
                <w:i/>
                <w:sz w:val="21"/>
                <w:szCs w:val="21"/>
              </w:rPr>
            </w:pPr>
            <w:r w:rsidRPr="00760E97">
              <w:rPr>
                <w:i/>
                <w:sz w:val="21"/>
                <w:szCs w:val="21"/>
              </w:rPr>
              <w:t>EFFETS</w:t>
            </w:r>
          </w:p>
        </w:tc>
      </w:tr>
      <w:tr w:rsidR="00AB50DA" w:rsidRPr="00760E97" w:rsidTr="00DF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shd w:val="clear" w:color="auto" w:fill="C5E0B3" w:themeFill="accent6" w:themeFillTint="66"/>
          </w:tcPr>
          <w:p w:rsidR="00AB50DA" w:rsidRPr="00760E97" w:rsidRDefault="00AB50DA" w:rsidP="00760E97">
            <w:pPr>
              <w:contextualSpacing/>
              <w:jc w:val="center"/>
              <w:rPr>
                <w:b w:val="0"/>
                <w:i/>
                <w:sz w:val="21"/>
                <w:szCs w:val="21"/>
              </w:rPr>
            </w:pPr>
          </w:p>
        </w:tc>
        <w:tc>
          <w:tcPr>
            <w:tcW w:w="3481" w:type="dxa"/>
          </w:tcPr>
          <w:p w:rsidR="00AB50DA" w:rsidRPr="00760E97" w:rsidRDefault="00AB50DA" w:rsidP="00760E97">
            <w:pPr>
              <w:contextualSpacing/>
              <w:jc w:val="center"/>
              <w:cnfStyle w:val="000000100000" w:firstRow="0" w:lastRow="0" w:firstColumn="0" w:lastColumn="0" w:oddVBand="0" w:evenVBand="0" w:oddHBand="1" w:evenHBand="0" w:firstRowFirstColumn="0" w:firstRowLastColumn="0" w:lastRowFirstColumn="0" w:lastRowLastColumn="0"/>
              <w:rPr>
                <w:b/>
                <w:i/>
                <w:sz w:val="21"/>
                <w:szCs w:val="21"/>
              </w:rPr>
            </w:pPr>
            <w:r w:rsidRPr="00760E97">
              <w:rPr>
                <w:b/>
                <w:i/>
                <w:sz w:val="21"/>
                <w:szCs w:val="21"/>
              </w:rPr>
              <w:t>Effets positifs</w:t>
            </w:r>
          </w:p>
        </w:tc>
        <w:tc>
          <w:tcPr>
            <w:tcW w:w="5448" w:type="dxa"/>
          </w:tcPr>
          <w:p w:rsidR="00AB50DA" w:rsidRPr="00760E97" w:rsidRDefault="00AB50DA" w:rsidP="00760E97">
            <w:pPr>
              <w:contextualSpacing/>
              <w:jc w:val="center"/>
              <w:cnfStyle w:val="000000100000" w:firstRow="0" w:lastRow="0" w:firstColumn="0" w:lastColumn="0" w:oddVBand="0" w:evenVBand="0" w:oddHBand="1" w:evenHBand="0" w:firstRowFirstColumn="0" w:firstRowLastColumn="0" w:lastRowFirstColumn="0" w:lastRowLastColumn="0"/>
              <w:rPr>
                <w:b/>
                <w:i/>
                <w:sz w:val="21"/>
                <w:szCs w:val="21"/>
              </w:rPr>
            </w:pPr>
            <w:r w:rsidRPr="00760E97">
              <w:rPr>
                <w:b/>
                <w:i/>
                <w:sz w:val="21"/>
                <w:szCs w:val="21"/>
              </w:rPr>
              <w:t>Effets négatifs</w:t>
            </w:r>
          </w:p>
        </w:tc>
      </w:tr>
      <w:tr w:rsidR="002748EB" w:rsidRPr="00760E97" w:rsidTr="00760E97">
        <w:trPr>
          <w:trHeight w:val="5113"/>
        </w:trPr>
        <w:tc>
          <w:tcPr>
            <w:cnfStyle w:val="001000000000" w:firstRow="0" w:lastRow="0" w:firstColumn="1" w:lastColumn="0" w:oddVBand="0" w:evenVBand="0" w:oddHBand="0" w:evenHBand="0" w:firstRowFirstColumn="0" w:firstRowLastColumn="0" w:lastRowFirstColumn="0" w:lastRowLastColumn="0"/>
            <w:tcW w:w="1163" w:type="dxa"/>
            <w:vAlign w:val="center"/>
          </w:tcPr>
          <w:p w:rsidR="00BB228E" w:rsidRPr="00760E97" w:rsidRDefault="00BB228E" w:rsidP="00760E97">
            <w:pPr>
              <w:contextualSpacing/>
              <w:jc w:val="center"/>
              <w:rPr>
                <w:i/>
                <w:sz w:val="21"/>
                <w:szCs w:val="21"/>
              </w:rPr>
            </w:pPr>
            <w:r w:rsidRPr="00760E97">
              <w:rPr>
                <w:i/>
                <w:sz w:val="21"/>
                <w:szCs w:val="21"/>
              </w:rPr>
              <w:t>Sans projet</w:t>
            </w:r>
          </w:p>
        </w:tc>
        <w:tc>
          <w:tcPr>
            <w:tcW w:w="3481" w:type="dxa"/>
            <w:vAlign w:val="center"/>
          </w:tcPr>
          <w:p w:rsidR="001712E7" w:rsidRPr="00760E97" w:rsidRDefault="00B27D72"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P</w:t>
            </w:r>
            <w:r w:rsidR="00822D14" w:rsidRPr="00760E97">
              <w:rPr>
                <w:rFonts w:ascii="Times New Roman" w:hAnsi="Times New Roman"/>
                <w:sz w:val="21"/>
                <w:szCs w:val="21"/>
              </w:rPr>
              <w:t>as de ch</w:t>
            </w:r>
            <w:r w:rsidRPr="00760E97">
              <w:rPr>
                <w:rFonts w:ascii="Times New Roman" w:hAnsi="Times New Roman"/>
                <w:sz w:val="21"/>
                <w:szCs w:val="21"/>
              </w:rPr>
              <w:t>angement de la</w:t>
            </w:r>
            <w:r w:rsidR="00822D14" w:rsidRPr="00760E97">
              <w:rPr>
                <w:rFonts w:ascii="Times New Roman" w:hAnsi="Times New Roman"/>
                <w:sz w:val="21"/>
                <w:szCs w:val="21"/>
              </w:rPr>
              <w:t xml:space="preserve"> situa</w:t>
            </w:r>
            <w:r w:rsidR="000E4607" w:rsidRPr="00760E97">
              <w:rPr>
                <w:rFonts w:ascii="Times New Roman" w:hAnsi="Times New Roman"/>
                <w:sz w:val="21"/>
                <w:szCs w:val="21"/>
              </w:rPr>
              <w:t>tion</w:t>
            </w:r>
            <w:r w:rsidR="00822D14" w:rsidRPr="00760E97">
              <w:rPr>
                <w:rFonts w:ascii="Times New Roman" w:hAnsi="Times New Roman"/>
                <w:sz w:val="21"/>
                <w:szCs w:val="21"/>
              </w:rPr>
              <w:t xml:space="preserve"> </w:t>
            </w:r>
            <w:r w:rsidR="004E7145" w:rsidRPr="00760E97">
              <w:rPr>
                <w:rFonts w:ascii="Times New Roman" w:hAnsi="Times New Roman"/>
                <w:sz w:val="21"/>
                <w:szCs w:val="21"/>
              </w:rPr>
              <w:t>actuelle</w:t>
            </w:r>
            <w:r w:rsidR="00822D14" w:rsidRPr="00760E97">
              <w:rPr>
                <w:rFonts w:ascii="Times New Roman" w:hAnsi="Times New Roman"/>
                <w:sz w:val="21"/>
                <w:szCs w:val="21"/>
              </w:rPr>
              <w:t xml:space="preserve"> du pays </w:t>
            </w:r>
            <w:r w:rsidR="00026CF0" w:rsidRPr="00760E97">
              <w:rPr>
                <w:rFonts w:ascii="Times New Roman" w:hAnsi="Times New Roman"/>
                <w:sz w:val="21"/>
                <w:szCs w:val="21"/>
              </w:rPr>
              <w:t xml:space="preserve">et augmentation de la </w:t>
            </w:r>
            <w:r w:rsidR="004E7145" w:rsidRPr="00760E97">
              <w:rPr>
                <w:rFonts w:ascii="Times New Roman" w:hAnsi="Times New Roman"/>
                <w:sz w:val="21"/>
                <w:szCs w:val="21"/>
              </w:rPr>
              <w:t>pauvreté</w:t>
            </w:r>
            <w:r w:rsidR="00026CF0" w:rsidRPr="00760E97">
              <w:rPr>
                <w:rFonts w:ascii="Times New Roman" w:hAnsi="Times New Roman"/>
                <w:sz w:val="21"/>
                <w:szCs w:val="21"/>
              </w:rPr>
              <w:t xml:space="preserve"> dans le pays ;</w:t>
            </w:r>
            <w:r w:rsidR="00822D14" w:rsidRPr="00760E97">
              <w:rPr>
                <w:rFonts w:ascii="Times New Roman" w:hAnsi="Times New Roman"/>
                <w:sz w:val="21"/>
                <w:szCs w:val="21"/>
              </w:rPr>
              <w:t xml:space="preserve"> </w:t>
            </w:r>
            <w:r w:rsidR="000E4607" w:rsidRPr="00760E97">
              <w:rPr>
                <w:rFonts w:ascii="Times New Roman" w:hAnsi="Times New Roman"/>
                <w:sz w:val="21"/>
                <w:szCs w:val="21"/>
              </w:rPr>
              <w:t xml:space="preserve"> </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P</w:t>
            </w:r>
            <w:r w:rsidR="004A5501" w:rsidRPr="00760E97">
              <w:rPr>
                <w:rFonts w:ascii="Times New Roman" w:hAnsi="Times New Roman"/>
                <w:sz w:val="21"/>
                <w:szCs w:val="21"/>
              </w:rPr>
              <w:t>as</w:t>
            </w:r>
            <w:r w:rsidRPr="00760E97">
              <w:rPr>
                <w:rFonts w:ascii="Times New Roman" w:hAnsi="Times New Roman"/>
                <w:sz w:val="21"/>
                <w:szCs w:val="21"/>
              </w:rPr>
              <w:t xml:space="preserve"> de dégradation ou destruction d’habitats </w:t>
            </w:r>
            <w:r w:rsidR="003B0BF5" w:rsidRPr="00760E97">
              <w:rPr>
                <w:rFonts w:ascii="Times New Roman" w:hAnsi="Times New Roman"/>
                <w:sz w:val="21"/>
                <w:szCs w:val="21"/>
              </w:rPr>
              <w:t>fauniques ni de perturbation dans les zones</w:t>
            </w:r>
            <w:r w:rsidR="00D3782F" w:rsidRPr="00760E97">
              <w:rPr>
                <w:rFonts w:ascii="Times New Roman" w:hAnsi="Times New Roman"/>
                <w:sz w:val="21"/>
                <w:szCs w:val="21"/>
              </w:rPr>
              <w:t xml:space="preserve"> activités du projet</w:t>
            </w:r>
            <w:r w:rsidRPr="00760E97">
              <w:rPr>
                <w:rFonts w:ascii="Times New Roman" w:hAnsi="Times New Roman"/>
                <w:sz w:val="21"/>
                <w:szCs w:val="21"/>
              </w:rPr>
              <w:t>.</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Pas de nuisances et perturbations du cadre de vie</w:t>
            </w:r>
            <w:r w:rsidR="00D3782F" w:rsidRPr="00760E97">
              <w:rPr>
                <w:rFonts w:ascii="Times New Roman" w:hAnsi="Times New Roman"/>
                <w:sz w:val="21"/>
                <w:szCs w:val="21"/>
              </w:rPr>
              <w:t xml:space="preserve"> </w:t>
            </w:r>
            <w:r w:rsidR="00822F9B" w:rsidRPr="00760E97">
              <w:rPr>
                <w:rFonts w:ascii="Times New Roman" w:hAnsi="Times New Roman"/>
                <w:sz w:val="21"/>
                <w:szCs w:val="21"/>
              </w:rPr>
              <w:t>de la population</w:t>
            </w:r>
            <w:r w:rsidRPr="00760E97">
              <w:rPr>
                <w:rFonts w:ascii="Times New Roman" w:hAnsi="Times New Roman"/>
                <w:sz w:val="21"/>
                <w:szCs w:val="21"/>
              </w:rPr>
              <w:t>.</w:t>
            </w:r>
          </w:p>
          <w:p w:rsidR="00BB228E" w:rsidRPr="00760E97" w:rsidRDefault="00DF4431"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Absence d’</w:t>
            </w:r>
            <w:r w:rsidR="00BB228E" w:rsidRPr="00760E97">
              <w:rPr>
                <w:rFonts w:ascii="Times New Roman" w:hAnsi="Times New Roman"/>
                <w:sz w:val="21"/>
                <w:szCs w:val="21"/>
              </w:rPr>
              <w:t>impact négatif majeur sur l’environnement biophysique et sur le milieu humain</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Pas de nuisances et de perturbation du cadre de vie par les travaux ;  </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eastAsia="MS Mincho" w:hAnsi="Times New Roman"/>
                <w:sz w:val="21"/>
                <w:szCs w:val="21"/>
              </w:rPr>
              <w:t>Pas de recrudescences des maladies liées à l’eau, etc.</w:t>
            </w:r>
          </w:p>
          <w:p w:rsidR="00C24208" w:rsidRPr="00760E97" w:rsidRDefault="00C24208" w:rsidP="00760E97">
            <w:pPr>
              <w:pStyle w:val="PargrafodaLista"/>
              <w:spacing w:after="0" w:line="240" w:lineRule="auto"/>
              <w:ind w:left="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tc>
        <w:tc>
          <w:tcPr>
            <w:tcW w:w="5448" w:type="dxa"/>
            <w:vAlign w:val="center"/>
          </w:tcPr>
          <w:p w:rsidR="00E25D06" w:rsidRPr="00760E97" w:rsidRDefault="00E25D06"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eastAsia="MS Mincho" w:hAnsi="Times New Roman"/>
                <w:sz w:val="21"/>
                <w:szCs w:val="21"/>
              </w:rPr>
              <w:t>Pas d’extension des espaces cultivables ;</w:t>
            </w:r>
          </w:p>
          <w:p w:rsidR="00E25D06" w:rsidRPr="00760E97" w:rsidRDefault="00E25D06"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eastAsia="MS Mincho" w:hAnsi="Times New Roman"/>
                <w:sz w:val="21"/>
                <w:szCs w:val="21"/>
              </w:rPr>
              <w:t>Augmentation des difficultés pour l’Etat d’atteindre la sécurité alimentaire dans le pays ;</w:t>
            </w:r>
          </w:p>
          <w:p w:rsidR="00E1620D"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Les populations éprouveront encore</w:t>
            </w:r>
            <w:r w:rsidR="004F7938" w:rsidRPr="00760E97">
              <w:rPr>
                <w:rFonts w:ascii="Times New Roman" w:hAnsi="Times New Roman"/>
                <w:sz w:val="21"/>
                <w:szCs w:val="21"/>
              </w:rPr>
              <w:t xml:space="preserve"> de sérieuses difficultés</w:t>
            </w:r>
            <w:r w:rsidR="0048694E" w:rsidRPr="00760E97">
              <w:rPr>
                <w:rFonts w:ascii="Times New Roman" w:hAnsi="Times New Roman"/>
                <w:sz w:val="21"/>
                <w:szCs w:val="21"/>
              </w:rPr>
              <w:t xml:space="preserve"> à diversifier </w:t>
            </w:r>
            <w:r w:rsidR="00E1620D" w:rsidRPr="00760E97">
              <w:rPr>
                <w:rFonts w:ascii="Times New Roman" w:hAnsi="Times New Roman"/>
                <w:sz w:val="21"/>
                <w:szCs w:val="21"/>
              </w:rPr>
              <w:t>leurs cultures</w:t>
            </w:r>
            <w:r w:rsidRPr="00760E97">
              <w:rPr>
                <w:rFonts w:ascii="Times New Roman" w:hAnsi="Times New Roman"/>
                <w:sz w:val="21"/>
                <w:szCs w:val="21"/>
              </w:rPr>
              <w:t>, à produire davantage</w:t>
            </w:r>
            <w:r w:rsidR="0008242F" w:rsidRPr="00760E97">
              <w:rPr>
                <w:rFonts w:ascii="Times New Roman" w:hAnsi="Times New Roman"/>
                <w:sz w:val="21"/>
                <w:szCs w:val="21"/>
              </w:rPr>
              <w:t xml:space="preserve"> et à écouler leurs </w:t>
            </w:r>
            <w:r w:rsidR="00A602A8" w:rsidRPr="00760E97">
              <w:rPr>
                <w:rFonts w:ascii="Times New Roman" w:hAnsi="Times New Roman"/>
                <w:sz w:val="21"/>
                <w:szCs w:val="21"/>
              </w:rPr>
              <w:t>récoltes ;</w:t>
            </w:r>
          </w:p>
          <w:p w:rsidR="00DF4431" w:rsidRPr="00760E97" w:rsidRDefault="002155E7"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Risque d’augmentation de la dégradation des ressources foresti</w:t>
            </w:r>
            <w:r w:rsidR="00A05698" w:rsidRPr="00760E97">
              <w:rPr>
                <w:rFonts w:ascii="Times New Roman" w:hAnsi="Times New Roman"/>
                <w:sz w:val="21"/>
                <w:szCs w:val="21"/>
              </w:rPr>
              <w:t>ères</w:t>
            </w:r>
            <w:r w:rsidRPr="00760E97">
              <w:rPr>
                <w:rFonts w:ascii="Times New Roman" w:hAnsi="Times New Roman"/>
                <w:sz w:val="21"/>
                <w:szCs w:val="21"/>
              </w:rPr>
              <w:t xml:space="preserve"> à cause des recherches de revenus ;</w:t>
            </w:r>
            <w:r w:rsidR="00DF4431" w:rsidRPr="00760E97">
              <w:rPr>
                <w:rFonts w:ascii="Times New Roman" w:hAnsi="Times New Roman"/>
                <w:sz w:val="21"/>
                <w:szCs w:val="21"/>
              </w:rPr>
              <w:t xml:space="preserve"> </w:t>
            </w:r>
          </w:p>
          <w:p w:rsidR="00DF4431" w:rsidRPr="00760E97" w:rsidRDefault="00DF4431"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Absence d’ouvrages d’accès, d’infrastructure de stockage et de marché locale destiné à soutenir le secteur agricole.</w:t>
            </w:r>
          </w:p>
          <w:p w:rsidR="002155E7" w:rsidRPr="00760E97" w:rsidRDefault="00DF4431"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Augmentation du manque de moyens financiers pour l’achat des produits alimentaires ;</w:t>
            </w:r>
          </w:p>
          <w:p w:rsidR="002155E7" w:rsidRPr="00760E97" w:rsidRDefault="002155E7"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Evolution des problèmes de commercialisation des noix de cajou ;</w:t>
            </w:r>
          </w:p>
          <w:p w:rsidR="00BB228E" w:rsidRPr="00760E97" w:rsidRDefault="001D6907"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Augmentation </w:t>
            </w:r>
            <w:r w:rsidR="0018520F" w:rsidRPr="00760E97">
              <w:rPr>
                <w:rFonts w:ascii="Times New Roman" w:hAnsi="Times New Roman"/>
                <w:sz w:val="21"/>
                <w:szCs w:val="21"/>
              </w:rPr>
              <w:t xml:space="preserve">des </w:t>
            </w:r>
            <w:r w:rsidR="00E90CAD" w:rsidRPr="00760E97">
              <w:rPr>
                <w:rFonts w:ascii="Times New Roman" w:hAnsi="Times New Roman"/>
                <w:sz w:val="21"/>
                <w:szCs w:val="21"/>
              </w:rPr>
              <w:t>difficultés</w:t>
            </w:r>
            <w:r w:rsidR="0018520F" w:rsidRPr="00760E97">
              <w:rPr>
                <w:rFonts w:ascii="Times New Roman" w:hAnsi="Times New Roman"/>
                <w:sz w:val="21"/>
                <w:szCs w:val="21"/>
              </w:rPr>
              <w:t xml:space="preserve"> </w:t>
            </w:r>
            <w:r w:rsidR="00BB228E" w:rsidRPr="00760E97">
              <w:rPr>
                <w:rFonts w:ascii="Times New Roman" w:hAnsi="Times New Roman"/>
                <w:sz w:val="21"/>
                <w:szCs w:val="21"/>
              </w:rPr>
              <w:t>à accéder aux infrastructures et équipement socio-éducatif.</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Aucune amélioration ne sera apportée au système de production agricole existant dans les zones ciblées, caractérisé par la pratique d’une agriculture de subsistance qui est encore traditionnel et peu diversifié.</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Accentuation de la baisse des revenus des populations de plus en plus exposées aux effets néfastes du changement climatique, la persistance de l’insécurité alimentaire, la malnutrition des enfants, etc.</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Accentuation de l’exode rural et la recrudescence des conflits liés à la compétition pour les ressources de plus en plus rares.</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La production ne permet pas d’assurer des productions agricoles suffisantes pour subvenir aux besoins des producteurs qui très souvent font recours à l’exode pour couvrir leurs besoins de base.</w:t>
            </w:r>
          </w:p>
          <w:p w:rsidR="0085594C"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Pas d’investissements pour l’agrobusiness du riz pouvant impulser une dynamique, une assistance technique et un renforcement de capacités au niveau des producteurs locaux ; </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Insuffisances et/ou dégradation des infrastructures économiques ; </w:t>
            </w:r>
          </w:p>
          <w:p w:rsidR="00BB228E" w:rsidRPr="00760E97" w:rsidRDefault="00BB228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Le système d</w:t>
            </w:r>
            <w:r w:rsidR="00A05714" w:rsidRPr="00760E97">
              <w:rPr>
                <w:rFonts w:ascii="Times New Roman" w:hAnsi="Times New Roman"/>
                <w:sz w:val="21"/>
                <w:szCs w:val="21"/>
              </w:rPr>
              <w:t>’</w:t>
            </w:r>
            <w:r w:rsidRPr="00760E97">
              <w:rPr>
                <w:rFonts w:ascii="Times New Roman" w:hAnsi="Times New Roman"/>
                <w:sz w:val="21"/>
                <w:szCs w:val="21"/>
              </w:rPr>
              <w:t>élevage va continuer à générer des conflits, au détriment de l</w:t>
            </w:r>
            <w:r w:rsidR="00A05714" w:rsidRPr="00760E97">
              <w:rPr>
                <w:rFonts w:ascii="Times New Roman" w:hAnsi="Times New Roman"/>
                <w:sz w:val="21"/>
                <w:szCs w:val="21"/>
              </w:rPr>
              <w:t>’</w:t>
            </w:r>
            <w:r w:rsidRPr="00760E97">
              <w:rPr>
                <w:rFonts w:ascii="Times New Roman" w:hAnsi="Times New Roman"/>
                <w:sz w:val="21"/>
                <w:szCs w:val="21"/>
              </w:rPr>
              <w:t>équilibre écologique et des opportunités du projet en matière d’intégration avec l’agriculture</w:t>
            </w:r>
          </w:p>
          <w:p w:rsidR="00A16B5E" w:rsidRPr="00760E97" w:rsidRDefault="00A16B5E"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Risque d’augmentation </w:t>
            </w:r>
            <w:r w:rsidR="00A31A5C" w:rsidRPr="00760E97">
              <w:rPr>
                <w:rFonts w:ascii="Times New Roman" w:hAnsi="Times New Roman"/>
                <w:sz w:val="21"/>
                <w:szCs w:val="21"/>
              </w:rPr>
              <w:t xml:space="preserve">des actions </w:t>
            </w:r>
            <w:r w:rsidRPr="00760E97">
              <w:rPr>
                <w:rFonts w:ascii="Times New Roman" w:hAnsi="Times New Roman"/>
                <w:sz w:val="21"/>
                <w:szCs w:val="21"/>
              </w:rPr>
              <w:t>de discrimination des femmes pourrait être noter avec la situation du pays ;</w:t>
            </w:r>
          </w:p>
          <w:p w:rsidR="00A16B5E" w:rsidRPr="00760E97" w:rsidRDefault="00A31A5C" w:rsidP="00157035">
            <w:pPr>
              <w:pStyle w:val="PargrafodaLista"/>
              <w:numPr>
                <w:ilvl w:val="0"/>
                <w:numId w:val="53"/>
              </w:numPr>
              <w:spacing w:after="0" w:line="240" w:lineRule="auto"/>
              <w:ind w:left="181" w:hanging="181"/>
              <w:jc w:val="both"/>
              <w:cnfStyle w:val="000000000000" w:firstRow="0" w:lastRow="0" w:firstColumn="0" w:lastColumn="0" w:oddVBand="0" w:evenVBand="0" w:oddHBand="0" w:evenHBand="0" w:firstRowFirstColumn="0" w:firstRowLastColumn="0" w:lastRowFirstColumn="0" w:lastRowLastColumn="0"/>
              <w:rPr>
                <w:sz w:val="21"/>
                <w:szCs w:val="21"/>
              </w:rPr>
            </w:pPr>
            <w:r w:rsidRPr="00760E97">
              <w:rPr>
                <w:rFonts w:ascii="Times New Roman" w:hAnsi="Times New Roman"/>
                <w:sz w:val="21"/>
                <w:szCs w:val="21"/>
              </w:rPr>
              <w:t xml:space="preserve">Manque et non-respect </w:t>
            </w:r>
            <w:r w:rsidRPr="002A4633">
              <w:rPr>
                <w:rFonts w:ascii="Times New Roman" w:hAnsi="Times New Roman"/>
                <w:sz w:val="21"/>
                <w:szCs w:val="21"/>
              </w:rPr>
              <w:t>des lois</w:t>
            </w:r>
            <w:r w:rsidRPr="00760E97">
              <w:rPr>
                <w:rFonts w:ascii="Times New Roman" w:hAnsi="Times New Roman"/>
                <w:sz w:val="21"/>
                <w:szCs w:val="21"/>
              </w:rPr>
              <w:t xml:space="preserve"> pour reconnaitre les femmes à l’accès à la </w:t>
            </w:r>
            <w:r w:rsidRPr="002A4633">
              <w:rPr>
                <w:rFonts w:ascii="Times New Roman" w:hAnsi="Times New Roman"/>
                <w:sz w:val="21"/>
                <w:szCs w:val="21"/>
              </w:rPr>
              <w:t xml:space="preserve">terre pourra être </w:t>
            </w:r>
            <w:r w:rsidR="00CA5C04" w:rsidRPr="00CA5C04">
              <w:rPr>
                <w:rFonts w:ascii="Times New Roman" w:hAnsi="Times New Roman"/>
                <w:sz w:val="21"/>
                <w:szCs w:val="21"/>
              </w:rPr>
              <w:t>une source importante</w:t>
            </w:r>
            <w:r w:rsidRPr="002A4633">
              <w:rPr>
                <w:rFonts w:ascii="Times New Roman" w:hAnsi="Times New Roman"/>
                <w:sz w:val="21"/>
                <w:szCs w:val="21"/>
              </w:rPr>
              <w:t xml:space="preserve"> des actes de VBG</w:t>
            </w:r>
            <w:r w:rsidRPr="00760E97">
              <w:rPr>
                <w:sz w:val="21"/>
                <w:szCs w:val="21"/>
              </w:rPr>
              <w:t xml:space="preserve">  </w:t>
            </w:r>
          </w:p>
        </w:tc>
      </w:tr>
    </w:tbl>
    <w:p w:rsidR="00BB228E" w:rsidRPr="00A05698" w:rsidRDefault="00BB228E" w:rsidP="004F4212">
      <w:pPr>
        <w:contextualSpacing/>
        <w:rPr>
          <w:b/>
          <w:i/>
        </w:rPr>
      </w:pPr>
    </w:p>
    <w:p w:rsidR="00BB228E" w:rsidRDefault="00BB228E" w:rsidP="009C7E5A">
      <w:pPr>
        <w:ind w:left="-284" w:right="-851"/>
        <w:jc w:val="both"/>
      </w:pPr>
      <w:r w:rsidRPr="00A05698">
        <w:t xml:space="preserve">Cette option ne mettra pas en place les conditions favorables à la création de richesses, </w:t>
      </w:r>
      <w:r w:rsidR="004530F9" w:rsidRPr="00A05698">
        <w:t xml:space="preserve">ni </w:t>
      </w:r>
      <w:r w:rsidRPr="00A05698">
        <w:t>à la création d’emplois,</w:t>
      </w:r>
      <w:r w:rsidR="004530F9" w:rsidRPr="00A05698">
        <w:t xml:space="preserve"> encore </w:t>
      </w:r>
      <w:r w:rsidR="00A05698" w:rsidRPr="00A05698">
        <w:t>moins</w:t>
      </w:r>
      <w:r w:rsidRPr="00A05698">
        <w:t xml:space="preserve"> à l’amélioration des conditions </w:t>
      </w:r>
      <w:r w:rsidR="004530F9" w:rsidRPr="00A05698">
        <w:t>et</w:t>
      </w:r>
      <w:r w:rsidRPr="00A05698">
        <w:t xml:space="preserve"> du cadre de vie de la population en touchant principalement tous les secteurs </w:t>
      </w:r>
      <w:r w:rsidR="00A05698" w:rsidRPr="00A05698">
        <w:t>d’</w:t>
      </w:r>
      <w:r w:rsidRPr="00A05698">
        <w:t>activités que vise le projet.</w:t>
      </w:r>
    </w:p>
    <w:p w:rsidR="000A0DCB" w:rsidRPr="00A05698" w:rsidRDefault="000A0DCB" w:rsidP="009C7E5A">
      <w:pPr>
        <w:ind w:left="-284" w:right="-851"/>
        <w:jc w:val="both"/>
      </w:pPr>
    </w:p>
    <w:p w:rsidR="001E129D" w:rsidRPr="00A05698" w:rsidRDefault="001E129D" w:rsidP="00157035">
      <w:pPr>
        <w:pStyle w:val="PargrafodaLista"/>
        <w:numPr>
          <w:ilvl w:val="0"/>
          <w:numId w:val="56"/>
        </w:numPr>
        <w:overflowPunct w:val="0"/>
        <w:autoSpaceDE w:val="0"/>
        <w:autoSpaceDN w:val="0"/>
        <w:adjustRightInd w:val="0"/>
        <w:spacing w:after="240" w:line="240" w:lineRule="auto"/>
        <w:ind w:right="284"/>
        <w:jc w:val="both"/>
        <w:textAlignment w:val="baseline"/>
        <w:rPr>
          <w:rFonts w:ascii="Times New Roman" w:hAnsi="Times New Roman"/>
          <w:i/>
          <w:sz w:val="24"/>
          <w:szCs w:val="24"/>
        </w:rPr>
      </w:pPr>
      <w:r w:rsidRPr="00A05698">
        <w:rPr>
          <w:rFonts w:ascii="Times New Roman" w:hAnsi="Times New Roman"/>
          <w:b/>
          <w:i/>
          <w:sz w:val="24"/>
          <w:szCs w:val="24"/>
        </w:rPr>
        <w:t>Alternative 2 :</w:t>
      </w:r>
      <w:r w:rsidRPr="00A05698">
        <w:rPr>
          <w:rFonts w:ascii="Times New Roman" w:hAnsi="Times New Roman"/>
          <w:i/>
          <w:sz w:val="24"/>
          <w:szCs w:val="24"/>
        </w:rPr>
        <w:t xml:space="preserve"> « </w:t>
      </w:r>
      <w:r w:rsidRPr="00A05698">
        <w:rPr>
          <w:rFonts w:ascii="Times New Roman" w:hAnsi="Times New Roman"/>
          <w:b/>
          <w:i/>
          <w:sz w:val="24"/>
          <w:szCs w:val="24"/>
        </w:rPr>
        <w:t>avec projet</w:t>
      </w:r>
      <w:r w:rsidRPr="00A05698">
        <w:rPr>
          <w:rFonts w:ascii="Times New Roman" w:hAnsi="Times New Roman"/>
          <w:i/>
          <w:sz w:val="24"/>
          <w:szCs w:val="24"/>
        </w:rPr>
        <w:t xml:space="preserve"> »</w:t>
      </w:r>
    </w:p>
    <w:p w:rsidR="009C7E5A" w:rsidRPr="00A05698" w:rsidRDefault="00DF5392" w:rsidP="009C7E5A">
      <w:pPr>
        <w:ind w:left="-284" w:right="-851"/>
        <w:jc w:val="both"/>
      </w:pPr>
      <w:r w:rsidRPr="00A05698">
        <w:t>L</w:t>
      </w:r>
      <w:r w:rsidR="00DC7C1E" w:rsidRPr="00A05698">
        <w:t xml:space="preserve">es </w:t>
      </w:r>
      <w:r w:rsidR="00AC36A8" w:rsidRPr="00A05698">
        <w:t>activités</w:t>
      </w:r>
      <w:r w:rsidRPr="00A05698">
        <w:t xml:space="preserve"> retenues reposent sur les critères et normes permettant d’assurer au mieux la durabilité des investissements consentis</w:t>
      </w:r>
      <w:r w:rsidR="00111CD2" w:rsidRPr="00A05698">
        <w:t xml:space="preserve"> pour soutenir </w:t>
      </w:r>
      <w:r w:rsidR="003E1FB5" w:rsidRPr="00A05698">
        <w:t xml:space="preserve">les </w:t>
      </w:r>
      <w:r w:rsidR="00661C08" w:rsidRPr="00A05698">
        <w:t>producteurs</w:t>
      </w:r>
      <w:r w:rsidR="006E5618" w:rsidRPr="00A05698">
        <w:t xml:space="preserve"> en situation de pandémie</w:t>
      </w:r>
      <w:r w:rsidRPr="00A05698">
        <w:t xml:space="preserve"> et </w:t>
      </w:r>
      <w:r w:rsidR="00B94803" w:rsidRPr="00A05698">
        <w:t xml:space="preserve">obtenir </w:t>
      </w:r>
      <w:r w:rsidRPr="00A05698">
        <w:t>une bonne appropriation par les bénéficiaires. Elles ont également pris en compte les leçons issues des</w:t>
      </w:r>
      <w:r w:rsidR="00B21A9F" w:rsidRPr="00A05698">
        <w:t xml:space="preserve"> projet</w:t>
      </w:r>
      <w:r w:rsidR="00744A99" w:rsidRPr="00A05698">
        <w:t>s</w:t>
      </w:r>
      <w:r w:rsidRPr="00A05698">
        <w:t xml:space="preserve"> similaires, en se ba</w:t>
      </w:r>
      <w:r w:rsidR="007C0159" w:rsidRPr="00A05698">
        <w:t xml:space="preserve">sant sur des modes de </w:t>
      </w:r>
      <w:r w:rsidR="00C853AC" w:rsidRPr="00A05698">
        <w:t xml:space="preserve">mise en </w:t>
      </w:r>
      <w:r w:rsidR="00503E5C" w:rsidRPr="00A05698">
        <w:t>œuvre</w:t>
      </w:r>
      <w:r w:rsidRPr="00A05698">
        <w:t xml:space="preserve"> adaptés aux conditions locales.</w:t>
      </w:r>
    </w:p>
    <w:p w:rsidR="00DF5392" w:rsidRDefault="00DF5392" w:rsidP="009C7E5A">
      <w:pPr>
        <w:ind w:left="-284" w:right="-851"/>
        <w:jc w:val="both"/>
      </w:pPr>
      <w:r w:rsidRPr="00A05698">
        <w:t xml:space="preserve">Ainsi, suivant l’objectif du projet </w:t>
      </w:r>
      <w:r w:rsidR="00065FD3" w:rsidRPr="00A05698">
        <w:t xml:space="preserve">PUSA </w:t>
      </w:r>
      <w:r w:rsidR="00EB230F" w:rsidRPr="00A05698">
        <w:t>dans l’alternative</w:t>
      </w:r>
      <w:r w:rsidR="00503E5C" w:rsidRPr="00A05698">
        <w:t xml:space="preserve"> 2, </w:t>
      </w:r>
      <w:r w:rsidRPr="00A05698">
        <w:t xml:space="preserve">les points suivants ont été analysés sur la base de critères socio-économiques et environnementaux. </w:t>
      </w:r>
    </w:p>
    <w:p w:rsidR="00BB228E" w:rsidRPr="0097333C" w:rsidRDefault="001E129D" w:rsidP="00157035">
      <w:pPr>
        <w:pStyle w:val="PargrafodaLista"/>
        <w:numPr>
          <w:ilvl w:val="0"/>
          <w:numId w:val="54"/>
        </w:numPr>
        <w:spacing w:line="240" w:lineRule="auto"/>
        <w:rPr>
          <w:rFonts w:ascii="Times New Roman" w:hAnsi="Times New Roman"/>
          <w:b/>
          <w:sz w:val="24"/>
          <w:szCs w:val="24"/>
        </w:rPr>
      </w:pPr>
      <w:r w:rsidRPr="0097333C">
        <w:rPr>
          <w:rFonts w:ascii="Times New Roman" w:hAnsi="Times New Roman"/>
          <w:b/>
          <w:sz w:val="24"/>
          <w:szCs w:val="24"/>
        </w:rPr>
        <w:t xml:space="preserve">Option 2.a : Projet axé sur le développement du secteur de </w:t>
      </w:r>
      <w:r w:rsidR="00B53133" w:rsidRPr="0097333C">
        <w:rPr>
          <w:rFonts w:ascii="Times New Roman" w:hAnsi="Times New Roman"/>
          <w:b/>
          <w:sz w:val="24"/>
          <w:szCs w:val="24"/>
        </w:rPr>
        <w:t xml:space="preserve">la </w:t>
      </w:r>
      <w:r w:rsidRPr="0097333C">
        <w:rPr>
          <w:rFonts w:ascii="Times New Roman" w:hAnsi="Times New Roman"/>
          <w:b/>
          <w:sz w:val="24"/>
          <w:szCs w:val="24"/>
        </w:rPr>
        <w:t xml:space="preserve">noix </w:t>
      </w:r>
      <w:r w:rsidR="00B53133" w:rsidRPr="0097333C">
        <w:rPr>
          <w:rFonts w:ascii="Times New Roman" w:hAnsi="Times New Roman"/>
          <w:b/>
          <w:sz w:val="24"/>
          <w:szCs w:val="24"/>
        </w:rPr>
        <w:t xml:space="preserve">de </w:t>
      </w:r>
      <w:r w:rsidRPr="0097333C">
        <w:rPr>
          <w:rFonts w:ascii="Times New Roman" w:hAnsi="Times New Roman"/>
          <w:b/>
          <w:sz w:val="24"/>
          <w:szCs w:val="24"/>
        </w:rPr>
        <w:t>cajou</w:t>
      </w:r>
      <w:r w:rsidR="00D24EB3" w:rsidRPr="0097333C">
        <w:rPr>
          <w:rFonts w:ascii="Times New Roman" w:hAnsi="Times New Roman"/>
          <w:b/>
          <w:sz w:val="24"/>
          <w:szCs w:val="24"/>
        </w:rPr>
        <w:t xml:space="preserve"> </w:t>
      </w:r>
    </w:p>
    <w:tbl>
      <w:tblPr>
        <w:tblStyle w:val="TableauGrille4-Accentuation11"/>
        <w:tblW w:w="10053" w:type="dxa"/>
        <w:tblLook w:val="04A0" w:firstRow="1" w:lastRow="0" w:firstColumn="1" w:lastColumn="0" w:noHBand="0" w:noVBand="1"/>
      </w:tblPr>
      <w:tblGrid>
        <w:gridCol w:w="1560"/>
        <w:gridCol w:w="3935"/>
        <w:gridCol w:w="4558"/>
      </w:tblGrid>
      <w:tr w:rsidR="002748EB" w:rsidRPr="00760E97" w:rsidTr="007F2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BB228E" w:rsidRPr="00760E97" w:rsidRDefault="00BB228E" w:rsidP="004F4212">
            <w:pPr>
              <w:contextualSpacing/>
              <w:jc w:val="center"/>
              <w:rPr>
                <w:i/>
                <w:sz w:val="21"/>
                <w:szCs w:val="21"/>
              </w:rPr>
            </w:pPr>
            <w:r w:rsidRPr="00760E97">
              <w:rPr>
                <w:i/>
                <w:sz w:val="21"/>
                <w:szCs w:val="21"/>
              </w:rPr>
              <w:t>Option</w:t>
            </w:r>
            <w:r w:rsidR="007F20D0" w:rsidRPr="00760E97">
              <w:rPr>
                <w:i/>
                <w:sz w:val="21"/>
                <w:szCs w:val="21"/>
              </w:rPr>
              <w:t>s</w:t>
            </w:r>
          </w:p>
        </w:tc>
        <w:tc>
          <w:tcPr>
            <w:tcW w:w="8493" w:type="dxa"/>
            <w:gridSpan w:val="2"/>
          </w:tcPr>
          <w:p w:rsidR="00BB228E" w:rsidRPr="00760E97" w:rsidRDefault="00BB228E" w:rsidP="004F4212">
            <w:pPr>
              <w:contextualSpacing/>
              <w:jc w:val="center"/>
              <w:cnfStyle w:val="100000000000" w:firstRow="1" w:lastRow="0" w:firstColumn="0" w:lastColumn="0" w:oddVBand="0" w:evenVBand="0" w:oddHBand="0" w:evenHBand="0" w:firstRowFirstColumn="0" w:firstRowLastColumn="0" w:lastRowFirstColumn="0" w:lastRowLastColumn="0"/>
              <w:rPr>
                <w:i/>
                <w:sz w:val="21"/>
                <w:szCs w:val="21"/>
              </w:rPr>
            </w:pPr>
            <w:r w:rsidRPr="00760E97">
              <w:rPr>
                <w:i/>
                <w:sz w:val="21"/>
                <w:szCs w:val="21"/>
              </w:rPr>
              <w:t>EFFETS</w:t>
            </w:r>
          </w:p>
        </w:tc>
      </w:tr>
      <w:tr w:rsidR="007F20D0" w:rsidRPr="00760E97" w:rsidTr="0034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BB228E" w:rsidRPr="00760E97" w:rsidRDefault="00BB228E" w:rsidP="004F4212">
            <w:pPr>
              <w:contextualSpacing/>
              <w:jc w:val="center"/>
              <w:rPr>
                <w:b w:val="0"/>
                <w:i/>
                <w:sz w:val="21"/>
                <w:szCs w:val="21"/>
              </w:rPr>
            </w:pPr>
          </w:p>
        </w:tc>
        <w:tc>
          <w:tcPr>
            <w:tcW w:w="3935" w:type="dxa"/>
          </w:tcPr>
          <w:p w:rsidR="00BB228E" w:rsidRPr="00760E97" w:rsidRDefault="00BB228E" w:rsidP="004F4212">
            <w:pPr>
              <w:contextualSpacing/>
              <w:jc w:val="center"/>
              <w:cnfStyle w:val="000000100000" w:firstRow="0" w:lastRow="0" w:firstColumn="0" w:lastColumn="0" w:oddVBand="0" w:evenVBand="0" w:oddHBand="1" w:evenHBand="0" w:firstRowFirstColumn="0" w:firstRowLastColumn="0" w:lastRowFirstColumn="0" w:lastRowLastColumn="0"/>
              <w:rPr>
                <w:b/>
                <w:i/>
                <w:sz w:val="21"/>
                <w:szCs w:val="21"/>
              </w:rPr>
            </w:pPr>
            <w:r w:rsidRPr="00760E97">
              <w:rPr>
                <w:b/>
                <w:i/>
                <w:sz w:val="21"/>
                <w:szCs w:val="21"/>
              </w:rPr>
              <w:t>Effets positifs</w:t>
            </w:r>
          </w:p>
        </w:tc>
        <w:tc>
          <w:tcPr>
            <w:tcW w:w="4558" w:type="dxa"/>
          </w:tcPr>
          <w:p w:rsidR="00BB228E" w:rsidRPr="00760E97" w:rsidRDefault="00BB228E" w:rsidP="004F4212">
            <w:pPr>
              <w:contextualSpacing/>
              <w:jc w:val="center"/>
              <w:cnfStyle w:val="000000100000" w:firstRow="0" w:lastRow="0" w:firstColumn="0" w:lastColumn="0" w:oddVBand="0" w:evenVBand="0" w:oddHBand="1" w:evenHBand="0" w:firstRowFirstColumn="0" w:firstRowLastColumn="0" w:lastRowFirstColumn="0" w:lastRowLastColumn="0"/>
              <w:rPr>
                <w:b/>
                <w:i/>
                <w:sz w:val="21"/>
                <w:szCs w:val="21"/>
              </w:rPr>
            </w:pPr>
            <w:r w:rsidRPr="00760E97">
              <w:rPr>
                <w:b/>
                <w:i/>
                <w:sz w:val="21"/>
                <w:szCs w:val="21"/>
              </w:rPr>
              <w:t>Effets négatifs</w:t>
            </w:r>
          </w:p>
        </w:tc>
      </w:tr>
      <w:tr w:rsidR="007F20D0" w:rsidRPr="00760E97" w:rsidTr="003444C1">
        <w:trPr>
          <w:trHeight w:val="3899"/>
        </w:trPr>
        <w:tc>
          <w:tcPr>
            <w:cnfStyle w:val="001000000000" w:firstRow="0" w:lastRow="0" w:firstColumn="1" w:lastColumn="0" w:oddVBand="0" w:evenVBand="0" w:oddHBand="0" w:evenHBand="0" w:firstRowFirstColumn="0" w:firstRowLastColumn="0" w:lastRowFirstColumn="0" w:lastRowLastColumn="0"/>
            <w:tcW w:w="1560" w:type="dxa"/>
            <w:vAlign w:val="center"/>
          </w:tcPr>
          <w:p w:rsidR="00BB228E" w:rsidRPr="00760E97" w:rsidRDefault="00BB228E" w:rsidP="00A05698">
            <w:pPr>
              <w:contextualSpacing/>
              <w:jc w:val="both"/>
              <w:rPr>
                <w:i/>
                <w:sz w:val="21"/>
                <w:szCs w:val="21"/>
              </w:rPr>
            </w:pPr>
            <w:r w:rsidRPr="00760E97">
              <w:rPr>
                <w:i/>
                <w:sz w:val="21"/>
                <w:szCs w:val="21"/>
              </w:rPr>
              <w:t xml:space="preserve">Programme axé sur le développement </w:t>
            </w:r>
            <w:r w:rsidR="007907D3" w:rsidRPr="00760E97">
              <w:rPr>
                <w:i/>
                <w:sz w:val="21"/>
                <w:szCs w:val="21"/>
              </w:rPr>
              <w:t>du secteur de la noix de ca</w:t>
            </w:r>
            <w:r w:rsidR="00B53133" w:rsidRPr="00760E97">
              <w:rPr>
                <w:i/>
                <w:sz w:val="21"/>
                <w:szCs w:val="21"/>
              </w:rPr>
              <w:t>jou</w:t>
            </w:r>
          </w:p>
          <w:p w:rsidR="00BB228E" w:rsidRPr="00760E97" w:rsidRDefault="00BB228E" w:rsidP="007F20D0">
            <w:pPr>
              <w:contextualSpacing/>
              <w:rPr>
                <w:b w:val="0"/>
                <w:i/>
                <w:sz w:val="21"/>
                <w:szCs w:val="21"/>
              </w:rPr>
            </w:pPr>
          </w:p>
          <w:p w:rsidR="00BB228E" w:rsidRPr="00760E97" w:rsidRDefault="00BB228E" w:rsidP="007F20D0">
            <w:pPr>
              <w:contextualSpacing/>
              <w:rPr>
                <w:b w:val="0"/>
                <w:i/>
                <w:sz w:val="21"/>
                <w:szCs w:val="21"/>
              </w:rPr>
            </w:pPr>
          </w:p>
        </w:tc>
        <w:tc>
          <w:tcPr>
            <w:tcW w:w="3935" w:type="dxa"/>
            <w:vAlign w:val="center"/>
          </w:tcPr>
          <w:p w:rsidR="00BB228E" w:rsidRPr="00760E97" w:rsidRDefault="00166E8F"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Meilleure gestion</w:t>
            </w:r>
            <w:r w:rsidR="00BB228E" w:rsidRPr="00760E97">
              <w:rPr>
                <w:rFonts w:ascii="Times New Roman" w:hAnsi="Times New Roman"/>
                <w:sz w:val="21"/>
                <w:szCs w:val="21"/>
              </w:rPr>
              <w:t xml:space="preserve"> des</w:t>
            </w:r>
            <w:r w:rsidR="0008330D" w:rsidRPr="00760E97">
              <w:rPr>
                <w:rFonts w:ascii="Times New Roman" w:hAnsi="Times New Roman"/>
                <w:sz w:val="21"/>
                <w:szCs w:val="21"/>
              </w:rPr>
              <w:t xml:space="preserve"> terres de production de la noix de </w:t>
            </w:r>
            <w:r w:rsidR="002748EB" w:rsidRPr="00760E97">
              <w:rPr>
                <w:rFonts w:ascii="Times New Roman" w:hAnsi="Times New Roman"/>
                <w:sz w:val="21"/>
                <w:szCs w:val="21"/>
              </w:rPr>
              <w:t>cajou à</w:t>
            </w:r>
            <w:r w:rsidR="00BB228E" w:rsidRPr="00760E97">
              <w:rPr>
                <w:rFonts w:ascii="Times New Roman" w:hAnsi="Times New Roman"/>
                <w:sz w:val="21"/>
                <w:szCs w:val="21"/>
              </w:rPr>
              <w:t xml:space="preserve"> la disposition des populations ;</w:t>
            </w:r>
          </w:p>
          <w:p w:rsidR="00BB228E" w:rsidRPr="00760E97" w:rsidRDefault="00681BD5"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La revalorisation</w:t>
            </w:r>
            <w:r w:rsidR="002155E7" w:rsidRPr="00760E97">
              <w:rPr>
                <w:rFonts w:ascii="Times New Roman" w:hAnsi="Times New Roman"/>
                <w:sz w:val="21"/>
                <w:szCs w:val="21"/>
              </w:rPr>
              <w:t xml:space="preserve"> du</w:t>
            </w:r>
            <w:r w:rsidR="004F6C2D" w:rsidRPr="00760E97">
              <w:rPr>
                <w:rFonts w:ascii="Times New Roman" w:hAnsi="Times New Roman"/>
                <w:sz w:val="21"/>
                <w:szCs w:val="21"/>
              </w:rPr>
              <w:t xml:space="preserve"> produit de la noix de cajou</w:t>
            </w:r>
            <w:r w:rsidR="00BB228E" w:rsidRPr="00760E97">
              <w:rPr>
                <w:rFonts w:ascii="Times New Roman" w:hAnsi="Times New Roman"/>
                <w:sz w:val="21"/>
                <w:szCs w:val="21"/>
              </w:rPr>
              <w:t xml:space="preserve"> et particip</w:t>
            </w:r>
            <w:r w:rsidR="002155E7" w:rsidRPr="00760E97">
              <w:rPr>
                <w:rFonts w:ascii="Times New Roman" w:hAnsi="Times New Roman"/>
                <w:sz w:val="21"/>
                <w:szCs w:val="21"/>
              </w:rPr>
              <w:t>ation</w:t>
            </w:r>
            <w:r w:rsidR="00BB228E" w:rsidRPr="00760E97">
              <w:rPr>
                <w:rFonts w:ascii="Times New Roman" w:hAnsi="Times New Roman"/>
                <w:sz w:val="21"/>
                <w:szCs w:val="21"/>
              </w:rPr>
              <w:t xml:space="preserve"> à la protection de l’environnement dans les différentes localités concernées ;</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Augmentation </w:t>
            </w:r>
            <w:r w:rsidR="009B2A15" w:rsidRPr="00760E97">
              <w:rPr>
                <w:rFonts w:ascii="Times New Roman" w:hAnsi="Times New Roman"/>
                <w:sz w:val="21"/>
                <w:szCs w:val="21"/>
              </w:rPr>
              <w:t>de la production de la noix de cajou</w:t>
            </w:r>
            <w:r w:rsidRPr="00760E97">
              <w:rPr>
                <w:rFonts w:ascii="Times New Roman" w:hAnsi="Times New Roman"/>
                <w:sz w:val="21"/>
                <w:szCs w:val="21"/>
              </w:rPr>
              <w:t xml:space="preserve"> dans les zones intervention du projet ;</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Prolonge</w:t>
            </w:r>
            <w:r w:rsidR="0004523B" w:rsidRPr="00760E97">
              <w:rPr>
                <w:rFonts w:ascii="Times New Roman" w:hAnsi="Times New Roman"/>
                <w:sz w:val="21"/>
                <w:szCs w:val="21"/>
              </w:rPr>
              <w:t>ment de</w:t>
            </w:r>
            <w:r w:rsidRPr="00760E97">
              <w:rPr>
                <w:rFonts w:ascii="Times New Roman" w:hAnsi="Times New Roman"/>
                <w:sz w:val="21"/>
                <w:szCs w:val="21"/>
              </w:rPr>
              <w:t xml:space="preserve"> la périod</w:t>
            </w:r>
            <w:r w:rsidR="00154F1C" w:rsidRPr="00760E97">
              <w:rPr>
                <w:rFonts w:ascii="Times New Roman" w:hAnsi="Times New Roman"/>
                <w:sz w:val="21"/>
                <w:szCs w:val="21"/>
              </w:rPr>
              <w:t>e d’activité des populations</w:t>
            </w:r>
            <w:r w:rsidRPr="00760E97">
              <w:rPr>
                <w:rFonts w:ascii="Times New Roman" w:hAnsi="Times New Roman"/>
                <w:sz w:val="21"/>
                <w:szCs w:val="21"/>
              </w:rPr>
              <w:t> ;</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Formation </w:t>
            </w:r>
            <w:r w:rsidR="00154F1C" w:rsidRPr="00760E97">
              <w:rPr>
                <w:rFonts w:ascii="Times New Roman" w:hAnsi="Times New Roman"/>
                <w:sz w:val="21"/>
                <w:szCs w:val="21"/>
              </w:rPr>
              <w:t>des producteurs</w:t>
            </w:r>
            <w:r w:rsidRPr="00760E97">
              <w:rPr>
                <w:rFonts w:ascii="Times New Roman" w:hAnsi="Times New Roman"/>
                <w:sz w:val="21"/>
                <w:szCs w:val="21"/>
              </w:rPr>
              <w:t xml:space="preserve"> pour une </w:t>
            </w:r>
            <w:r w:rsidR="00EF515A" w:rsidRPr="00760E97">
              <w:rPr>
                <w:rFonts w:ascii="Times New Roman" w:hAnsi="Times New Roman"/>
                <w:sz w:val="21"/>
                <w:szCs w:val="21"/>
              </w:rPr>
              <w:t xml:space="preserve">meilleure gestion du secteur et à la mise en valeur du produit </w:t>
            </w:r>
            <w:r w:rsidR="00025158" w:rsidRPr="00760E97">
              <w:rPr>
                <w:rFonts w:ascii="Times New Roman" w:hAnsi="Times New Roman"/>
                <w:sz w:val="21"/>
                <w:szCs w:val="21"/>
              </w:rPr>
              <w:t>grâce</w:t>
            </w:r>
            <w:r w:rsidR="00EF515A" w:rsidRPr="00760E97">
              <w:rPr>
                <w:rFonts w:ascii="Times New Roman" w:hAnsi="Times New Roman"/>
                <w:sz w:val="21"/>
                <w:szCs w:val="21"/>
              </w:rPr>
              <w:t xml:space="preserve"> à la transformation </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Préservation</w:t>
            </w:r>
            <w:r w:rsidR="00025158" w:rsidRPr="00760E97">
              <w:rPr>
                <w:rFonts w:ascii="Times New Roman" w:hAnsi="Times New Roman"/>
                <w:sz w:val="21"/>
                <w:szCs w:val="21"/>
              </w:rPr>
              <w:t xml:space="preserve"> </w:t>
            </w:r>
            <w:r w:rsidRPr="00760E97">
              <w:rPr>
                <w:rFonts w:ascii="Times New Roman" w:hAnsi="Times New Roman"/>
                <w:sz w:val="21"/>
                <w:szCs w:val="21"/>
              </w:rPr>
              <w:t>des terres cultivables et meilleure gestion de l’eau ;</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Réduction des conflits entre les agriculteurs et les éleveurs ;</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Création d’opportunité d’emplois pour les </w:t>
            </w:r>
            <w:r w:rsidR="00084ADA" w:rsidRPr="00760E97">
              <w:rPr>
                <w:rFonts w:ascii="Times New Roman" w:hAnsi="Times New Roman"/>
                <w:sz w:val="21"/>
                <w:szCs w:val="21"/>
              </w:rPr>
              <w:t>jeunes</w:t>
            </w:r>
            <w:r w:rsidR="00025158" w:rsidRPr="00760E97">
              <w:rPr>
                <w:rFonts w:ascii="Times New Roman" w:hAnsi="Times New Roman"/>
                <w:sz w:val="21"/>
                <w:szCs w:val="21"/>
              </w:rPr>
              <w:t xml:space="preserve"> et les femmes</w:t>
            </w:r>
            <w:r w:rsidRPr="00760E97">
              <w:rPr>
                <w:rFonts w:ascii="Times New Roman" w:hAnsi="Times New Roman"/>
                <w:sz w:val="21"/>
                <w:szCs w:val="21"/>
              </w:rPr>
              <w:t xml:space="preserve"> dans</w:t>
            </w:r>
            <w:r w:rsidR="00025158" w:rsidRPr="00760E97">
              <w:rPr>
                <w:rFonts w:ascii="Times New Roman" w:hAnsi="Times New Roman"/>
                <w:sz w:val="21"/>
                <w:szCs w:val="21"/>
              </w:rPr>
              <w:t xml:space="preserve"> les</w:t>
            </w:r>
            <w:r w:rsidRPr="00760E97">
              <w:rPr>
                <w:rFonts w:ascii="Times New Roman" w:hAnsi="Times New Roman"/>
                <w:sz w:val="21"/>
                <w:szCs w:val="21"/>
              </w:rPr>
              <w:t xml:space="preserve"> </w:t>
            </w:r>
            <w:r w:rsidR="003444C1" w:rsidRPr="00760E97">
              <w:rPr>
                <w:rFonts w:ascii="Times New Roman" w:hAnsi="Times New Roman"/>
                <w:sz w:val="21"/>
                <w:szCs w:val="21"/>
              </w:rPr>
              <w:t>localités</w:t>
            </w:r>
            <w:r w:rsidR="00025158" w:rsidRPr="00760E97">
              <w:rPr>
                <w:rFonts w:ascii="Times New Roman" w:hAnsi="Times New Roman"/>
                <w:sz w:val="21"/>
                <w:szCs w:val="21"/>
              </w:rPr>
              <w:t> ;</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Réduction de</w:t>
            </w:r>
            <w:r w:rsidR="007512D9" w:rsidRPr="00760E97">
              <w:rPr>
                <w:rFonts w:ascii="Times New Roman" w:hAnsi="Times New Roman"/>
                <w:sz w:val="21"/>
                <w:szCs w:val="21"/>
              </w:rPr>
              <w:t xml:space="preserve"> la pauvreté dans le pays</w:t>
            </w:r>
            <w:r w:rsidRPr="00760E97">
              <w:rPr>
                <w:rFonts w:ascii="Times New Roman" w:hAnsi="Times New Roman"/>
                <w:sz w:val="21"/>
                <w:szCs w:val="21"/>
              </w:rPr>
              <w:t xml:space="preserve"> et diminution de la dé</w:t>
            </w:r>
            <w:r w:rsidR="00025158" w:rsidRPr="00760E97">
              <w:rPr>
                <w:rFonts w:ascii="Times New Roman" w:hAnsi="Times New Roman"/>
                <w:sz w:val="21"/>
                <w:szCs w:val="21"/>
              </w:rPr>
              <w:t>gradation de leur cadre de vie grâce à l’augmentation des revenus ;</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Regain de dynamique de l</w:t>
            </w:r>
            <w:r w:rsidR="00A05714" w:rsidRPr="00760E97">
              <w:rPr>
                <w:rFonts w:ascii="Times New Roman" w:hAnsi="Times New Roman"/>
                <w:sz w:val="21"/>
                <w:szCs w:val="21"/>
              </w:rPr>
              <w:t>’</w:t>
            </w:r>
            <w:r w:rsidRPr="00760E97">
              <w:rPr>
                <w:rFonts w:ascii="Times New Roman" w:hAnsi="Times New Roman"/>
                <w:sz w:val="21"/>
                <w:szCs w:val="21"/>
              </w:rPr>
              <w:t>investissement privé : celui-ci s</w:t>
            </w:r>
            <w:r w:rsidR="00A05714" w:rsidRPr="00760E97">
              <w:rPr>
                <w:rFonts w:ascii="Times New Roman" w:hAnsi="Times New Roman"/>
                <w:sz w:val="21"/>
                <w:szCs w:val="21"/>
              </w:rPr>
              <w:t>’</w:t>
            </w:r>
            <w:r w:rsidRPr="00760E97">
              <w:rPr>
                <w:rFonts w:ascii="Times New Roman" w:hAnsi="Times New Roman"/>
                <w:sz w:val="21"/>
                <w:szCs w:val="21"/>
              </w:rPr>
              <w:t>exprime aussi bien au niveau de l</w:t>
            </w:r>
            <w:r w:rsidR="003444C1" w:rsidRPr="00760E97">
              <w:rPr>
                <w:rFonts w:ascii="Times New Roman" w:hAnsi="Times New Roman"/>
                <w:sz w:val="21"/>
                <w:szCs w:val="21"/>
              </w:rPr>
              <w:t>a petite agriculture familiale qu’au niveau individuel ou collectif</w:t>
            </w:r>
            <w:r w:rsidRPr="00760E97">
              <w:rPr>
                <w:rFonts w:ascii="Times New Roman" w:hAnsi="Times New Roman"/>
                <w:sz w:val="21"/>
                <w:szCs w:val="21"/>
              </w:rPr>
              <w:t> ;</w:t>
            </w:r>
          </w:p>
          <w:p w:rsidR="00AA2530" w:rsidRPr="00760E97" w:rsidRDefault="00334E28"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Réorganisation </w:t>
            </w:r>
            <w:r w:rsidR="00D41BF5" w:rsidRPr="00760E97">
              <w:rPr>
                <w:rFonts w:ascii="Times New Roman" w:hAnsi="Times New Roman"/>
                <w:sz w:val="21"/>
                <w:szCs w:val="21"/>
              </w:rPr>
              <w:t xml:space="preserve">et une meilleure gestion du secteur </w:t>
            </w:r>
            <w:r w:rsidR="00FB23AA" w:rsidRPr="00760E97">
              <w:rPr>
                <w:rFonts w:ascii="Times New Roman" w:hAnsi="Times New Roman"/>
                <w:sz w:val="21"/>
                <w:szCs w:val="21"/>
              </w:rPr>
              <w:t xml:space="preserve">de production et de </w:t>
            </w:r>
            <w:r w:rsidR="00E67BDE" w:rsidRPr="00760E97">
              <w:rPr>
                <w:rFonts w:ascii="Times New Roman" w:hAnsi="Times New Roman"/>
                <w:sz w:val="21"/>
                <w:szCs w:val="21"/>
              </w:rPr>
              <w:t>c</w:t>
            </w:r>
            <w:r w:rsidR="00FB23AA" w:rsidRPr="00760E97">
              <w:rPr>
                <w:rFonts w:ascii="Times New Roman" w:hAnsi="Times New Roman"/>
                <w:sz w:val="21"/>
                <w:szCs w:val="21"/>
              </w:rPr>
              <w:t>ommerciali</w:t>
            </w:r>
            <w:r w:rsidR="00E67BDE" w:rsidRPr="00760E97">
              <w:rPr>
                <w:rFonts w:ascii="Times New Roman" w:hAnsi="Times New Roman"/>
                <w:sz w:val="21"/>
                <w:szCs w:val="21"/>
              </w:rPr>
              <w:t xml:space="preserve">sation </w:t>
            </w:r>
            <w:r w:rsidR="002265B4" w:rsidRPr="00760E97">
              <w:rPr>
                <w:rFonts w:ascii="Times New Roman" w:hAnsi="Times New Roman"/>
                <w:sz w:val="21"/>
                <w:szCs w:val="21"/>
              </w:rPr>
              <w:t>des noix de cajou ;</w:t>
            </w:r>
          </w:p>
        </w:tc>
        <w:tc>
          <w:tcPr>
            <w:tcW w:w="4558" w:type="dxa"/>
            <w:vAlign w:val="center"/>
          </w:tcPr>
          <w:p w:rsidR="00BB228E" w:rsidRPr="00760E97" w:rsidRDefault="00210976"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Risque de </w:t>
            </w:r>
            <w:r w:rsidR="00F973A5" w:rsidRPr="00760E97">
              <w:rPr>
                <w:rFonts w:ascii="Times New Roman" w:hAnsi="Times New Roman"/>
                <w:sz w:val="21"/>
                <w:szCs w:val="21"/>
              </w:rPr>
              <w:t>tension social</w:t>
            </w:r>
            <w:r w:rsidR="003444C1" w:rsidRPr="00760E97">
              <w:rPr>
                <w:rFonts w:ascii="Times New Roman" w:hAnsi="Times New Roman"/>
                <w:sz w:val="21"/>
                <w:szCs w:val="21"/>
              </w:rPr>
              <w:t>e</w:t>
            </w:r>
            <w:r w:rsidR="00946716" w:rsidRPr="00760E97">
              <w:rPr>
                <w:rFonts w:ascii="Times New Roman" w:hAnsi="Times New Roman"/>
                <w:sz w:val="21"/>
                <w:szCs w:val="21"/>
              </w:rPr>
              <w:t xml:space="preserve"> par rapport au financement</w:t>
            </w:r>
            <w:r w:rsidR="00BB228E" w:rsidRPr="00760E97">
              <w:rPr>
                <w:rFonts w:ascii="Times New Roman" w:hAnsi="Times New Roman"/>
                <w:sz w:val="21"/>
                <w:szCs w:val="21"/>
              </w:rPr>
              <w:t xml:space="preserve"> </w:t>
            </w:r>
            <w:r w:rsidR="00946716" w:rsidRPr="00760E97">
              <w:rPr>
                <w:rFonts w:ascii="Times New Roman" w:hAnsi="Times New Roman"/>
                <w:sz w:val="21"/>
                <w:szCs w:val="21"/>
              </w:rPr>
              <w:t>dans un seul secteur activité</w:t>
            </w:r>
            <w:r w:rsidR="008F0F67" w:rsidRPr="00760E97">
              <w:rPr>
                <w:rFonts w:ascii="Times New Roman" w:hAnsi="Times New Roman"/>
                <w:sz w:val="21"/>
                <w:szCs w:val="21"/>
              </w:rPr>
              <w:t xml:space="preserve"> d</w:t>
            </w:r>
            <w:r w:rsidR="003444C1" w:rsidRPr="00760E97">
              <w:rPr>
                <w:rFonts w:ascii="Times New Roman" w:hAnsi="Times New Roman"/>
                <w:sz w:val="21"/>
                <w:szCs w:val="21"/>
              </w:rPr>
              <w:t>e</w:t>
            </w:r>
            <w:r w:rsidR="008F0F67" w:rsidRPr="00760E97">
              <w:rPr>
                <w:rFonts w:ascii="Times New Roman" w:hAnsi="Times New Roman"/>
                <w:sz w:val="21"/>
                <w:szCs w:val="21"/>
              </w:rPr>
              <w:t xml:space="preserve"> l’</w:t>
            </w:r>
            <w:r w:rsidR="00D15DFE" w:rsidRPr="00760E97">
              <w:rPr>
                <w:rFonts w:ascii="Times New Roman" w:hAnsi="Times New Roman"/>
                <w:sz w:val="21"/>
                <w:szCs w:val="21"/>
              </w:rPr>
              <w:t>agriculture</w:t>
            </w:r>
            <w:r w:rsidR="00BB228E" w:rsidRPr="00760E97">
              <w:rPr>
                <w:rFonts w:ascii="Times New Roman" w:hAnsi="Times New Roman"/>
                <w:sz w:val="21"/>
                <w:szCs w:val="21"/>
              </w:rPr>
              <w:t xml:space="preserve"> </w:t>
            </w:r>
            <w:r w:rsidR="003444C1" w:rsidRPr="00760E97">
              <w:rPr>
                <w:rFonts w:ascii="Times New Roman" w:hAnsi="Times New Roman"/>
                <w:sz w:val="21"/>
                <w:szCs w:val="21"/>
              </w:rPr>
              <w:t>comparativement</w:t>
            </w:r>
            <w:r w:rsidR="00BB228E" w:rsidRPr="00760E97">
              <w:rPr>
                <w:rFonts w:ascii="Times New Roman" w:hAnsi="Times New Roman"/>
                <w:sz w:val="21"/>
                <w:szCs w:val="21"/>
              </w:rPr>
              <w:t xml:space="preserve"> </w:t>
            </w:r>
            <w:r w:rsidR="002A7294" w:rsidRPr="00760E97">
              <w:rPr>
                <w:rFonts w:ascii="Times New Roman" w:hAnsi="Times New Roman"/>
                <w:sz w:val="21"/>
                <w:szCs w:val="21"/>
              </w:rPr>
              <w:t>aux autres secteurs</w:t>
            </w:r>
            <w:r w:rsidR="004201DC" w:rsidRPr="00760E97">
              <w:rPr>
                <w:rFonts w:ascii="Times New Roman" w:hAnsi="Times New Roman"/>
                <w:sz w:val="21"/>
                <w:szCs w:val="21"/>
              </w:rPr>
              <w:t xml:space="preserve"> </w:t>
            </w:r>
            <w:r w:rsidR="00BB228E" w:rsidRPr="00760E97">
              <w:rPr>
                <w:rFonts w:ascii="Times New Roman" w:hAnsi="Times New Roman"/>
                <w:sz w:val="21"/>
                <w:szCs w:val="21"/>
              </w:rPr>
              <w:t>;</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Risque de perte du couvert végétal entraînant la perte d’habitats fauniques</w:t>
            </w:r>
            <w:r w:rsidR="005A65ED" w:rsidRPr="00760E97">
              <w:rPr>
                <w:rFonts w:ascii="Times New Roman" w:hAnsi="Times New Roman"/>
                <w:sz w:val="21"/>
                <w:szCs w:val="21"/>
              </w:rPr>
              <w:t xml:space="preserve"> due à l’intensification de la culture des noix de cajou</w:t>
            </w:r>
            <w:r w:rsidRPr="00760E97">
              <w:rPr>
                <w:rFonts w:ascii="Times New Roman" w:hAnsi="Times New Roman"/>
                <w:sz w:val="21"/>
                <w:szCs w:val="21"/>
              </w:rPr>
              <w:t> ;</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Modificatio</w:t>
            </w:r>
            <w:r w:rsidR="003B6018" w:rsidRPr="00760E97">
              <w:rPr>
                <w:rFonts w:ascii="Times New Roman" w:hAnsi="Times New Roman"/>
                <w:sz w:val="21"/>
                <w:szCs w:val="21"/>
              </w:rPr>
              <w:t>n du paysage en rapport avec l’augmentation de l’</w:t>
            </w:r>
            <w:r w:rsidR="007353AC" w:rsidRPr="00760E97">
              <w:rPr>
                <w:rFonts w:ascii="Times New Roman" w:hAnsi="Times New Roman"/>
                <w:sz w:val="21"/>
                <w:szCs w:val="21"/>
              </w:rPr>
              <w:t>anacardier au dét</w:t>
            </w:r>
            <w:r w:rsidR="003444C1" w:rsidRPr="00760E97">
              <w:rPr>
                <w:rFonts w:ascii="Times New Roman" w:hAnsi="Times New Roman"/>
                <w:sz w:val="21"/>
                <w:szCs w:val="21"/>
              </w:rPr>
              <w:t>riment des autres espèces locales</w:t>
            </w:r>
            <w:r w:rsidR="003B6018" w:rsidRPr="00760E97">
              <w:rPr>
                <w:rFonts w:ascii="Times New Roman" w:hAnsi="Times New Roman"/>
                <w:sz w:val="21"/>
                <w:szCs w:val="21"/>
              </w:rPr>
              <w:t xml:space="preserve"> </w:t>
            </w:r>
            <w:r w:rsidRPr="00760E97">
              <w:rPr>
                <w:rFonts w:ascii="Times New Roman" w:hAnsi="Times New Roman"/>
                <w:sz w:val="21"/>
                <w:szCs w:val="21"/>
              </w:rPr>
              <w:t>;</w:t>
            </w:r>
          </w:p>
          <w:p w:rsidR="00BB228E" w:rsidRPr="00760E97"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Risque de conflits qui peuvent naître de la concurrence pour l’accès à l’appui du projet aux activités génératrices de revenus ou à l’accès à la terre etc.</w:t>
            </w:r>
          </w:p>
          <w:p w:rsidR="005016E7" w:rsidRPr="00760E97" w:rsidRDefault="005016E7"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Risque de déstructu</w:t>
            </w:r>
            <w:r w:rsidR="00CC3A44" w:rsidRPr="00760E97">
              <w:rPr>
                <w:rFonts w:ascii="Times New Roman" w:hAnsi="Times New Roman"/>
                <w:sz w:val="21"/>
                <w:szCs w:val="21"/>
              </w:rPr>
              <w:t xml:space="preserve">ration du secteur de l’agriculture dans le pays </w:t>
            </w:r>
            <w:r w:rsidRPr="00760E97">
              <w:rPr>
                <w:rFonts w:ascii="Times New Roman" w:hAnsi="Times New Roman"/>
                <w:sz w:val="21"/>
                <w:szCs w:val="21"/>
              </w:rPr>
              <w:t>;</w:t>
            </w:r>
          </w:p>
          <w:p w:rsidR="005016E7" w:rsidRPr="00760E97" w:rsidRDefault="005016E7"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Les risques </w:t>
            </w:r>
            <w:r w:rsidR="00CC3A44" w:rsidRPr="00760E97">
              <w:rPr>
                <w:rFonts w:ascii="Times New Roman" w:hAnsi="Times New Roman"/>
                <w:sz w:val="21"/>
                <w:szCs w:val="21"/>
              </w:rPr>
              <w:t>d’inondation</w:t>
            </w:r>
            <w:r w:rsidR="00BE1F9E" w:rsidRPr="00760E97">
              <w:rPr>
                <w:rFonts w:ascii="Times New Roman" w:hAnsi="Times New Roman"/>
                <w:sz w:val="21"/>
                <w:szCs w:val="21"/>
              </w:rPr>
              <w:t xml:space="preserve"> du marché </w:t>
            </w:r>
            <w:r w:rsidR="00380D90" w:rsidRPr="00760E97">
              <w:rPr>
                <w:rFonts w:ascii="Times New Roman" w:hAnsi="Times New Roman"/>
                <w:sz w:val="21"/>
                <w:szCs w:val="21"/>
              </w:rPr>
              <w:t xml:space="preserve">de </w:t>
            </w:r>
            <w:r w:rsidR="00352C07" w:rsidRPr="00760E97">
              <w:rPr>
                <w:rFonts w:ascii="Times New Roman" w:hAnsi="Times New Roman"/>
                <w:sz w:val="21"/>
                <w:szCs w:val="21"/>
              </w:rPr>
              <w:t>noix de cajou due l’augmentation des producteurs</w:t>
            </w:r>
            <w:r w:rsidRPr="00760E97">
              <w:rPr>
                <w:rFonts w:ascii="Times New Roman" w:hAnsi="Times New Roman"/>
                <w:sz w:val="21"/>
                <w:szCs w:val="21"/>
              </w:rPr>
              <w:t xml:space="preserve"> ;</w:t>
            </w:r>
          </w:p>
          <w:p w:rsidR="005016E7" w:rsidRPr="00760E97" w:rsidRDefault="00261720"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Risque de baisse </w:t>
            </w:r>
            <w:r w:rsidR="008F0BEC" w:rsidRPr="00760E97">
              <w:rPr>
                <w:rFonts w:ascii="Times New Roman" w:hAnsi="Times New Roman"/>
                <w:sz w:val="21"/>
                <w:szCs w:val="21"/>
              </w:rPr>
              <w:t xml:space="preserve">du prix de kilogramme de noix de cajou dans les marchés </w:t>
            </w:r>
            <w:r w:rsidR="00CB28C4" w:rsidRPr="00760E97">
              <w:rPr>
                <w:rFonts w:ascii="Times New Roman" w:hAnsi="Times New Roman"/>
                <w:sz w:val="21"/>
                <w:szCs w:val="21"/>
              </w:rPr>
              <w:t>locau</w:t>
            </w:r>
            <w:r w:rsidR="00BB2870" w:rsidRPr="00760E97">
              <w:rPr>
                <w:rFonts w:ascii="Times New Roman" w:hAnsi="Times New Roman"/>
                <w:sz w:val="21"/>
                <w:szCs w:val="21"/>
              </w:rPr>
              <w:t>x ;</w:t>
            </w:r>
          </w:p>
          <w:p w:rsidR="003E0883" w:rsidRPr="00760E97" w:rsidRDefault="003E0883" w:rsidP="003444C1">
            <w:pPr>
              <w:pStyle w:val="PargrafodaLista"/>
              <w:spacing w:line="240" w:lineRule="auto"/>
              <w:ind w:left="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p w:rsidR="00BB2870" w:rsidRPr="00760E97" w:rsidRDefault="00BB2870" w:rsidP="004D1BD0">
            <w:pPr>
              <w:pStyle w:val="PargrafodaLista"/>
              <w:spacing w:line="240" w:lineRule="auto"/>
              <w:ind w:left="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p w:rsidR="00BB228E" w:rsidRPr="00760E97" w:rsidRDefault="00BB228E" w:rsidP="004D1BD0">
            <w:pPr>
              <w:pStyle w:val="PargrafodaLista"/>
              <w:spacing w:line="240" w:lineRule="auto"/>
              <w:ind w:left="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tc>
      </w:tr>
    </w:tbl>
    <w:p w:rsidR="00BB228E" w:rsidRPr="004D1BD0" w:rsidRDefault="00BB228E" w:rsidP="00157035">
      <w:pPr>
        <w:pStyle w:val="PargrafodaLista"/>
        <w:numPr>
          <w:ilvl w:val="0"/>
          <w:numId w:val="104"/>
        </w:numPr>
        <w:rPr>
          <w:rFonts w:ascii="Times New Roman" w:hAnsi="Times New Roman"/>
          <w:b/>
          <w:sz w:val="24"/>
          <w:szCs w:val="24"/>
        </w:rPr>
      </w:pPr>
      <w:r w:rsidRPr="004D1BD0">
        <w:rPr>
          <w:rFonts w:ascii="Times New Roman" w:hAnsi="Times New Roman"/>
          <w:b/>
          <w:sz w:val="24"/>
          <w:szCs w:val="24"/>
          <w:u w:val="single"/>
        </w:rPr>
        <w:t>Option 2.d</w:t>
      </w:r>
      <w:r w:rsidRPr="004D1BD0">
        <w:rPr>
          <w:rFonts w:ascii="Times New Roman" w:hAnsi="Times New Roman"/>
          <w:sz w:val="24"/>
          <w:szCs w:val="24"/>
        </w:rPr>
        <w:t xml:space="preserve"> : </w:t>
      </w:r>
      <w:r w:rsidRPr="004D1BD0">
        <w:rPr>
          <w:rFonts w:ascii="Times New Roman" w:hAnsi="Times New Roman"/>
          <w:b/>
          <w:sz w:val="24"/>
          <w:szCs w:val="24"/>
        </w:rPr>
        <w:t>Inter</w:t>
      </w:r>
      <w:r w:rsidR="00130B46" w:rsidRPr="004D1BD0">
        <w:rPr>
          <w:rFonts w:ascii="Times New Roman" w:hAnsi="Times New Roman"/>
          <w:b/>
          <w:sz w:val="24"/>
          <w:szCs w:val="24"/>
        </w:rPr>
        <w:t>vention du projet dans les</w:t>
      </w:r>
      <w:r w:rsidRPr="004D1BD0">
        <w:rPr>
          <w:rFonts w:ascii="Times New Roman" w:hAnsi="Times New Roman"/>
          <w:b/>
          <w:sz w:val="24"/>
          <w:szCs w:val="24"/>
        </w:rPr>
        <w:t xml:space="preserve"> domaines (</w:t>
      </w:r>
      <w:r w:rsidR="00F31BFD" w:rsidRPr="004D1BD0">
        <w:rPr>
          <w:rFonts w:ascii="Times New Roman" w:hAnsi="Times New Roman"/>
          <w:b/>
          <w:sz w:val="24"/>
          <w:szCs w:val="24"/>
        </w:rPr>
        <w:t>secteur de la noix de cajou et des cultures vivrière)</w:t>
      </w:r>
    </w:p>
    <w:tbl>
      <w:tblPr>
        <w:tblStyle w:val="TableauGrille4-Accentuation11"/>
        <w:tblW w:w="10206" w:type="dxa"/>
        <w:tblLook w:val="04A0" w:firstRow="1" w:lastRow="0" w:firstColumn="1" w:lastColumn="0" w:noHBand="0" w:noVBand="1"/>
      </w:tblPr>
      <w:tblGrid>
        <w:gridCol w:w="1838"/>
        <w:gridCol w:w="4264"/>
        <w:gridCol w:w="4104"/>
      </w:tblGrid>
      <w:tr w:rsidR="002B6160" w:rsidRPr="00760E97" w:rsidTr="007F2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B228E" w:rsidRPr="00760E97" w:rsidRDefault="00BB228E" w:rsidP="004F4212">
            <w:pPr>
              <w:contextualSpacing/>
              <w:jc w:val="center"/>
              <w:rPr>
                <w:i/>
                <w:sz w:val="21"/>
                <w:szCs w:val="21"/>
              </w:rPr>
            </w:pPr>
            <w:r w:rsidRPr="00760E97">
              <w:rPr>
                <w:i/>
                <w:sz w:val="21"/>
                <w:szCs w:val="21"/>
              </w:rPr>
              <w:t>Option</w:t>
            </w:r>
          </w:p>
        </w:tc>
        <w:tc>
          <w:tcPr>
            <w:tcW w:w="4264" w:type="dxa"/>
          </w:tcPr>
          <w:p w:rsidR="00BB228E" w:rsidRPr="00760E97" w:rsidRDefault="00BB228E" w:rsidP="004F4212">
            <w:pPr>
              <w:contextualSpacing/>
              <w:jc w:val="center"/>
              <w:cnfStyle w:val="100000000000" w:firstRow="1" w:lastRow="0" w:firstColumn="0" w:lastColumn="0" w:oddVBand="0" w:evenVBand="0" w:oddHBand="0" w:evenHBand="0" w:firstRowFirstColumn="0" w:firstRowLastColumn="0" w:lastRowFirstColumn="0" w:lastRowLastColumn="0"/>
              <w:rPr>
                <w:i/>
                <w:sz w:val="21"/>
                <w:szCs w:val="21"/>
              </w:rPr>
            </w:pPr>
            <w:r w:rsidRPr="00760E97">
              <w:rPr>
                <w:i/>
                <w:sz w:val="21"/>
                <w:szCs w:val="21"/>
              </w:rPr>
              <w:t>Effets positifs</w:t>
            </w:r>
          </w:p>
        </w:tc>
        <w:tc>
          <w:tcPr>
            <w:tcW w:w="4104" w:type="dxa"/>
          </w:tcPr>
          <w:p w:rsidR="00BB228E" w:rsidRPr="00760E97" w:rsidRDefault="00BB228E" w:rsidP="004F4212">
            <w:pPr>
              <w:contextualSpacing/>
              <w:jc w:val="center"/>
              <w:cnfStyle w:val="100000000000" w:firstRow="1" w:lastRow="0" w:firstColumn="0" w:lastColumn="0" w:oddVBand="0" w:evenVBand="0" w:oddHBand="0" w:evenHBand="0" w:firstRowFirstColumn="0" w:firstRowLastColumn="0" w:lastRowFirstColumn="0" w:lastRowLastColumn="0"/>
              <w:rPr>
                <w:i/>
                <w:sz w:val="21"/>
                <w:szCs w:val="21"/>
              </w:rPr>
            </w:pPr>
            <w:r w:rsidRPr="00760E97">
              <w:rPr>
                <w:i/>
                <w:sz w:val="21"/>
                <w:szCs w:val="21"/>
              </w:rPr>
              <w:t>Effets négatifs</w:t>
            </w:r>
          </w:p>
        </w:tc>
      </w:tr>
      <w:tr w:rsidR="002B6160" w:rsidRPr="00760E97" w:rsidTr="00760E97">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rsidR="00BB228E" w:rsidRPr="00760E97" w:rsidRDefault="00B16AC0" w:rsidP="00DC5DE6">
            <w:pPr>
              <w:contextualSpacing/>
              <w:rPr>
                <w:i/>
                <w:sz w:val="21"/>
                <w:szCs w:val="21"/>
              </w:rPr>
            </w:pPr>
            <w:r w:rsidRPr="00760E97">
              <w:rPr>
                <w:i/>
                <w:sz w:val="21"/>
                <w:szCs w:val="21"/>
              </w:rPr>
              <w:t>Intervention du projet dans les domaines (secteur de la noix de cajou et des cultures vivrière)</w:t>
            </w:r>
          </w:p>
          <w:p w:rsidR="00BB228E" w:rsidRPr="00760E97" w:rsidRDefault="00BB228E" w:rsidP="00DC5DE6">
            <w:pPr>
              <w:contextualSpacing/>
              <w:rPr>
                <w:b w:val="0"/>
                <w:i/>
                <w:sz w:val="21"/>
                <w:szCs w:val="21"/>
              </w:rPr>
            </w:pPr>
          </w:p>
        </w:tc>
        <w:tc>
          <w:tcPr>
            <w:tcW w:w="4264" w:type="dxa"/>
            <w:shd w:val="clear" w:color="auto" w:fill="FFFFFF" w:themeFill="background1"/>
            <w:vAlign w:val="center"/>
          </w:tcPr>
          <w:p w:rsidR="003302B1" w:rsidRPr="00760E97" w:rsidRDefault="003302B1"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Une meilleure possibilité </w:t>
            </w:r>
            <w:r w:rsidR="00585481" w:rsidRPr="00760E97">
              <w:rPr>
                <w:rFonts w:ascii="Times New Roman" w:hAnsi="Times New Roman"/>
                <w:sz w:val="21"/>
                <w:szCs w:val="21"/>
              </w:rPr>
              <w:t>et d’</w:t>
            </w:r>
            <w:r w:rsidR="00C728AF" w:rsidRPr="00760E97">
              <w:rPr>
                <w:rFonts w:ascii="Times New Roman" w:hAnsi="Times New Roman"/>
                <w:sz w:val="21"/>
                <w:szCs w:val="21"/>
              </w:rPr>
              <w:t xml:space="preserve">opportunité </w:t>
            </w:r>
            <w:r w:rsidRPr="00760E97">
              <w:rPr>
                <w:rFonts w:ascii="Times New Roman" w:hAnsi="Times New Roman"/>
                <w:sz w:val="21"/>
                <w:szCs w:val="21"/>
              </w:rPr>
              <w:t>d’</w:t>
            </w:r>
            <w:r w:rsidR="005D6D22" w:rsidRPr="00760E97">
              <w:rPr>
                <w:rFonts w:ascii="Times New Roman" w:hAnsi="Times New Roman"/>
                <w:sz w:val="21"/>
                <w:szCs w:val="21"/>
              </w:rPr>
              <w:t>éteindre</w:t>
            </w:r>
            <w:r w:rsidRPr="00760E97">
              <w:rPr>
                <w:rFonts w:ascii="Times New Roman" w:hAnsi="Times New Roman"/>
                <w:sz w:val="21"/>
                <w:szCs w:val="21"/>
              </w:rPr>
              <w:t xml:space="preserve"> la </w:t>
            </w:r>
            <w:r w:rsidR="005D6D22" w:rsidRPr="00760E97">
              <w:rPr>
                <w:rFonts w:ascii="Times New Roman" w:hAnsi="Times New Roman"/>
                <w:sz w:val="21"/>
                <w:szCs w:val="21"/>
              </w:rPr>
              <w:t>sécurité</w:t>
            </w:r>
            <w:r w:rsidRPr="00760E97">
              <w:rPr>
                <w:rFonts w:ascii="Times New Roman" w:hAnsi="Times New Roman"/>
                <w:sz w:val="21"/>
                <w:szCs w:val="21"/>
              </w:rPr>
              <w:t xml:space="preserve"> aliment</w:t>
            </w:r>
            <w:r w:rsidR="00C728AF" w:rsidRPr="00760E97">
              <w:rPr>
                <w:rFonts w:ascii="Times New Roman" w:hAnsi="Times New Roman"/>
                <w:sz w:val="21"/>
                <w:szCs w:val="21"/>
              </w:rPr>
              <w:t>aire dans le pays ;</w:t>
            </w:r>
          </w:p>
          <w:p w:rsidR="00BB228E" w:rsidRPr="00760E97" w:rsidRDefault="00C728AF"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Amélioration </w:t>
            </w:r>
            <w:r w:rsidR="00777ED1" w:rsidRPr="00760E97">
              <w:rPr>
                <w:rFonts w:ascii="Times New Roman" w:hAnsi="Times New Roman"/>
                <w:sz w:val="21"/>
                <w:szCs w:val="21"/>
              </w:rPr>
              <w:t>des infrastructures</w:t>
            </w:r>
            <w:r w:rsidR="00BB228E" w:rsidRPr="00760E97">
              <w:rPr>
                <w:rFonts w:ascii="Times New Roman" w:hAnsi="Times New Roman"/>
                <w:sz w:val="21"/>
                <w:szCs w:val="21"/>
              </w:rPr>
              <w:t xml:space="preserve"> de soutien aux productions </w:t>
            </w:r>
            <w:r w:rsidR="008A6FD8" w:rsidRPr="00760E97">
              <w:rPr>
                <w:rFonts w:ascii="Times New Roman" w:hAnsi="Times New Roman"/>
                <w:sz w:val="21"/>
                <w:szCs w:val="21"/>
              </w:rPr>
              <w:t xml:space="preserve">des </w:t>
            </w:r>
            <w:r w:rsidR="00AE09E2" w:rsidRPr="00760E97">
              <w:rPr>
                <w:rFonts w:ascii="Times New Roman" w:hAnsi="Times New Roman"/>
                <w:sz w:val="21"/>
                <w:szCs w:val="21"/>
              </w:rPr>
              <w:t xml:space="preserve">noix de cajou et des </w:t>
            </w:r>
            <w:r w:rsidR="00BC5879" w:rsidRPr="00760E97">
              <w:rPr>
                <w:rFonts w:ascii="Times New Roman" w:hAnsi="Times New Roman"/>
                <w:sz w:val="21"/>
                <w:szCs w:val="21"/>
              </w:rPr>
              <w:t xml:space="preserve">cultures </w:t>
            </w:r>
            <w:r w:rsidR="0034097F" w:rsidRPr="00760E97">
              <w:rPr>
                <w:rFonts w:ascii="Times New Roman" w:hAnsi="Times New Roman"/>
                <w:sz w:val="21"/>
                <w:szCs w:val="21"/>
              </w:rPr>
              <w:t xml:space="preserve">céréalière qui </w:t>
            </w:r>
            <w:r w:rsidR="00BC5879" w:rsidRPr="00760E97">
              <w:rPr>
                <w:rFonts w:ascii="Times New Roman" w:hAnsi="Times New Roman"/>
                <w:sz w:val="21"/>
                <w:szCs w:val="21"/>
              </w:rPr>
              <w:t>s</w:t>
            </w:r>
            <w:r w:rsidR="0034097F" w:rsidRPr="00760E97">
              <w:rPr>
                <w:rFonts w:ascii="Times New Roman" w:hAnsi="Times New Roman"/>
                <w:sz w:val="21"/>
                <w:szCs w:val="21"/>
              </w:rPr>
              <w:t>er</w:t>
            </w:r>
            <w:r w:rsidR="00BC5879" w:rsidRPr="00760E97">
              <w:rPr>
                <w:rFonts w:ascii="Times New Roman" w:hAnsi="Times New Roman"/>
                <w:sz w:val="21"/>
                <w:szCs w:val="21"/>
              </w:rPr>
              <w:t>ont</w:t>
            </w:r>
            <w:r w:rsidR="00BB228E" w:rsidRPr="00760E97">
              <w:rPr>
                <w:rFonts w:ascii="Times New Roman" w:hAnsi="Times New Roman"/>
                <w:sz w:val="21"/>
                <w:szCs w:val="21"/>
              </w:rPr>
              <w:t xml:space="preserve"> mises à la disposition des populations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Augmentation de la biodiversité ;</w:t>
            </w:r>
          </w:p>
          <w:p w:rsidR="00BB228E" w:rsidRPr="00760E97" w:rsidRDefault="00681BD5"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La revalorisation</w:t>
            </w:r>
            <w:r w:rsidR="00572EBC" w:rsidRPr="00760E97">
              <w:rPr>
                <w:rFonts w:ascii="Times New Roman" w:hAnsi="Times New Roman"/>
                <w:sz w:val="21"/>
                <w:szCs w:val="21"/>
              </w:rPr>
              <w:t xml:space="preserve"> des</w:t>
            </w:r>
            <w:r w:rsidR="00BB228E" w:rsidRPr="00760E97">
              <w:rPr>
                <w:rFonts w:ascii="Times New Roman" w:hAnsi="Times New Roman"/>
                <w:sz w:val="21"/>
                <w:szCs w:val="21"/>
              </w:rPr>
              <w:t xml:space="preserve"> terres et </w:t>
            </w:r>
            <w:r w:rsidR="00572EBC" w:rsidRPr="00760E97">
              <w:rPr>
                <w:rFonts w:ascii="Times New Roman" w:hAnsi="Times New Roman"/>
                <w:sz w:val="21"/>
                <w:szCs w:val="21"/>
              </w:rPr>
              <w:t xml:space="preserve">la </w:t>
            </w:r>
            <w:r w:rsidR="00BB228E" w:rsidRPr="00760E97">
              <w:rPr>
                <w:rFonts w:ascii="Times New Roman" w:hAnsi="Times New Roman"/>
                <w:sz w:val="21"/>
                <w:szCs w:val="21"/>
              </w:rPr>
              <w:t>particip</w:t>
            </w:r>
            <w:r w:rsidR="00572EBC" w:rsidRPr="00760E97">
              <w:rPr>
                <w:rFonts w:ascii="Times New Roman" w:hAnsi="Times New Roman"/>
                <w:sz w:val="21"/>
                <w:szCs w:val="21"/>
              </w:rPr>
              <w:t xml:space="preserve">ation </w:t>
            </w:r>
            <w:r w:rsidR="00BB228E" w:rsidRPr="00760E97">
              <w:rPr>
                <w:rFonts w:ascii="Times New Roman" w:hAnsi="Times New Roman"/>
                <w:sz w:val="21"/>
                <w:szCs w:val="21"/>
              </w:rPr>
              <w:t>à la protection de l’environnement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Amélioration et augmentation des riche</w:t>
            </w:r>
            <w:r w:rsidR="00C8208D" w:rsidRPr="00760E97">
              <w:rPr>
                <w:rFonts w:ascii="Times New Roman" w:hAnsi="Times New Roman"/>
                <w:sz w:val="21"/>
                <w:szCs w:val="21"/>
              </w:rPr>
              <w:t>s</w:t>
            </w:r>
            <w:r w:rsidRPr="00760E97">
              <w:rPr>
                <w:rFonts w:ascii="Times New Roman" w:hAnsi="Times New Roman"/>
                <w:sz w:val="21"/>
                <w:szCs w:val="21"/>
              </w:rPr>
              <w:t>s</w:t>
            </w:r>
            <w:r w:rsidR="00C8208D" w:rsidRPr="00760E97">
              <w:rPr>
                <w:rFonts w:ascii="Times New Roman" w:hAnsi="Times New Roman"/>
                <w:sz w:val="21"/>
                <w:szCs w:val="21"/>
              </w:rPr>
              <w:t xml:space="preserve">es dans les </w:t>
            </w:r>
            <w:r w:rsidRPr="00760E97">
              <w:rPr>
                <w:rFonts w:ascii="Times New Roman" w:hAnsi="Times New Roman"/>
                <w:sz w:val="21"/>
                <w:szCs w:val="21"/>
              </w:rPr>
              <w:t>différentes communes concernées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Le désenclavement de certains</w:t>
            </w:r>
            <w:r w:rsidR="000D5D13" w:rsidRPr="00760E97">
              <w:rPr>
                <w:rFonts w:ascii="Times New Roman" w:hAnsi="Times New Roman"/>
                <w:sz w:val="21"/>
                <w:szCs w:val="21"/>
              </w:rPr>
              <w:t xml:space="preserve"> </w:t>
            </w:r>
            <w:r w:rsidRPr="00760E97">
              <w:rPr>
                <w:rFonts w:ascii="Times New Roman" w:hAnsi="Times New Roman"/>
                <w:sz w:val="21"/>
                <w:szCs w:val="21"/>
              </w:rPr>
              <w:t>villages</w:t>
            </w:r>
            <w:r w:rsidR="000D5D13" w:rsidRPr="00760E97">
              <w:rPr>
                <w:rFonts w:ascii="Times New Roman" w:hAnsi="Times New Roman"/>
                <w:sz w:val="21"/>
                <w:szCs w:val="21"/>
              </w:rPr>
              <w:t xml:space="preserve"> avec la réalisation des voies d’accès ;</w:t>
            </w:r>
            <w:r w:rsidRPr="00760E97">
              <w:rPr>
                <w:rFonts w:ascii="Times New Roman" w:hAnsi="Times New Roman"/>
                <w:sz w:val="21"/>
                <w:szCs w:val="21"/>
              </w:rPr>
              <w:t xml:space="preserve"> </w:t>
            </w:r>
          </w:p>
          <w:p w:rsidR="00BB228E" w:rsidRPr="00760E97" w:rsidRDefault="00CD0375"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Développement des cultures céréalières</w:t>
            </w:r>
            <w:r w:rsidR="00F05947" w:rsidRPr="00760E97">
              <w:rPr>
                <w:rFonts w:ascii="Times New Roman" w:hAnsi="Times New Roman"/>
                <w:sz w:val="21"/>
                <w:szCs w:val="21"/>
              </w:rPr>
              <w:t xml:space="preserve"> et </w:t>
            </w:r>
            <w:r w:rsidR="009754B4" w:rsidRPr="00760E97">
              <w:rPr>
                <w:rFonts w:ascii="Times New Roman" w:hAnsi="Times New Roman"/>
                <w:sz w:val="21"/>
                <w:szCs w:val="21"/>
              </w:rPr>
              <w:t>l’anacardier prolongera</w:t>
            </w:r>
            <w:r w:rsidR="008937D1" w:rsidRPr="00760E97">
              <w:rPr>
                <w:rFonts w:ascii="Times New Roman" w:hAnsi="Times New Roman"/>
                <w:sz w:val="21"/>
                <w:szCs w:val="21"/>
              </w:rPr>
              <w:t xml:space="preserve"> </w:t>
            </w:r>
            <w:r w:rsidR="00BB228E" w:rsidRPr="00760E97">
              <w:rPr>
                <w:rFonts w:ascii="Times New Roman" w:hAnsi="Times New Roman"/>
                <w:sz w:val="21"/>
                <w:szCs w:val="21"/>
              </w:rPr>
              <w:t>ainsi la période d’activité</w:t>
            </w:r>
            <w:r w:rsidR="00273575" w:rsidRPr="00760E97">
              <w:rPr>
                <w:rFonts w:ascii="Times New Roman" w:hAnsi="Times New Roman"/>
                <w:sz w:val="21"/>
                <w:szCs w:val="21"/>
              </w:rPr>
              <w:t>s</w:t>
            </w:r>
            <w:r w:rsidR="00BB228E" w:rsidRPr="00760E97">
              <w:rPr>
                <w:rFonts w:ascii="Times New Roman" w:hAnsi="Times New Roman"/>
                <w:sz w:val="21"/>
                <w:szCs w:val="21"/>
              </w:rPr>
              <w:t xml:space="preserve"> des populations</w:t>
            </w:r>
            <w:r w:rsidR="008937D1" w:rsidRPr="00760E97">
              <w:rPr>
                <w:rFonts w:ascii="Times New Roman" w:hAnsi="Times New Roman"/>
                <w:sz w:val="21"/>
                <w:szCs w:val="21"/>
              </w:rPr>
              <w:t xml:space="preserve"> (des agriculteurs)</w:t>
            </w:r>
            <w:r w:rsidR="00BB228E" w:rsidRPr="00760E97">
              <w:rPr>
                <w:rFonts w:ascii="Times New Roman" w:hAnsi="Times New Roman"/>
                <w:sz w:val="21"/>
                <w:szCs w:val="21"/>
              </w:rPr>
              <w:t xml:space="preserve"> en augmentant l’intensité culturale ;</w:t>
            </w:r>
          </w:p>
          <w:p w:rsidR="00BB228E" w:rsidRPr="00760E97" w:rsidRDefault="00822AB9"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Augmentation de la</w:t>
            </w:r>
            <w:r w:rsidR="00BB228E" w:rsidRPr="00760E97">
              <w:rPr>
                <w:rFonts w:ascii="Times New Roman" w:hAnsi="Times New Roman"/>
                <w:sz w:val="21"/>
                <w:szCs w:val="21"/>
              </w:rPr>
              <w:t xml:space="preserve"> stabilité sociale de la population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Formation et e</w:t>
            </w:r>
            <w:r w:rsidR="00273575" w:rsidRPr="00760E97">
              <w:rPr>
                <w:rFonts w:ascii="Times New Roman" w:hAnsi="Times New Roman"/>
                <w:sz w:val="21"/>
                <w:szCs w:val="21"/>
              </w:rPr>
              <w:t xml:space="preserve">ncadrement des acteurs dans </w:t>
            </w:r>
            <w:r w:rsidRPr="00760E97">
              <w:rPr>
                <w:rFonts w:ascii="Times New Roman" w:hAnsi="Times New Roman"/>
                <w:sz w:val="21"/>
                <w:szCs w:val="21"/>
              </w:rPr>
              <w:t xml:space="preserve">tous les </w:t>
            </w:r>
            <w:r w:rsidR="00210A56" w:rsidRPr="00760E97">
              <w:rPr>
                <w:rFonts w:ascii="Times New Roman" w:hAnsi="Times New Roman"/>
                <w:sz w:val="21"/>
                <w:szCs w:val="21"/>
              </w:rPr>
              <w:t xml:space="preserve">domaines </w:t>
            </w:r>
            <w:r w:rsidRPr="00760E97">
              <w:rPr>
                <w:rFonts w:ascii="Times New Roman" w:hAnsi="Times New Roman"/>
                <w:sz w:val="21"/>
                <w:szCs w:val="21"/>
              </w:rPr>
              <w:t>activité</w:t>
            </w:r>
            <w:r w:rsidR="00210A56" w:rsidRPr="00760E97">
              <w:rPr>
                <w:rFonts w:ascii="Times New Roman" w:hAnsi="Times New Roman"/>
                <w:sz w:val="21"/>
                <w:szCs w:val="21"/>
              </w:rPr>
              <w:t>s qui seront mise</w:t>
            </w:r>
            <w:r w:rsidR="00273575" w:rsidRPr="00760E97">
              <w:rPr>
                <w:rFonts w:ascii="Times New Roman" w:hAnsi="Times New Roman"/>
                <w:sz w:val="21"/>
                <w:szCs w:val="21"/>
              </w:rPr>
              <w:t>s</w:t>
            </w:r>
            <w:r w:rsidR="00210A56" w:rsidRPr="00760E97">
              <w:rPr>
                <w:rFonts w:ascii="Times New Roman" w:hAnsi="Times New Roman"/>
                <w:sz w:val="21"/>
                <w:szCs w:val="21"/>
              </w:rPr>
              <w:t xml:space="preserve"> en œuvre par le projet</w:t>
            </w:r>
            <w:r w:rsidRPr="00760E97">
              <w:rPr>
                <w:rFonts w:ascii="Times New Roman" w:hAnsi="Times New Roman"/>
                <w:sz w:val="21"/>
                <w:szCs w:val="21"/>
              </w:rPr>
              <w:t>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Préservation des terres cultivables </w:t>
            </w:r>
            <w:r w:rsidR="00681BD5" w:rsidRPr="00760E97">
              <w:rPr>
                <w:rFonts w:ascii="Times New Roman" w:hAnsi="Times New Roman"/>
                <w:sz w:val="21"/>
                <w:szCs w:val="21"/>
              </w:rPr>
              <w:t>et sécurisation</w:t>
            </w:r>
            <w:r w:rsidRPr="00760E97">
              <w:rPr>
                <w:rFonts w:ascii="Times New Roman" w:hAnsi="Times New Roman"/>
                <w:sz w:val="21"/>
                <w:szCs w:val="21"/>
              </w:rPr>
              <w:t xml:space="preserve"> des productions futures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Diminution des conflits entre les agriculteurs et les éleveurs avec la réalisation des ouvrages appropriés mais aussi l’aménagement des parcours des bétails</w:t>
            </w:r>
            <w:r w:rsidR="00713399" w:rsidRPr="00760E97">
              <w:rPr>
                <w:rFonts w:ascii="Times New Roman" w:hAnsi="Times New Roman"/>
                <w:sz w:val="21"/>
                <w:szCs w:val="21"/>
              </w:rPr>
              <w:t xml:space="preserve"> </w:t>
            </w:r>
            <w:r w:rsidRPr="00760E97">
              <w:rPr>
                <w:rFonts w:ascii="Times New Roman" w:hAnsi="Times New Roman"/>
                <w:sz w:val="21"/>
                <w:szCs w:val="21"/>
              </w:rPr>
              <w:t>etc.</w:t>
            </w:r>
          </w:p>
          <w:p w:rsidR="00BB228E" w:rsidRPr="00760E97" w:rsidRDefault="00681BD5"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Diminution de</w:t>
            </w:r>
            <w:r w:rsidR="00BB228E" w:rsidRPr="00760E97">
              <w:rPr>
                <w:rFonts w:ascii="Times New Roman" w:hAnsi="Times New Roman"/>
                <w:sz w:val="21"/>
                <w:szCs w:val="21"/>
              </w:rPr>
              <w:t xml:space="preserve"> la pauvreté dans la zone et diminution de la dégradation de leur cadre de vie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Regain de dynamique de l</w:t>
            </w:r>
            <w:r w:rsidR="00A05714" w:rsidRPr="00760E97">
              <w:rPr>
                <w:rFonts w:ascii="Times New Roman" w:hAnsi="Times New Roman"/>
                <w:sz w:val="21"/>
                <w:szCs w:val="21"/>
              </w:rPr>
              <w:t>’</w:t>
            </w:r>
            <w:r w:rsidRPr="00760E97">
              <w:rPr>
                <w:rFonts w:ascii="Times New Roman" w:hAnsi="Times New Roman"/>
                <w:sz w:val="21"/>
                <w:szCs w:val="21"/>
              </w:rPr>
              <w:t>investissement privé : celui-ci s</w:t>
            </w:r>
            <w:r w:rsidR="00A05714" w:rsidRPr="00760E97">
              <w:rPr>
                <w:rFonts w:ascii="Times New Roman" w:hAnsi="Times New Roman"/>
                <w:sz w:val="21"/>
                <w:szCs w:val="21"/>
              </w:rPr>
              <w:t>’</w:t>
            </w:r>
            <w:r w:rsidRPr="00760E97">
              <w:rPr>
                <w:rFonts w:ascii="Times New Roman" w:hAnsi="Times New Roman"/>
                <w:sz w:val="21"/>
                <w:szCs w:val="21"/>
              </w:rPr>
              <w:t>exprime aussi bien au niveau de la petite agriculture familiale, sur une base individuelle ou collective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Création d’opportunités d’emplois pour les jeunes dans locaux.</w:t>
            </w:r>
          </w:p>
        </w:tc>
        <w:tc>
          <w:tcPr>
            <w:tcW w:w="4104" w:type="dxa"/>
            <w:shd w:val="clear" w:color="auto" w:fill="FFFFFF" w:themeFill="background1"/>
            <w:vAlign w:val="center"/>
          </w:tcPr>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Les activités de construction des ouvrages peuvent engendrés des impacts négatifs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Temps de réalisation des ouvrages </w:t>
            </w:r>
            <w:r w:rsidR="008529F7" w:rsidRPr="00760E97">
              <w:rPr>
                <w:rFonts w:ascii="Times New Roman" w:hAnsi="Times New Roman"/>
                <w:sz w:val="21"/>
                <w:szCs w:val="21"/>
              </w:rPr>
              <w:t>(voies d’accès, marché</w:t>
            </w:r>
            <w:r w:rsidR="006B5837" w:rsidRPr="00760E97">
              <w:rPr>
                <w:rFonts w:ascii="Times New Roman" w:hAnsi="Times New Roman"/>
                <w:sz w:val="21"/>
                <w:szCs w:val="21"/>
              </w:rPr>
              <w:t xml:space="preserve"> et </w:t>
            </w:r>
            <w:r w:rsidR="00A90BC1" w:rsidRPr="00760E97">
              <w:rPr>
                <w:rFonts w:ascii="Times New Roman" w:hAnsi="Times New Roman"/>
                <w:sz w:val="21"/>
                <w:szCs w:val="21"/>
              </w:rPr>
              <w:t>magasin)</w:t>
            </w:r>
            <w:r w:rsidR="00EE2F6F" w:rsidRPr="00760E97">
              <w:rPr>
                <w:rFonts w:ascii="Times New Roman" w:hAnsi="Times New Roman"/>
                <w:sz w:val="21"/>
                <w:szCs w:val="21"/>
              </w:rPr>
              <w:t xml:space="preserve"> </w:t>
            </w:r>
            <w:r w:rsidRPr="00760E97">
              <w:rPr>
                <w:rFonts w:ascii="Times New Roman" w:hAnsi="Times New Roman"/>
                <w:sz w:val="21"/>
                <w:szCs w:val="21"/>
              </w:rPr>
              <w:t>;</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Des nuisances durant les travaux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Risque de perte du couvert végétal entraînant la perte d’habitats fauniques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Modification du paysage en rapport avec les travaux </w:t>
            </w:r>
            <w:r w:rsidR="00A90BC1" w:rsidRPr="00760E97">
              <w:rPr>
                <w:rFonts w:ascii="Times New Roman" w:hAnsi="Times New Roman"/>
                <w:sz w:val="21"/>
                <w:szCs w:val="21"/>
              </w:rPr>
              <w:t xml:space="preserve">et </w:t>
            </w:r>
            <w:r w:rsidR="00EE2F6F" w:rsidRPr="00760E97">
              <w:rPr>
                <w:rFonts w:ascii="Times New Roman" w:hAnsi="Times New Roman"/>
                <w:sz w:val="21"/>
                <w:szCs w:val="21"/>
              </w:rPr>
              <w:t xml:space="preserve">l’intensification des cultures </w:t>
            </w:r>
            <w:r w:rsidRPr="00760E97">
              <w:rPr>
                <w:rFonts w:ascii="Times New Roman" w:hAnsi="Times New Roman"/>
                <w:sz w:val="21"/>
                <w:szCs w:val="21"/>
              </w:rPr>
              <w:t>;</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eastAsia="MS Mincho" w:hAnsi="Times New Roman"/>
                <w:sz w:val="21"/>
                <w:szCs w:val="21"/>
              </w:rPr>
              <w:t>Risque de perturbation et désagrément des activités socio sur l’emprise (perte de biens, entrave à la mobilité)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Risque de déstructuration et de pollution des sols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Risque de maladie particulièrement les IST/VIH/SIDA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Les risques</w:t>
            </w:r>
            <w:r w:rsidR="00016BAF" w:rsidRPr="00760E97">
              <w:rPr>
                <w:rFonts w:ascii="Times New Roman" w:hAnsi="Times New Roman"/>
                <w:sz w:val="21"/>
                <w:szCs w:val="21"/>
              </w:rPr>
              <w:t xml:space="preserve"> sanitaires liés à l’</w:t>
            </w:r>
            <w:r w:rsidR="000D2A58" w:rsidRPr="00760E97">
              <w:rPr>
                <w:rFonts w:ascii="Times New Roman" w:hAnsi="Times New Roman"/>
                <w:sz w:val="21"/>
                <w:szCs w:val="21"/>
              </w:rPr>
              <w:t>utilisation des pesticides et</w:t>
            </w:r>
            <w:r w:rsidRPr="00760E97">
              <w:rPr>
                <w:rFonts w:ascii="Times New Roman" w:hAnsi="Times New Roman"/>
                <w:sz w:val="21"/>
                <w:szCs w:val="21"/>
              </w:rPr>
              <w:t xml:space="preserve"> de</w:t>
            </w:r>
            <w:r w:rsidR="000D2A58" w:rsidRPr="00760E97">
              <w:rPr>
                <w:rFonts w:ascii="Times New Roman" w:hAnsi="Times New Roman"/>
                <w:sz w:val="21"/>
                <w:szCs w:val="21"/>
              </w:rPr>
              <w:t>s</w:t>
            </w:r>
            <w:r w:rsidRPr="00760E97">
              <w:rPr>
                <w:rFonts w:ascii="Times New Roman" w:hAnsi="Times New Roman"/>
                <w:sz w:val="21"/>
                <w:szCs w:val="21"/>
              </w:rPr>
              <w:t xml:space="preserve"> déchets divers ;</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Risque des conflits sociaux liés </w:t>
            </w:r>
            <w:r w:rsidR="002E36B7" w:rsidRPr="00760E97">
              <w:rPr>
                <w:rFonts w:ascii="Times New Roman" w:hAnsi="Times New Roman"/>
                <w:sz w:val="21"/>
                <w:szCs w:val="21"/>
              </w:rPr>
              <w:t xml:space="preserve">aux diverses infrastructures, </w:t>
            </w:r>
            <w:r w:rsidRPr="00760E97">
              <w:rPr>
                <w:rFonts w:ascii="Times New Roman" w:hAnsi="Times New Roman"/>
                <w:sz w:val="21"/>
                <w:szCs w:val="21"/>
              </w:rPr>
              <w:t xml:space="preserve">leurs gestions et </w:t>
            </w:r>
            <w:r w:rsidR="00E6686F" w:rsidRPr="00760E97">
              <w:rPr>
                <w:rFonts w:ascii="Times New Roman" w:hAnsi="Times New Roman"/>
                <w:sz w:val="21"/>
                <w:szCs w:val="21"/>
              </w:rPr>
              <w:t xml:space="preserve">leurs </w:t>
            </w:r>
            <w:r w:rsidRPr="00760E97">
              <w:rPr>
                <w:rFonts w:ascii="Times New Roman" w:hAnsi="Times New Roman"/>
                <w:sz w:val="21"/>
                <w:szCs w:val="21"/>
              </w:rPr>
              <w:t>utilisations</w:t>
            </w:r>
          </w:p>
          <w:p w:rsidR="00BB228E" w:rsidRPr="00760E97"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Risque de conflits qui peuvent naître de la concurrence pour l’accès à l’appui du projet aux activités génératrices de revenus ou à l’accès à la terre etc.</w:t>
            </w:r>
          </w:p>
          <w:p w:rsidR="00294F50" w:rsidRPr="00760E97" w:rsidRDefault="00887624"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Risque d’inondation et le manque d’aménagement </w:t>
            </w:r>
            <w:r w:rsidR="00AF0A2E" w:rsidRPr="00760E97">
              <w:rPr>
                <w:rFonts w:ascii="Times New Roman" w:hAnsi="Times New Roman"/>
                <w:sz w:val="21"/>
                <w:szCs w:val="21"/>
              </w:rPr>
              <w:t xml:space="preserve">hydro agricole pourrait ralentir </w:t>
            </w:r>
            <w:r w:rsidR="00294F50" w:rsidRPr="00760E97">
              <w:rPr>
                <w:rFonts w:ascii="Times New Roman" w:hAnsi="Times New Roman"/>
                <w:sz w:val="21"/>
                <w:szCs w:val="21"/>
              </w:rPr>
              <w:t>les effets positifs du projet ;</w:t>
            </w:r>
          </w:p>
          <w:p w:rsidR="00DE6B62" w:rsidRPr="00760E97" w:rsidRDefault="00AF0A2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 </w:t>
            </w:r>
            <w:r w:rsidR="00EF41ED" w:rsidRPr="00760E97">
              <w:rPr>
                <w:rFonts w:ascii="Times New Roman" w:hAnsi="Times New Roman"/>
                <w:sz w:val="21"/>
                <w:szCs w:val="21"/>
              </w:rPr>
              <w:t xml:space="preserve">Manque de </w:t>
            </w:r>
            <w:r w:rsidR="00D508B4" w:rsidRPr="00760E97">
              <w:rPr>
                <w:rFonts w:ascii="Times New Roman" w:hAnsi="Times New Roman"/>
                <w:sz w:val="21"/>
                <w:szCs w:val="21"/>
              </w:rPr>
              <w:t xml:space="preserve">volonté de </w:t>
            </w:r>
            <w:r w:rsidR="00DE6B62" w:rsidRPr="00760E97">
              <w:rPr>
                <w:rFonts w:ascii="Times New Roman" w:hAnsi="Times New Roman"/>
                <w:sz w:val="21"/>
                <w:szCs w:val="21"/>
              </w:rPr>
              <w:t>l’Etat ou</w:t>
            </w:r>
            <w:r w:rsidR="00D508B4" w:rsidRPr="00760E97">
              <w:rPr>
                <w:rFonts w:ascii="Times New Roman" w:hAnsi="Times New Roman"/>
                <w:sz w:val="21"/>
                <w:szCs w:val="21"/>
              </w:rPr>
              <w:t xml:space="preserve"> de la population </w:t>
            </w:r>
            <w:r w:rsidR="00DE6B62" w:rsidRPr="00760E97">
              <w:rPr>
                <w:rFonts w:ascii="Times New Roman" w:hAnsi="Times New Roman"/>
                <w:sz w:val="21"/>
                <w:szCs w:val="21"/>
              </w:rPr>
              <w:t>par rapport à la mise en œuvre du projet ;</w:t>
            </w:r>
          </w:p>
          <w:p w:rsidR="00BB228E" w:rsidRPr="00760E97" w:rsidRDefault="00D508B4"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 </w:t>
            </w:r>
            <w:r w:rsidR="008D6859" w:rsidRPr="00760E97">
              <w:rPr>
                <w:rFonts w:ascii="Times New Roman" w:hAnsi="Times New Roman"/>
                <w:sz w:val="21"/>
                <w:szCs w:val="21"/>
              </w:rPr>
              <w:t>Détournement des moyens financières</w:t>
            </w:r>
            <w:r w:rsidR="00BB551D" w:rsidRPr="00760E97">
              <w:rPr>
                <w:rFonts w:ascii="Times New Roman" w:hAnsi="Times New Roman"/>
                <w:sz w:val="21"/>
                <w:szCs w:val="21"/>
              </w:rPr>
              <w:t xml:space="preserve"> </w:t>
            </w:r>
            <w:r w:rsidR="008C3658" w:rsidRPr="00760E97">
              <w:rPr>
                <w:rFonts w:ascii="Times New Roman" w:hAnsi="Times New Roman"/>
                <w:sz w:val="21"/>
                <w:szCs w:val="21"/>
              </w:rPr>
              <w:t>par rapport la mise en œuvre des activités du projet</w:t>
            </w:r>
            <w:r w:rsidR="008B7791" w:rsidRPr="00760E97">
              <w:rPr>
                <w:rFonts w:ascii="Times New Roman" w:hAnsi="Times New Roman"/>
                <w:sz w:val="21"/>
                <w:szCs w:val="21"/>
              </w:rPr>
              <w:t> ;</w:t>
            </w:r>
          </w:p>
          <w:p w:rsidR="00A31A5C" w:rsidRPr="00760E97" w:rsidRDefault="00A31A5C"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 xml:space="preserve">Manque et non-respect </w:t>
            </w:r>
            <w:r w:rsidRPr="00760E97">
              <w:rPr>
                <w:sz w:val="21"/>
                <w:szCs w:val="21"/>
              </w:rPr>
              <w:t>des lois</w:t>
            </w:r>
            <w:r w:rsidRPr="00760E97">
              <w:rPr>
                <w:rFonts w:ascii="Times New Roman" w:hAnsi="Times New Roman"/>
                <w:sz w:val="21"/>
                <w:szCs w:val="21"/>
              </w:rPr>
              <w:t xml:space="preserve"> pour reconnaitre les femmes à l’accès à la </w:t>
            </w:r>
            <w:r w:rsidRPr="00760E97">
              <w:rPr>
                <w:sz w:val="21"/>
                <w:szCs w:val="21"/>
              </w:rPr>
              <w:t xml:space="preserve">terre pourra être une source important des actes de VBG  </w:t>
            </w:r>
          </w:p>
          <w:p w:rsidR="006C2204" w:rsidRPr="00760E97" w:rsidRDefault="00A31A5C"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60E97">
              <w:rPr>
                <w:rFonts w:ascii="Times New Roman" w:hAnsi="Times New Roman"/>
                <w:sz w:val="21"/>
                <w:szCs w:val="21"/>
              </w:rPr>
              <w:t>Risque de discrimination des femmes pourrait être noter avec la situation du pays ;</w:t>
            </w:r>
          </w:p>
        </w:tc>
      </w:tr>
    </w:tbl>
    <w:p w:rsidR="00BB228E" w:rsidRPr="00A05698" w:rsidRDefault="00BB228E" w:rsidP="004F4212">
      <w:pPr>
        <w:spacing w:after="120"/>
        <w:jc w:val="both"/>
      </w:pPr>
    </w:p>
    <w:p w:rsidR="00F57C99" w:rsidRPr="00A05698" w:rsidRDefault="00BB228E" w:rsidP="0097333C">
      <w:pPr>
        <w:ind w:left="-284" w:right="-851"/>
        <w:jc w:val="both"/>
      </w:pPr>
      <w:r w:rsidRPr="00A05698">
        <w:t>La mise en œuvre du projet</w:t>
      </w:r>
      <w:r w:rsidR="00A22550" w:rsidRPr="00A05698">
        <w:t xml:space="preserve"> PUSA</w:t>
      </w:r>
      <w:r w:rsidRPr="00A05698">
        <w:t xml:space="preserve"> va stimuler </w:t>
      </w:r>
      <w:r w:rsidR="00BF31CB" w:rsidRPr="00A05698">
        <w:t>le développement économiq</w:t>
      </w:r>
      <w:r w:rsidR="007D0768" w:rsidRPr="00A05698">
        <w:t>ue</w:t>
      </w:r>
      <w:r w:rsidR="00077A78" w:rsidRPr="00A05698">
        <w:t xml:space="preserve"> et social des </w:t>
      </w:r>
      <w:r w:rsidRPr="00A05698">
        <w:t>zone</w:t>
      </w:r>
      <w:r w:rsidR="00D80CC4" w:rsidRPr="00A05698">
        <w:t>s</w:t>
      </w:r>
      <w:r w:rsidRPr="00A05698">
        <w:t xml:space="preserve"> concernée</w:t>
      </w:r>
      <w:r w:rsidR="00D80CC4" w:rsidRPr="00A05698">
        <w:t>s</w:t>
      </w:r>
      <w:r w:rsidRPr="00A05698">
        <w:t xml:space="preserve"> et</w:t>
      </w:r>
      <w:r w:rsidR="007E250A" w:rsidRPr="00A05698">
        <w:t xml:space="preserve"> </w:t>
      </w:r>
      <w:r w:rsidRPr="00A05698">
        <w:t>contribue</w:t>
      </w:r>
      <w:r w:rsidR="007E250A" w:rsidRPr="00A05698">
        <w:t>r</w:t>
      </w:r>
      <w:r w:rsidR="00EF51B5">
        <w:t xml:space="preserve">a </w:t>
      </w:r>
      <w:r w:rsidR="00C737BA">
        <w:t>à</w:t>
      </w:r>
      <w:r w:rsidR="00EF51B5">
        <w:t xml:space="preserve"> </w:t>
      </w:r>
      <w:r w:rsidRPr="00A05698">
        <w:t xml:space="preserve">une meilleure gestion des ressources naturelles et </w:t>
      </w:r>
      <w:r w:rsidR="00C737BA">
        <w:t>à</w:t>
      </w:r>
      <w:r w:rsidR="00EF51B5">
        <w:t xml:space="preserve"> </w:t>
      </w:r>
      <w:r w:rsidRPr="00A05698">
        <w:t xml:space="preserve">l’amélioration de la biodiversité. </w:t>
      </w:r>
    </w:p>
    <w:p w:rsidR="00BB228E" w:rsidRPr="00A05698" w:rsidRDefault="00BB228E" w:rsidP="00F57C99">
      <w:pPr>
        <w:ind w:left="-284" w:right="-851"/>
        <w:jc w:val="both"/>
      </w:pPr>
      <w:r w:rsidRPr="00A05698">
        <w:t xml:space="preserve">Le projet </w:t>
      </w:r>
      <w:r w:rsidR="000833CB" w:rsidRPr="00A05698">
        <w:t xml:space="preserve">PUSA </w:t>
      </w:r>
      <w:r w:rsidRPr="00A05698">
        <w:t>permettra :</w:t>
      </w:r>
    </w:p>
    <w:p w:rsidR="00476912" w:rsidRPr="00A05698" w:rsidRDefault="00A72021"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 réduction des</w:t>
      </w:r>
      <w:r w:rsidR="00E644DA" w:rsidRPr="00A05698">
        <w:rPr>
          <w:rFonts w:ascii="Times New Roman" w:hAnsi="Times New Roman"/>
          <w:sz w:val="24"/>
          <w:szCs w:val="24"/>
        </w:rPr>
        <w:t xml:space="preserve"> effets négatifs </w:t>
      </w:r>
      <w:r w:rsidR="00F749A4" w:rsidRPr="00A05698">
        <w:rPr>
          <w:rFonts w:ascii="Times New Roman" w:hAnsi="Times New Roman"/>
          <w:sz w:val="24"/>
          <w:szCs w:val="24"/>
        </w:rPr>
        <w:t>économiques</w:t>
      </w:r>
      <w:r w:rsidR="00CC5A5C" w:rsidRPr="00A05698">
        <w:rPr>
          <w:rFonts w:ascii="Times New Roman" w:hAnsi="Times New Roman"/>
          <w:sz w:val="24"/>
          <w:szCs w:val="24"/>
        </w:rPr>
        <w:t xml:space="preserve"> et socia</w:t>
      </w:r>
      <w:r w:rsidR="00E611AD" w:rsidRPr="00A05698">
        <w:rPr>
          <w:rFonts w:ascii="Times New Roman" w:hAnsi="Times New Roman"/>
          <w:sz w:val="24"/>
          <w:szCs w:val="24"/>
        </w:rPr>
        <w:t>ux</w:t>
      </w:r>
      <w:r w:rsidR="00CC5A5C" w:rsidRPr="00A05698">
        <w:rPr>
          <w:rFonts w:ascii="Times New Roman" w:hAnsi="Times New Roman"/>
          <w:sz w:val="24"/>
          <w:szCs w:val="24"/>
        </w:rPr>
        <w:t xml:space="preserve"> due </w:t>
      </w:r>
      <w:r w:rsidR="007E250A" w:rsidRPr="00A05698">
        <w:rPr>
          <w:rFonts w:ascii="Times New Roman" w:hAnsi="Times New Roman"/>
          <w:sz w:val="24"/>
          <w:szCs w:val="24"/>
        </w:rPr>
        <w:t xml:space="preserve">à </w:t>
      </w:r>
      <w:r w:rsidR="00681BD5" w:rsidRPr="00A05698">
        <w:rPr>
          <w:rFonts w:ascii="Times New Roman" w:hAnsi="Times New Roman"/>
          <w:sz w:val="24"/>
          <w:szCs w:val="24"/>
        </w:rPr>
        <w:t>la Covid</w:t>
      </w:r>
      <w:r w:rsidR="00CC5A5C" w:rsidRPr="00A05698">
        <w:rPr>
          <w:rFonts w:ascii="Times New Roman" w:hAnsi="Times New Roman"/>
          <w:sz w:val="24"/>
          <w:szCs w:val="24"/>
        </w:rPr>
        <w:t xml:space="preserve"> 19</w:t>
      </w:r>
      <w:r w:rsidR="00F749A4" w:rsidRPr="00A05698">
        <w:rPr>
          <w:rFonts w:ascii="Times New Roman" w:hAnsi="Times New Roman"/>
          <w:sz w:val="24"/>
          <w:szCs w:val="24"/>
        </w:rPr>
        <w:t> ;</w:t>
      </w:r>
    </w:p>
    <w:p w:rsidR="001B3F3C" w:rsidRPr="00A05698" w:rsidRDefault="001B3F3C"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Le développement de l</w:t>
      </w:r>
      <w:r w:rsidR="00A05714" w:rsidRPr="00A05698">
        <w:rPr>
          <w:rFonts w:ascii="Times New Roman" w:hAnsi="Times New Roman"/>
          <w:sz w:val="24"/>
          <w:szCs w:val="24"/>
        </w:rPr>
        <w:t>’</w:t>
      </w:r>
      <w:r w:rsidRPr="00A05698">
        <w:rPr>
          <w:rFonts w:ascii="Times New Roman" w:hAnsi="Times New Roman"/>
          <w:sz w:val="24"/>
          <w:szCs w:val="24"/>
        </w:rPr>
        <w:t>entreprenariat rural dans le domaine de l</w:t>
      </w:r>
      <w:r w:rsidR="00A05714" w:rsidRPr="00A05698">
        <w:rPr>
          <w:rFonts w:ascii="Times New Roman" w:hAnsi="Times New Roman"/>
          <w:sz w:val="24"/>
          <w:szCs w:val="24"/>
        </w:rPr>
        <w:t>’</w:t>
      </w:r>
      <w:r w:rsidRPr="00A05698">
        <w:rPr>
          <w:rFonts w:ascii="Times New Roman" w:hAnsi="Times New Roman"/>
          <w:sz w:val="24"/>
          <w:szCs w:val="24"/>
        </w:rPr>
        <w:t>agriculture ;</w:t>
      </w:r>
    </w:p>
    <w:p w:rsidR="001B3F3C" w:rsidRPr="00A05698" w:rsidRDefault="001B3F3C"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L’amélioration de la qualité nutritionnelle de la famille ;</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 réduction des pertes post-récolte ;</w:t>
      </w:r>
    </w:p>
    <w:p w:rsidR="00BA5D4C" w:rsidRPr="00A05698" w:rsidRDefault="00BA5D4C"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 xml:space="preserve">La réduction </w:t>
      </w:r>
      <w:r w:rsidR="00523CBF" w:rsidRPr="00A05698">
        <w:rPr>
          <w:rFonts w:ascii="Times New Roman" w:hAnsi="Times New Roman"/>
          <w:sz w:val="24"/>
          <w:szCs w:val="24"/>
        </w:rPr>
        <w:t>de l’</w:t>
      </w:r>
      <w:r w:rsidR="00F13A17" w:rsidRPr="00A05698">
        <w:rPr>
          <w:rFonts w:ascii="Times New Roman" w:hAnsi="Times New Roman"/>
          <w:sz w:val="24"/>
          <w:szCs w:val="24"/>
        </w:rPr>
        <w:t>insécurité</w:t>
      </w:r>
      <w:r w:rsidR="00523CBF" w:rsidRPr="00A05698">
        <w:rPr>
          <w:rFonts w:ascii="Times New Roman" w:hAnsi="Times New Roman"/>
          <w:sz w:val="24"/>
          <w:szCs w:val="24"/>
        </w:rPr>
        <w:t xml:space="preserve"> alimentaire dans le pays ;</w:t>
      </w:r>
      <w:r w:rsidRPr="00A05698">
        <w:rPr>
          <w:rFonts w:ascii="Times New Roman" w:hAnsi="Times New Roman"/>
          <w:sz w:val="24"/>
          <w:szCs w:val="24"/>
        </w:rPr>
        <w:t xml:space="preserve"> </w:t>
      </w:r>
    </w:p>
    <w:p w:rsidR="00F13A17" w:rsidRPr="00A05698" w:rsidRDefault="00011616"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w:t>
      </w:r>
      <w:r w:rsidR="000F1302" w:rsidRPr="00A05698">
        <w:rPr>
          <w:rFonts w:ascii="Times New Roman" w:hAnsi="Times New Roman"/>
          <w:sz w:val="24"/>
          <w:szCs w:val="24"/>
        </w:rPr>
        <w:t xml:space="preserve">’augmentation </w:t>
      </w:r>
      <w:r w:rsidR="008F78A2" w:rsidRPr="00A05698">
        <w:rPr>
          <w:rFonts w:ascii="Times New Roman" w:hAnsi="Times New Roman"/>
          <w:sz w:val="24"/>
          <w:szCs w:val="24"/>
        </w:rPr>
        <w:t xml:space="preserve">des produits </w:t>
      </w:r>
      <w:r w:rsidR="00E611AD" w:rsidRPr="00A05698">
        <w:rPr>
          <w:rFonts w:ascii="Times New Roman" w:hAnsi="Times New Roman"/>
          <w:sz w:val="24"/>
          <w:szCs w:val="24"/>
        </w:rPr>
        <w:t>céréaliers</w:t>
      </w:r>
      <w:r w:rsidR="008F78A2" w:rsidRPr="00A05698">
        <w:rPr>
          <w:rFonts w:ascii="Times New Roman" w:hAnsi="Times New Roman"/>
          <w:sz w:val="24"/>
          <w:szCs w:val="24"/>
        </w:rPr>
        <w:t xml:space="preserve"> </w:t>
      </w:r>
      <w:r w:rsidR="00ED2FD4" w:rsidRPr="00A05698">
        <w:rPr>
          <w:rFonts w:ascii="Times New Roman" w:hAnsi="Times New Roman"/>
          <w:sz w:val="24"/>
          <w:szCs w:val="24"/>
        </w:rPr>
        <w:t>dans les marchés locaux ;</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 diversification des activités </w:t>
      </w:r>
      <w:r w:rsidR="004569F1" w:rsidRPr="00A05698">
        <w:rPr>
          <w:rFonts w:ascii="Times New Roman" w:hAnsi="Times New Roman"/>
          <w:sz w:val="24"/>
          <w:szCs w:val="24"/>
        </w:rPr>
        <w:t>d’agricole</w:t>
      </w:r>
      <w:r w:rsidR="006C0289" w:rsidRPr="00A05698">
        <w:rPr>
          <w:rFonts w:ascii="Times New Roman" w:hAnsi="Times New Roman"/>
          <w:sz w:val="24"/>
          <w:szCs w:val="24"/>
        </w:rPr>
        <w:t xml:space="preserve"> </w:t>
      </w:r>
      <w:r w:rsidRPr="00A05698">
        <w:rPr>
          <w:rFonts w:ascii="Times New Roman" w:hAnsi="Times New Roman"/>
          <w:sz w:val="24"/>
          <w:szCs w:val="24"/>
        </w:rPr>
        <w:t>;</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 facilitation de déplacement des populations et des biens entre les villages et les zones de marché et/ou d</w:t>
      </w:r>
      <w:r w:rsidR="00A05714" w:rsidRPr="00A05698">
        <w:rPr>
          <w:rFonts w:ascii="Times New Roman" w:hAnsi="Times New Roman"/>
          <w:sz w:val="24"/>
          <w:szCs w:val="24"/>
        </w:rPr>
        <w:t>’</w:t>
      </w:r>
      <w:r w:rsidRPr="00A05698">
        <w:rPr>
          <w:rFonts w:ascii="Times New Roman" w:hAnsi="Times New Roman"/>
          <w:sz w:val="24"/>
          <w:szCs w:val="24"/>
        </w:rPr>
        <w:t>approvisionnement ;</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Le gain de temps ;</w:t>
      </w:r>
    </w:p>
    <w:p w:rsidR="00BB228E" w:rsidRPr="00A05698" w:rsidRDefault="00BB228E" w:rsidP="00157035">
      <w:pPr>
        <w:pStyle w:val="PargrafodaLista"/>
        <w:numPr>
          <w:ilvl w:val="0"/>
          <w:numId w:val="55"/>
        </w:numPr>
        <w:autoSpaceDE w:val="0"/>
        <w:autoSpaceDN w:val="0"/>
        <w:adjustRightInd w:val="0"/>
        <w:spacing w:line="240" w:lineRule="auto"/>
        <w:jc w:val="both"/>
        <w:rPr>
          <w:rFonts w:ascii="Times New Roman" w:hAnsi="Times New Roman"/>
          <w:sz w:val="24"/>
          <w:szCs w:val="24"/>
        </w:rPr>
      </w:pPr>
      <w:r w:rsidRPr="00A05698">
        <w:rPr>
          <w:rFonts w:ascii="Times New Roman" w:hAnsi="Times New Roman"/>
          <w:sz w:val="24"/>
          <w:szCs w:val="24"/>
        </w:rPr>
        <w:t>L’augmentation du taux d</w:t>
      </w:r>
      <w:r w:rsidR="00A05714" w:rsidRPr="00A05698">
        <w:rPr>
          <w:rFonts w:ascii="Times New Roman" w:hAnsi="Times New Roman"/>
          <w:sz w:val="24"/>
          <w:szCs w:val="24"/>
        </w:rPr>
        <w:t>’</w:t>
      </w:r>
      <w:r w:rsidRPr="00A05698">
        <w:rPr>
          <w:rFonts w:ascii="Times New Roman" w:hAnsi="Times New Roman"/>
          <w:sz w:val="24"/>
          <w:szCs w:val="24"/>
        </w:rPr>
        <w:t>éc</w:t>
      </w:r>
      <w:r w:rsidR="00355CC9" w:rsidRPr="00A05698">
        <w:rPr>
          <w:rFonts w:ascii="Times New Roman" w:hAnsi="Times New Roman"/>
          <w:sz w:val="24"/>
          <w:szCs w:val="24"/>
        </w:rPr>
        <w:t xml:space="preserve">oulement des produits agricoles (noix de cajou, riz, mil, </w:t>
      </w:r>
      <w:r w:rsidR="00B145AD" w:rsidRPr="00A05698">
        <w:rPr>
          <w:rFonts w:ascii="Times New Roman" w:hAnsi="Times New Roman"/>
          <w:sz w:val="24"/>
          <w:szCs w:val="24"/>
        </w:rPr>
        <w:t>maïs</w:t>
      </w:r>
      <w:r w:rsidR="00355CC9" w:rsidRPr="00A05698">
        <w:rPr>
          <w:rFonts w:ascii="Times New Roman" w:hAnsi="Times New Roman"/>
          <w:sz w:val="24"/>
          <w:szCs w:val="24"/>
        </w:rPr>
        <w:t>, sorgho, etc.)</w:t>
      </w:r>
      <w:r w:rsidR="00B145AD" w:rsidRPr="00A05698">
        <w:rPr>
          <w:rFonts w:ascii="Times New Roman" w:hAnsi="Times New Roman"/>
          <w:sz w:val="24"/>
          <w:szCs w:val="24"/>
        </w:rPr>
        <w:t xml:space="preserve"> </w:t>
      </w:r>
      <w:r w:rsidRPr="00A05698">
        <w:rPr>
          <w:rFonts w:ascii="Times New Roman" w:hAnsi="Times New Roman"/>
          <w:sz w:val="24"/>
          <w:szCs w:val="24"/>
        </w:rPr>
        <w:t>;</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Etc…</w:t>
      </w:r>
    </w:p>
    <w:p w:rsidR="00BB228E" w:rsidRPr="00A05698" w:rsidRDefault="00286E36" w:rsidP="00F57C99">
      <w:pPr>
        <w:ind w:left="-284" w:right="-851"/>
        <w:jc w:val="both"/>
      </w:pPr>
      <w:r w:rsidRPr="00A05698">
        <w:t>Toutefois, ces effets</w:t>
      </w:r>
      <w:r w:rsidR="00E702BA" w:rsidRPr="00A05698">
        <w:t xml:space="preserve"> négatifs</w:t>
      </w:r>
      <w:r w:rsidR="00BB228E" w:rsidRPr="00A05698">
        <w:t xml:space="preserve"> peuvent être pris en charge de manière très efficace en appliquant des mesures d’atténua</w:t>
      </w:r>
      <w:r w:rsidR="00E702BA" w:rsidRPr="00A05698">
        <w:t>tion appropriées. Ainsi l’alternativ</w:t>
      </w:r>
      <w:r w:rsidR="00CF390F" w:rsidRPr="00A05698">
        <w:t>e</w:t>
      </w:r>
      <w:r w:rsidR="00BB228E" w:rsidRPr="00A05698">
        <w:t xml:space="preserve"> 02</w:t>
      </w:r>
      <w:r w:rsidR="0062538C" w:rsidRPr="00A05698">
        <w:t xml:space="preserve"> « </w:t>
      </w:r>
      <w:r w:rsidR="0031740E" w:rsidRPr="00A05698">
        <w:t>Intervention du projet dans les domaines (secteur de la noix de cajou et des cultures vivrière)</w:t>
      </w:r>
      <w:r w:rsidR="0062538C" w:rsidRPr="00A05698">
        <w:t> »</w:t>
      </w:r>
      <w:r w:rsidR="00BB228E" w:rsidRPr="00A05698">
        <w:t xml:space="preserve"> doit être privilégiée au regard des nombreux avantages qu’elle peut offrir aux plans économique, social et même environnemental.</w:t>
      </w:r>
    </w:p>
    <w:p w:rsidR="00F57C99" w:rsidRPr="00A05698" w:rsidRDefault="00F57C99" w:rsidP="00F57C99">
      <w:pPr>
        <w:ind w:left="-284" w:right="-851"/>
        <w:jc w:val="both"/>
      </w:pPr>
    </w:p>
    <w:p w:rsidR="0097333C" w:rsidRDefault="00BB228E" w:rsidP="001F1F65">
      <w:pPr>
        <w:ind w:left="-284" w:right="-851"/>
        <w:jc w:val="both"/>
      </w:pPr>
      <w:r w:rsidRPr="00A05698">
        <w:t>En tout état de cause, il convient d’accompagner les collectivités territoriales</w:t>
      </w:r>
      <w:r w:rsidR="00CF0B60" w:rsidRPr="00A05698">
        <w:t xml:space="preserve"> </w:t>
      </w:r>
      <w:r w:rsidRPr="00A05698">
        <w:t>et renforcer les moyens des structures techniques de l’Etat afin de préserver et valoriser durablement les écosystèmes de la zone et de freiner les pressions sur les ressources naturelles pour une bonne protection de l’environnement.</w:t>
      </w:r>
    </w:p>
    <w:p w:rsidR="0097333C" w:rsidRDefault="0097333C" w:rsidP="00F57C99">
      <w:pPr>
        <w:ind w:left="-284" w:right="-851"/>
        <w:jc w:val="both"/>
      </w:pPr>
    </w:p>
    <w:p w:rsidR="00212D92" w:rsidRPr="00A05698" w:rsidRDefault="00A10969" w:rsidP="00157035">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right="-847"/>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32" w:name="_Toc73459743"/>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L’ANALYSE DES </w:t>
      </w:r>
      <w:r w:rsidR="00D67715">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RISQUES ET DES </w:t>
      </w:r>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IMPACTS PREVISIONNELS SUR</w:t>
      </w:r>
      <w:r w:rsidR="00212D92"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L’ENVIRONNEMENT ET LE SOCIAL</w:t>
      </w:r>
      <w:bookmarkEnd w:id="232"/>
    </w:p>
    <w:p w:rsidR="00681BD5" w:rsidRDefault="00681BD5" w:rsidP="0097333C">
      <w:pPr>
        <w:ind w:left="-284" w:right="-851"/>
        <w:jc w:val="both"/>
      </w:pPr>
    </w:p>
    <w:p w:rsidR="006E0E71" w:rsidRPr="00A05698" w:rsidRDefault="00242A77" w:rsidP="0097333C">
      <w:pPr>
        <w:ind w:left="-284" w:right="-851"/>
        <w:jc w:val="both"/>
      </w:pPr>
      <w:r w:rsidRPr="00A05698">
        <w:t xml:space="preserve">La mise en œuvre du projet </w:t>
      </w:r>
      <w:r w:rsidR="00AB2B1E" w:rsidRPr="00A05698">
        <w:t xml:space="preserve">PUSA </w:t>
      </w:r>
      <w:r w:rsidRPr="00A05698">
        <w:t>contribuer</w:t>
      </w:r>
      <w:r w:rsidR="007E250A" w:rsidRPr="00A05698">
        <w:t>a</w:t>
      </w:r>
      <w:r w:rsidRPr="00A05698">
        <w:t xml:space="preserve"> à renforcer les conditions favorable</w:t>
      </w:r>
      <w:r w:rsidR="008125A6" w:rsidRPr="00A05698">
        <w:t>s au développement d</w:t>
      </w:r>
      <w:r w:rsidR="009F4D5F" w:rsidRPr="00A05698">
        <w:t>e l’</w:t>
      </w:r>
      <w:r w:rsidR="00F23C38" w:rsidRPr="00A05698">
        <w:t>économie</w:t>
      </w:r>
      <w:r w:rsidR="007E250A" w:rsidRPr="00A05698">
        <w:t>. Il permet</w:t>
      </w:r>
      <w:r w:rsidRPr="00A05698">
        <w:t xml:space="preserve"> </w:t>
      </w:r>
      <w:r w:rsidR="007E250A" w:rsidRPr="00A05698">
        <w:t>de</w:t>
      </w:r>
      <w:r w:rsidRPr="00A05698">
        <w:t xml:space="preserve"> </w:t>
      </w:r>
      <w:r w:rsidR="000816E4" w:rsidRPr="00A05698">
        <w:t>lutter contre l’</w:t>
      </w:r>
      <w:r w:rsidR="002B7A4C" w:rsidRPr="00A05698">
        <w:t>insécurité</w:t>
      </w:r>
      <w:r w:rsidR="000816E4" w:rsidRPr="00A05698">
        <w:t xml:space="preserve"> alimentaire dans le pays, à </w:t>
      </w:r>
      <w:r w:rsidRPr="00A05698">
        <w:t xml:space="preserve">améliorer les revenus des petits producteurs mais aussi </w:t>
      </w:r>
      <w:r w:rsidR="00D939E1" w:rsidRPr="00A05698">
        <w:t>d’</w:t>
      </w:r>
      <w:r w:rsidRPr="00A05698">
        <w:t>améliorer la qualité nutritionnelle des populatio</w:t>
      </w:r>
      <w:r w:rsidR="00025AFC" w:rsidRPr="00A05698">
        <w:t>ns très affectées par les</w:t>
      </w:r>
      <w:r w:rsidRPr="00A05698">
        <w:t xml:space="preserve"> effets </w:t>
      </w:r>
      <w:r w:rsidR="00CF75BC" w:rsidRPr="00A05698">
        <w:t xml:space="preserve">négatifs de la </w:t>
      </w:r>
      <w:r w:rsidR="00741DF3" w:rsidRPr="00A05698">
        <w:t>pandémie</w:t>
      </w:r>
      <w:r w:rsidR="00CF75BC" w:rsidRPr="00A05698">
        <w:t xml:space="preserve"> </w:t>
      </w:r>
      <w:r w:rsidR="00CD7E65" w:rsidRPr="00A05698">
        <w:t xml:space="preserve">de la Covid 19 </w:t>
      </w:r>
      <w:r w:rsidR="006E3C0F" w:rsidRPr="00A05698">
        <w:t xml:space="preserve">et les effets </w:t>
      </w:r>
      <w:r w:rsidRPr="00A05698">
        <w:t>pervers des changements climatiques</w:t>
      </w:r>
      <w:r w:rsidR="006E3C0F" w:rsidRPr="00A05698">
        <w:t>.</w:t>
      </w:r>
    </w:p>
    <w:p w:rsidR="006E0E71" w:rsidRPr="00A05698" w:rsidRDefault="006E3C0F" w:rsidP="0097333C">
      <w:pPr>
        <w:ind w:left="-284" w:right="-851"/>
        <w:jc w:val="both"/>
      </w:pPr>
      <w:r w:rsidRPr="00A05698">
        <w:t>Ainsi</w:t>
      </w:r>
      <w:r w:rsidR="00242A77" w:rsidRPr="00A05698">
        <w:t>, les activités qui permettront d’atteindre ces résultats peuvent également avoir des impacts négatifs sur les composantes environnementales et sociales des sites d’intervention.</w:t>
      </w:r>
    </w:p>
    <w:p w:rsidR="006E0E71" w:rsidRPr="00A05698" w:rsidRDefault="00B07955" w:rsidP="0097333C">
      <w:pPr>
        <w:ind w:left="-284" w:right="-851"/>
        <w:jc w:val="both"/>
      </w:pPr>
      <w:r w:rsidRPr="00A05698">
        <w:t xml:space="preserve">De plus, </w:t>
      </w:r>
      <w:r w:rsidR="00CE42F3" w:rsidRPr="00A05698">
        <w:t>i</w:t>
      </w:r>
      <w:r w:rsidR="00242A77" w:rsidRPr="00A05698">
        <w:t xml:space="preserve">l s’agira aussi, d’identifier les impacts positifs directs et indirects qu’ils conviendraient de capitaliser. Ces </w:t>
      </w:r>
      <w:r w:rsidR="00D939E1" w:rsidRPr="00A05698">
        <w:t>effets</w:t>
      </w:r>
      <w:r w:rsidR="00242A77" w:rsidRPr="00A05698">
        <w:t xml:space="preserve"> seront pris en compte à travers l</w:t>
      </w:r>
      <w:r w:rsidR="00A05714" w:rsidRPr="00A05698">
        <w:t>’</w:t>
      </w:r>
      <w:r w:rsidR="00242A77" w:rsidRPr="00A05698">
        <w:t>identification et l</w:t>
      </w:r>
      <w:r w:rsidR="00A05714" w:rsidRPr="00A05698">
        <w:t>’</w:t>
      </w:r>
      <w:r w:rsidR="00242A77" w:rsidRPr="00A05698">
        <w:t xml:space="preserve">analyse des impacts environnementaux </w:t>
      </w:r>
      <w:r w:rsidR="00D939E1" w:rsidRPr="00A05698">
        <w:t>notés</w:t>
      </w:r>
      <w:r w:rsidR="00242A77" w:rsidRPr="00A05698">
        <w:t>.</w:t>
      </w:r>
    </w:p>
    <w:p w:rsidR="00242A77" w:rsidRPr="00A05698" w:rsidRDefault="00242A77" w:rsidP="006E0E71">
      <w:pPr>
        <w:ind w:left="-284" w:right="-851"/>
        <w:jc w:val="both"/>
      </w:pPr>
      <w:r w:rsidRPr="00A05698">
        <w:t>L</w:t>
      </w:r>
      <w:r w:rsidR="00A05714" w:rsidRPr="00A05698">
        <w:t>’</w:t>
      </w:r>
      <w:r w:rsidRPr="00A05698">
        <w:t>identification et l</w:t>
      </w:r>
      <w:r w:rsidR="00A05714" w:rsidRPr="00A05698">
        <w:t>’</w:t>
      </w:r>
      <w:r w:rsidRPr="00A05698">
        <w:t>analyse des impacts environnementaux</w:t>
      </w:r>
      <w:r w:rsidR="00D67715">
        <w:t xml:space="preserve"> et sociaux potentiels</w:t>
      </w:r>
      <w:r w:rsidRPr="00A05698">
        <w:t xml:space="preserve"> porteront sur les paramètres ci-dessous :</w:t>
      </w:r>
    </w:p>
    <w:p w:rsidR="00242A77" w:rsidRPr="00A05698" w:rsidRDefault="00242A77" w:rsidP="00157035">
      <w:pPr>
        <w:pStyle w:val="PargrafodaLista"/>
        <w:numPr>
          <w:ilvl w:val="0"/>
          <w:numId w:val="58"/>
        </w:numPr>
        <w:spacing w:after="0" w:line="240" w:lineRule="auto"/>
        <w:ind w:left="714" w:hanging="357"/>
        <w:contextualSpacing w:val="0"/>
        <w:jc w:val="both"/>
        <w:rPr>
          <w:rFonts w:ascii="Times New Roman" w:hAnsi="Times New Roman"/>
          <w:sz w:val="22"/>
          <w:szCs w:val="22"/>
        </w:rPr>
      </w:pPr>
      <w:r w:rsidRPr="00A05698">
        <w:rPr>
          <w:rFonts w:ascii="Times New Roman" w:hAnsi="Times New Roman"/>
          <w:sz w:val="22"/>
          <w:szCs w:val="22"/>
        </w:rPr>
        <w:t xml:space="preserve">Les phases du projet ; </w:t>
      </w:r>
    </w:p>
    <w:p w:rsidR="00242A77" w:rsidRPr="00A05698" w:rsidRDefault="00242A77" w:rsidP="00157035">
      <w:pPr>
        <w:pStyle w:val="PargrafodaLista"/>
        <w:numPr>
          <w:ilvl w:val="0"/>
          <w:numId w:val="58"/>
        </w:numPr>
        <w:spacing w:after="0" w:line="240" w:lineRule="auto"/>
        <w:ind w:left="714" w:hanging="357"/>
        <w:contextualSpacing w:val="0"/>
        <w:jc w:val="both"/>
        <w:rPr>
          <w:rFonts w:ascii="Times New Roman" w:hAnsi="Times New Roman"/>
          <w:sz w:val="22"/>
          <w:szCs w:val="22"/>
        </w:rPr>
      </w:pPr>
      <w:r w:rsidRPr="00A05698">
        <w:rPr>
          <w:rFonts w:ascii="Times New Roman" w:hAnsi="Times New Roman"/>
          <w:sz w:val="22"/>
          <w:szCs w:val="22"/>
        </w:rPr>
        <w:t>Les composantes du milieu récepteur ;</w:t>
      </w:r>
    </w:p>
    <w:p w:rsidR="00242A77" w:rsidRPr="00A05698" w:rsidRDefault="00242A77" w:rsidP="00157035">
      <w:pPr>
        <w:pStyle w:val="PargrafodaLista"/>
        <w:numPr>
          <w:ilvl w:val="0"/>
          <w:numId w:val="58"/>
        </w:numPr>
        <w:spacing w:after="0" w:line="240" w:lineRule="auto"/>
        <w:ind w:left="714" w:hanging="357"/>
        <w:contextualSpacing w:val="0"/>
        <w:jc w:val="both"/>
        <w:rPr>
          <w:rFonts w:ascii="Times New Roman" w:hAnsi="Times New Roman"/>
          <w:sz w:val="22"/>
          <w:szCs w:val="22"/>
        </w:rPr>
      </w:pPr>
      <w:r w:rsidRPr="00A05698">
        <w:rPr>
          <w:rFonts w:ascii="Times New Roman" w:hAnsi="Times New Roman"/>
          <w:sz w:val="22"/>
          <w:szCs w:val="22"/>
        </w:rPr>
        <w:t>Les sources d</w:t>
      </w:r>
      <w:r w:rsidR="00A05714" w:rsidRPr="00A05698">
        <w:rPr>
          <w:rFonts w:ascii="Times New Roman" w:hAnsi="Times New Roman"/>
          <w:sz w:val="22"/>
          <w:szCs w:val="22"/>
        </w:rPr>
        <w:t>’</w:t>
      </w:r>
      <w:r w:rsidRPr="00A05698">
        <w:rPr>
          <w:rFonts w:ascii="Times New Roman" w:hAnsi="Times New Roman"/>
          <w:sz w:val="22"/>
          <w:szCs w:val="22"/>
        </w:rPr>
        <w:t>impact.</w:t>
      </w:r>
    </w:p>
    <w:p w:rsidR="006E0E71" w:rsidRDefault="00242A77" w:rsidP="0097333C">
      <w:pPr>
        <w:ind w:left="-284" w:right="-851"/>
        <w:jc w:val="both"/>
      </w:pPr>
      <w:r w:rsidRPr="00A05698">
        <w:t>Les composantes du milieu récepteur analysées au cours de l’étude sont les composantes physiques, biologiques et socio-économiques de l’environnement.</w:t>
      </w:r>
    </w:p>
    <w:p w:rsidR="002155D9" w:rsidRPr="00A05698" w:rsidRDefault="002155D9" w:rsidP="0097333C">
      <w:pPr>
        <w:ind w:left="-284" w:right="-851"/>
        <w:jc w:val="both"/>
      </w:pPr>
    </w:p>
    <w:p w:rsidR="006E0E71" w:rsidRPr="002155D9" w:rsidRDefault="00242A77" w:rsidP="0097333C">
      <w:pPr>
        <w:ind w:left="-284" w:right="-851"/>
        <w:jc w:val="both"/>
        <w:rPr>
          <w:b/>
        </w:rPr>
      </w:pPr>
      <w:r w:rsidRPr="002155D9">
        <w:rPr>
          <w:b/>
        </w:rPr>
        <w:t>Dans le cadre de cette étude</w:t>
      </w:r>
      <w:r w:rsidR="00D939E1" w:rsidRPr="002155D9">
        <w:rPr>
          <w:b/>
        </w:rPr>
        <w:t>,</w:t>
      </w:r>
      <w:r w:rsidRPr="002155D9">
        <w:rPr>
          <w:b/>
        </w:rPr>
        <w:t xml:space="preserve"> l’analyse des impacts du projet </w:t>
      </w:r>
      <w:r w:rsidR="00264783" w:rsidRPr="002155D9">
        <w:rPr>
          <w:b/>
        </w:rPr>
        <w:t>PUSA</w:t>
      </w:r>
      <w:r w:rsidRPr="002155D9">
        <w:rPr>
          <w:b/>
        </w:rPr>
        <w:t xml:space="preserve"> à travers ses principales composantes est faite selon une approche globale car ce sont des objectifs globaux qu’on cherche à atteindre à travers cette évaluation environnementale stratégique.</w:t>
      </w:r>
    </w:p>
    <w:p w:rsidR="00681BD5" w:rsidRPr="00A05698" w:rsidRDefault="00681BD5" w:rsidP="0097333C">
      <w:pPr>
        <w:ind w:left="-284" w:right="-851"/>
        <w:jc w:val="both"/>
      </w:pPr>
    </w:p>
    <w:p w:rsidR="00E74E6B" w:rsidRPr="0097333C" w:rsidRDefault="00242A77" w:rsidP="00157035">
      <w:pPr>
        <w:pStyle w:val="PargrafodaLista"/>
        <w:numPr>
          <w:ilvl w:val="1"/>
          <w:numId w:val="99"/>
        </w:numPr>
        <w:spacing w:after="120" w:line="240" w:lineRule="auto"/>
        <w:outlineLvl w:val="1"/>
        <w:rPr>
          <w:rFonts w:ascii="Times New Roman" w:hAnsi="Times New Roman"/>
          <w:b/>
          <w:bCs/>
          <w:sz w:val="24"/>
          <w:szCs w:val="24"/>
        </w:rPr>
      </w:pPr>
      <w:bookmarkStart w:id="233" w:name="_Toc55460151"/>
      <w:bookmarkStart w:id="234" w:name="_Toc55465544"/>
      <w:bookmarkStart w:id="235" w:name="_Toc73459744"/>
      <w:r w:rsidRPr="00A05698">
        <w:rPr>
          <w:rFonts w:ascii="Times New Roman" w:hAnsi="Times New Roman"/>
          <w:b/>
          <w:bCs/>
          <w:sz w:val="24"/>
          <w:szCs w:val="24"/>
        </w:rPr>
        <w:t>IMPACTS POSITIFS DU PROJET</w:t>
      </w:r>
      <w:bookmarkEnd w:id="233"/>
      <w:bookmarkEnd w:id="234"/>
      <w:bookmarkEnd w:id="235"/>
    </w:p>
    <w:p w:rsidR="00E62B58" w:rsidRPr="00A05698" w:rsidRDefault="00242A77" w:rsidP="00157035">
      <w:pPr>
        <w:pStyle w:val="PargrafodaLista"/>
        <w:numPr>
          <w:ilvl w:val="2"/>
          <w:numId w:val="99"/>
        </w:numPr>
        <w:spacing w:after="120" w:line="240" w:lineRule="auto"/>
        <w:outlineLvl w:val="1"/>
        <w:rPr>
          <w:rFonts w:ascii="Times New Roman" w:hAnsi="Times New Roman"/>
          <w:b/>
          <w:bCs/>
          <w:sz w:val="24"/>
          <w:szCs w:val="24"/>
        </w:rPr>
      </w:pPr>
      <w:bookmarkStart w:id="236" w:name="_Toc73459745"/>
      <w:bookmarkStart w:id="237" w:name="_Toc55460152"/>
      <w:bookmarkStart w:id="238" w:name="_Toc55465545"/>
      <w:r w:rsidRPr="00A05698">
        <w:rPr>
          <w:rFonts w:ascii="Times New Roman" w:hAnsi="Times New Roman"/>
          <w:b/>
          <w:bCs/>
          <w:sz w:val="24"/>
          <w:szCs w:val="24"/>
        </w:rPr>
        <w:t>Les impacts positifs du projet</w:t>
      </w:r>
      <w:bookmarkEnd w:id="236"/>
      <w:r w:rsidRPr="00A05698">
        <w:rPr>
          <w:rFonts w:ascii="Times New Roman" w:hAnsi="Times New Roman"/>
          <w:b/>
          <w:bCs/>
          <w:sz w:val="24"/>
          <w:szCs w:val="24"/>
        </w:rPr>
        <w:t xml:space="preserve"> </w:t>
      </w:r>
      <w:bookmarkEnd w:id="237"/>
      <w:bookmarkEnd w:id="238"/>
    </w:p>
    <w:p w:rsidR="00A94262" w:rsidRPr="0097333C" w:rsidRDefault="00B30BE7" w:rsidP="00157035">
      <w:pPr>
        <w:pStyle w:val="Cabealho6"/>
        <w:numPr>
          <w:ilvl w:val="5"/>
          <w:numId w:val="105"/>
        </w:numPr>
        <w:spacing w:line="240" w:lineRule="auto"/>
        <w:rPr>
          <w:rFonts w:ascii="Times New Roman" w:hAnsi="Times New Roman"/>
          <w:b/>
          <w:i w:val="0"/>
          <w:iCs w:val="0"/>
          <w:color w:val="auto"/>
          <w:sz w:val="24"/>
          <w:szCs w:val="24"/>
        </w:rPr>
      </w:pPr>
      <w:r w:rsidRPr="0097333C">
        <w:rPr>
          <w:rFonts w:ascii="Times New Roman" w:hAnsi="Times New Roman"/>
          <w:b/>
          <w:i w:val="0"/>
          <w:iCs w:val="0"/>
          <w:color w:val="auto"/>
          <w:sz w:val="24"/>
          <w:szCs w:val="24"/>
        </w:rPr>
        <w:t>Soutien à la production agricole</w:t>
      </w:r>
    </w:p>
    <w:p w:rsidR="00E74E6B" w:rsidRPr="00A05698" w:rsidRDefault="00E74E6B" w:rsidP="00E74E6B"/>
    <w:p w:rsidR="00E62B58" w:rsidRPr="00A05698" w:rsidRDefault="00C7300F" w:rsidP="00E74E6B">
      <w:pPr>
        <w:ind w:left="-284" w:right="-851"/>
        <w:jc w:val="both"/>
      </w:pPr>
      <w:r w:rsidRPr="00A05698">
        <w:t>Aucun impact positif significatif n’est à prévoir sur le milieu naturel pendant la phase de préparation et d’installatio</w:t>
      </w:r>
      <w:r w:rsidR="007A475F" w:rsidRPr="00A05698">
        <w:t>n</w:t>
      </w:r>
      <w:r w:rsidRPr="00A05698">
        <w:t xml:space="preserve"> du Projet.</w:t>
      </w:r>
      <w:r w:rsidR="007A475F" w:rsidRPr="00A05698">
        <w:t xml:space="preserve"> </w:t>
      </w:r>
      <w:r w:rsidR="009C60E9" w:rsidRPr="00A05698">
        <w:t>C</w:t>
      </w:r>
      <w:r w:rsidR="007A475F" w:rsidRPr="00A05698">
        <w:t>ontrairement</w:t>
      </w:r>
      <w:r w:rsidR="009C60E9" w:rsidRPr="00A05698">
        <w:t xml:space="preserve"> e</w:t>
      </w:r>
      <w:r w:rsidR="00E62B58" w:rsidRPr="00A05698">
        <w:t>n phase d</w:t>
      </w:r>
      <w:r w:rsidR="0087514B">
        <w:t>’exploitation</w:t>
      </w:r>
      <w:r w:rsidR="00E62B58" w:rsidRPr="00A05698">
        <w:t xml:space="preserve"> les impacts positifs du projet PUSA se résument aux aspects majeurs suivants :</w:t>
      </w:r>
    </w:p>
    <w:p w:rsidR="00E74E6B" w:rsidRPr="00A05698" w:rsidRDefault="00E74E6B" w:rsidP="00E74E6B">
      <w:pPr>
        <w:ind w:left="-284" w:right="-851"/>
        <w:jc w:val="both"/>
      </w:pPr>
    </w:p>
    <w:p w:rsidR="00B314B8" w:rsidRPr="00A05698" w:rsidRDefault="00984A61" w:rsidP="00157035">
      <w:pPr>
        <w:pStyle w:val="Listacommarcas2"/>
        <w:numPr>
          <w:ilvl w:val="0"/>
          <w:numId w:val="106"/>
        </w:numPr>
        <w:spacing w:line="240" w:lineRule="auto"/>
        <w:rPr>
          <w:rFonts w:ascii="Times New Roman" w:hAnsi="Times New Roman"/>
          <w:b/>
          <w:sz w:val="24"/>
          <w:lang w:val="fr-FR"/>
        </w:rPr>
      </w:pPr>
      <w:r w:rsidRPr="00EF3A36">
        <w:rPr>
          <w:rFonts w:ascii="Times New Roman" w:hAnsi="Times New Roman"/>
          <w:b/>
          <w:sz w:val="24"/>
          <w:lang w:val="fr-FR"/>
        </w:rPr>
        <w:t xml:space="preserve">Impacts positifs </w:t>
      </w:r>
      <w:r>
        <w:rPr>
          <w:rFonts w:ascii="Times New Roman" w:hAnsi="Times New Roman"/>
          <w:b/>
          <w:sz w:val="24"/>
          <w:lang w:val="fr-FR"/>
        </w:rPr>
        <w:t>au niveau de la v</w:t>
      </w:r>
      <w:r w:rsidR="00B314B8" w:rsidRPr="00A05698">
        <w:rPr>
          <w:rFonts w:ascii="Times New Roman" w:hAnsi="Times New Roman"/>
          <w:b/>
          <w:sz w:val="24"/>
          <w:lang w:val="fr-FR"/>
        </w:rPr>
        <w:t>alorisati</w:t>
      </w:r>
      <w:r w:rsidR="009234B2" w:rsidRPr="00A05698">
        <w:rPr>
          <w:rFonts w:ascii="Times New Roman" w:hAnsi="Times New Roman"/>
          <w:b/>
          <w:sz w:val="24"/>
          <w:lang w:val="fr-FR"/>
        </w:rPr>
        <w:t>on et Organisation dans le secteur agricole</w:t>
      </w:r>
    </w:p>
    <w:p w:rsidR="00B314B8" w:rsidRPr="00A05698" w:rsidRDefault="00B740FC" w:rsidP="006D55DE">
      <w:pPr>
        <w:ind w:left="-284" w:right="-851"/>
        <w:jc w:val="both"/>
      </w:pPr>
      <w:r w:rsidRPr="00A05698">
        <w:t>Grace à la mise en œuvre du composante 1</w:t>
      </w:r>
      <w:r w:rsidR="00B314B8" w:rsidRPr="00A05698">
        <w:t xml:space="preserve">, une meilleure organisation du segment de la </w:t>
      </w:r>
      <w:r w:rsidR="00F24948" w:rsidRPr="00A05698">
        <w:t>pro</w:t>
      </w:r>
      <w:r w:rsidR="00F271E7" w:rsidRPr="00A05698">
        <w:t xml:space="preserve">duction et de la </w:t>
      </w:r>
      <w:r w:rsidR="00B314B8" w:rsidRPr="00A05698">
        <w:t>commercialisat</w:t>
      </w:r>
      <w:r w:rsidR="00880948" w:rsidRPr="00A05698">
        <w:t xml:space="preserve">ion des noix de cajou et des produits céréalière </w:t>
      </w:r>
      <w:r w:rsidR="00B314B8" w:rsidRPr="00A05698">
        <w:t>permettra une meilleure valorisation de ces produits pour éviter que les acteurs du marché parallèle puissent récupérer la majeure partie de la production.</w:t>
      </w:r>
    </w:p>
    <w:p w:rsidR="006D55DE" w:rsidRPr="00A05698" w:rsidRDefault="006D55DE" w:rsidP="006D55DE">
      <w:pPr>
        <w:ind w:left="-284" w:right="-851"/>
        <w:jc w:val="both"/>
      </w:pPr>
    </w:p>
    <w:p w:rsidR="00B314B8" w:rsidRPr="00A05698" w:rsidRDefault="00B314B8" w:rsidP="006D55DE">
      <w:pPr>
        <w:ind w:left="-284" w:right="-851"/>
        <w:jc w:val="both"/>
      </w:pPr>
      <w:r w:rsidRPr="00A05698">
        <w:t xml:space="preserve">Cette meilleure organisation se refléterait à travers le démarrage à temps des campagnes de commercialisation. </w:t>
      </w:r>
      <w:r w:rsidR="00D939E1" w:rsidRPr="00A05698">
        <w:t>Également</w:t>
      </w:r>
      <w:r w:rsidRPr="00A05698">
        <w:t xml:space="preserve">, les problèmes (organisationnel, financier et technique) de l’interprofession pourraient être définitivement réglés </w:t>
      </w:r>
      <w:r w:rsidR="00D939E1" w:rsidRPr="00A05698">
        <w:t>afin d’</w:t>
      </w:r>
      <w:r w:rsidRPr="00A05698">
        <w:t xml:space="preserve">éviter la non unanimité dans la fixation du prix au producteur. </w:t>
      </w:r>
    </w:p>
    <w:p w:rsidR="00B314B8" w:rsidRPr="00A05698" w:rsidRDefault="004D49ED" w:rsidP="006D55DE">
      <w:pPr>
        <w:ind w:left="-284" w:right="-851"/>
        <w:jc w:val="both"/>
      </w:pPr>
      <w:r w:rsidRPr="00A05698">
        <w:t xml:space="preserve">De plus, la mise en œuvre des </w:t>
      </w:r>
      <w:r w:rsidR="00187F69" w:rsidRPr="00A05698">
        <w:t>soutien</w:t>
      </w:r>
      <w:r w:rsidR="0016609E" w:rsidRPr="00A05698">
        <w:t>s</w:t>
      </w:r>
      <w:r w:rsidRPr="00A05698">
        <w:t xml:space="preserve"> à la production agricole </w:t>
      </w:r>
      <w:r w:rsidR="00B314B8" w:rsidRPr="00A05698">
        <w:t>parti</w:t>
      </w:r>
      <w:r w:rsidRPr="00A05698">
        <w:t xml:space="preserve">cipera de régler </w:t>
      </w:r>
      <w:r w:rsidR="00B314B8" w:rsidRPr="00A05698">
        <w:t xml:space="preserve">les problèmes de </w:t>
      </w:r>
      <w:r w:rsidR="00187F69" w:rsidRPr="00A05698">
        <w:t xml:space="preserve">manque de </w:t>
      </w:r>
      <w:r w:rsidR="002A350F" w:rsidRPr="00A05698">
        <w:t>matériel, de finance</w:t>
      </w:r>
      <w:r w:rsidR="005E4BD9" w:rsidRPr="00A05698">
        <w:t>ment pour faire face au cout</w:t>
      </w:r>
      <w:r w:rsidR="002A350F" w:rsidRPr="00A05698">
        <w:t xml:space="preserve"> </w:t>
      </w:r>
      <w:r w:rsidR="00B314B8" w:rsidRPr="00A05698">
        <w:t>et de la collecte dans le circuit de la commercialisation grâce :</w:t>
      </w:r>
    </w:p>
    <w:p w:rsidR="008D514F" w:rsidRPr="00843722" w:rsidRDefault="008D514F" w:rsidP="00157035">
      <w:pPr>
        <w:pStyle w:val="PargrafodaLista"/>
        <w:numPr>
          <w:ilvl w:val="0"/>
          <w:numId w:val="59"/>
        </w:numPr>
        <w:spacing w:after="0" w:line="240" w:lineRule="auto"/>
        <w:ind w:right="-847"/>
        <w:jc w:val="both"/>
        <w:rPr>
          <w:rFonts w:ascii="Times New Roman" w:hAnsi="Times New Roman"/>
          <w:sz w:val="22"/>
          <w:szCs w:val="22"/>
        </w:rPr>
      </w:pPr>
      <w:r w:rsidRPr="00843722">
        <w:rPr>
          <w:rFonts w:ascii="Times New Roman" w:hAnsi="Times New Roman"/>
          <w:sz w:val="22"/>
          <w:szCs w:val="22"/>
        </w:rPr>
        <w:t>Une meilleure organisation du segment de la production et de la commercialisation des noix de cajou et des produits céréalière permettra une meilleure valorisation de ces produits.</w:t>
      </w:r>
    </w:p>
    <w:p w:rsidR="008D514F" w:rsidRPr="00843722" w:rsidRDefault="008D514F" w:rsidP="00157035">
      <w:pPr>
        <w:pStyle w:val="PargrafodaLista"/>
        <w:numPr>
          <w:ilvl w:val="0"/>
          <w:numId w:val="59"/>
        </w:numPr>
        <w:spacing w:after="0" w:line="240" w:lineRule="auto"/>
        <w:ind w:right="-847"/>
        <w:jc w:val="both"/>
        <w:rPr>
          <w:rFonts w:ascii="Times New Roman" w:hAnsi="Times New Roman"/>
          <w:sz w:val="22"/>
          <w:szCs w:val="22"/>
        </w:rPr>
      </w:pPr>
      <w:r w:rsidRPr="00843722">
        <w:rPr>
          <w:rFonts w:ascii="Times New Roman" w:hAnsi="Times New Roman"/>
          <w:sz w:val="22"/>
          <w:szCs w:val="22"/>
        </w:rPr>
        <w:t xml:space="preserve">Le projet permettra de lever certaines contraintes majeures par rapport à la commercialisation des noix de cajou et de booster les cultures vivrières. </w:t>
      </w:r>
    </w:p>
    <w:p w:rsidR="008D514F" w:rsidRPr="00843722" w:rsidRDefault="008D514F" w:rsidP="00157035">
      <w:pPr>
        <w:pStyle w:val="PargrafodaLista"/>
        <w:numPr>
          <w:ilvl w:val="0"/>
          <w:numId w:val="59"/>
        </w:numPr>
        <w:spacing w:after="0" w:line="240" w:lineRule="auto"/>
        <w:ind w:right="-847"/>
        <w:jc w:val="both"/>
        <w:rPr>
          <w:rFonts w:ascii="Times New Roman" w:hAnsi="Times New Roman"/>
          <w:sz w:val="22"/>
          <w:szCs w:val="22"/>
        </w:rPr>
      </w:pPr>
      <w:r w:rsidRPr="00843722">
        <w:rPr>
          <w:rFonts w:ascii="Times New Roman" w:hAnsi="Times New Roman"/>
          <w:sz w:val="22"/>
          <w:szCs w:val="22"/>
        </w:rPr>
        <w:t xml:space="preserve">La réduction des spéculateurs dans les marchés locaux, </w:t>
      </w:r>
    </w:p>
    <w:p w:rsidR="008D514F" w:rsidRPr="00843722" w:rsidRDefault="008D514F" w:rsidP="00157035">
      <w:pPr>
        <w:pStyle w:val="PargrafodaLista"/>
        <w:numPr>
          <w:ilvl w:val="0"/>
          <w:numId w:val="59"/>
        </w:numPr>
        <w:spacing w:after="0" w:line="240" w:lineRule="auto"/>
        <w:ind w:right="-847"/>
        <w:jc w:val="both"/>
        <w:rPr>
          <w:rFonts w:ascii="Times New Roman" w:hAnsi="Times New Roman"/>
          <w:sz w:val="22"/>
          <w:szCs w:val="22"/>
        </w:rPr>
      </w:pPr>
      <w:r w:rsidRPr="00843722">
        <w:rPr>
          <w:rFonts w:ascii="Times New Roman" w:hAnsi="Times New Roman"/>
          <w:sz w:val="22"/>
          <w:szCs w:val="22"/>
        </w:rPr>
        <w:t xml:space="preserve">La restauration de la confiance des producteurs aux opérateurs à travers des mécanismes de contractualisation plus adaptés. </w:t>
      </w:r>
    </w:p>
    <w:p w:rsidR="008D514F" w:rsidRPr="00843722" w:rsidRDefault="008D514F" w:rsidP="00157035">
      <w:pPr>
        <w:pStyle w:val="PargrafodaLista"/>
        <w:numPr>
          <w:ilvl w:val="0"/>
          <w:numId w:val="59"/>
        </w:numPr>
        <w:spacing w:after="0" w:line="240" w:lineRule="auto"/>
        <w:ind w:right="-847"/>
        <w:jc w:val="both"/>
        <w:rPr>
          <w:rFonts w:ascii="Times New Roman" w:hAnsi="Times New Roman"/>
          <w:sz w:val="22"/>
          <w:szCs w:val="22"/>
        </w:rPr>
      </w:pPr>
      <w:r w:rsidRPr="00843722">
        <w:rPr>
          <w:rFonts w:ascii="Times New Roman" w:hAnsi="Times New Roman"/>
          <w:sz w:val="22"/>
          <w:szCs w:val="22"/>
        </w:rPr>
        <w:t xml:space="preserve">L’intensification de la riziculture va consacrer la diversification de la production agricole permettant non seulement une autosuffisance alimentaire, mais aussi un enrichissement des zones de culture par les rotations culturales. </w:t>
      </w:r>
    </w:p>
    <w:p w:rsidR="00681BD5" w:rsidRPr="00083B97" w:rsidRDefault="00681BD5" w:rsidP="00681BD5">
      <w:pPr>
        <w:pStyle w:val="Listacommarcas2"/>
        <w:numPr>
          <w:ilvl w:val="0"/>
          <w:numId w:val="0"/>
        </w:numPr>
        <w:spacing w:line="240" w:lineRule="auto"/>
        <w:ind w:left="578"/>
        <w:rPr>
          <w:rFonts w:ascii="Times New Roman" w:hAnsi="Times New Roman"/>
          <w:sz w:val="24"/>
          <w:lang w:val="fr-FR"/>
        </w:rPr>
      </w:pPr>
    </w:p>
    <w:p w:rsidR="003C5BBE" w:rsidRPr="00083B97" w:rsidRDefault="003C5BBE" w:rsidP="00157035">
      <w:pPr>
        <w:pStyle w:val="Listacommarcas2"/>
        <w:numPr>
          <w:ilvl w:val="0"/>
          <w:numId w:val="106"/>
        </w:numPr>
        <w:spacing w:line="240" w:lineRule="auto"/>
        <w:rPr>
          <w:rFonts w:ascii="Times New Roman" w:hAnsi="Times New Roman"/>
          <w:b/>
          <w:sz w:val="24"/>
          <w:lang w:val="fr-FR"/>
        </w:rPr>
      </w:pPr>
      <w:r w:rsidRPr="00083B97">
        <w:rPr>
          <w:rFonts w:ascii="Times New Roman" w:hAnsi="Times New Roman"/>
          <w:b/>
          <w:sz w:val="24"/>
          <w:lang w:val="fr-FR"/>
        </w:rPr>
        <w:t xml:space="preserve">Impacts positifs de l’appui à la production agricole </w:t>
      </w:r>
    </w:p>
    <w:p w:rsidR="003C5BBE" w:rsidRDefault="003C5BBE" w:rsidP="00083B97">
      <w:pPr>
        <w:ind w:left="-284" w:right="-851"/>
        <w:jc w:val="both"/>
      </w:pPr>
      <w:r w:rsidRPr="003C5BBE">
        <w:t>L</w:t>
      </w:r>
      <w:r w:rsidR="00CE348D">
        <w:t>’augmentation de l</w:t>
      </w:r>
      <w:r w:rsidRPr="003C5BBE">
        <w:t>a vulgarisation de</w:t>
      </w:r>
      <w:r w:rsidR="00D75D7D">
        <w:t>s</w:t>
      </w:r>
      <w:r w:rsidRPr="003C5BBE">
        <w:t xml:space="preserve"> techniques agricoles nouvelles contribuera à l’optimisation des rendements sans un accroissement des terres de </w:t>
      </w:r>
      <w:r w:rsidR="004F00FF" w:rsidRPr="003C5BBE">
        <w:t>culture</w:t>
      </w:r>
      <w:r w:rsidR="004F00FF">
        <w:t>,</w:t>
      </w:r>
      <w:r w:rsidR="004F00FF" w:rsidRPr="00425A94">
        <w:t xml:space="preserve"> l’amélioration</w:t>
      </w:r>
      <w:r w:rsidR="00425A94" w:rsidRPr="00425A94">
        <w:t xml:space="preserve"> de la production, de la productivité et de la résilience des systèmes de production au changement climatique</w:t>
      </w:r>
      <w:r w:rsidR="007C3238">
        <w:t>.</w:t>
      </w:r>
      <w:r w:rsidR="00425A94" w:rsidRPr="00425A94" w:rsidDel="00334F1B">
        <w:t xml:space="preserve"> </w:t>
      </w:r>
      <w:r w:rsidRPr="003C5BBE">
        <w:t xml:space="preserve">. </w:t>
      </w:r>
    </w:p>
    <w:p w:rsidR="00CE348D" w:rsidRPr="003C5BBE" w:rsidRDefault="00CE348D" w:rsidP="00083B97">
      <w:pPr>
        <w:ind w:left="-284" w:right="-851"/>
        <w:jc w:val="both"/>
      </w:pPr>
    </w:p>
    <w:p w:rsidR="003C5BBE" w:rsidRPr="00083B97" w:rsidRDefault="003C5BBE" w:rsidP="00157035">
      <w:pPr>
        <w:pStyle w:val="Listacommarcas2"/>
        <w:numPr>
          <w:ilvl w:val="1"/>
          <w:numId w:val="106"/>
        </w:numPr>
        <w:spacing w:line="240" w:lineRule="auto"/>
        <w:rPr>
          <w:rFonts w:ascii="Times New Roman" w:hAnsi="Times New Roman"/>
          <w:b/>
          <w:sz w:val="24"/>
          <w:lang w:val="fr-FR"/>
        </w:rPr>
      </w:pPr>
      <w:r w:rsidRPr="00083B97">
        <w:rPr>
          <w:rFonts w:ascii="Times New Roman" w:hAnsi="Times New Roman"/>
          <w:b/>
          <w:sz w:val="24"/>
          <w:lang w:val="fr-FR"/>
        </w:rPr>
        <w:t xml:space="preserve">Impacts positifs liés à la fourniture de semence et d'intrants </w:t>
      </w:r>
    </w:p>
    <w:p w:rsidR="00CE348D" w:rsidRPr="003C5BBE" w:rsidRDefault="00CE348D" w:rsidP="00083B97">
      <w:pPr>
        <w:ind w:left="-284" w:right="-851"/>
        <w:jc w:val="both"/>
      </w:pPr>
    </w:p>
    <w:p w:rsidR="003C5BBE" w:rsidRDefault="003C5BBE" w:rsidP="00083B97">
      <w:pPr>
        <w:ind w:left="-284" w:right="-851"/>
        <w:jc w:val="both"/>
      </w:pPr>
      <w:r w:rsidRPr="00A700CB">
        <w:t>La fourniture de semences et d’engrais va permettre de doper le système de production agricole</w:t>
      </w:r>
      <w:r w:rsidRPr="003C5BBE">
        <w:t xml:space="preserve"> dans une perspective d’autosuffisance alimentaire. La qualité des semences constitue un facteur essentiel dans l'amélioration des rendements et l'optimisation de la production. Cependant, l’utilisation d’intrants agricoles bien que nécessaires pour l'obtention de meilleurs rendements, peut si elle n'est pas encadrée, provoquer des pollutions de l’environnement (un certain nombre de résidus chimiques risque de polluer les eaux de surface et la nappes phréatique) et par conséquent contaminer les êtres humains ou les animaux qui viendront s'y abreuver. </w:t>
      </w:r>
    </w:p>
    <w:p w:rsidR="00EE39E3" w:rsidRPr="003C5BBE" w:rsidRDefault="00EE39E3" w:rsidP="00083B97">
      <w:pPr>
        <w:ind w:left="-284" w:right="-851"/>
        <w:jc w:val="both"/>
      </w:pPr>
    </w:p>
    <w:p w:rsidR="003C5BBE" w:rsidRPr="00083B97" w:rsidRDefault="003C5BBE" w:rsidP="00157035">
      <w:pPr>
        <w:pStyle w:val="Listacommarcas2"/>
        <w:numPr>
          <w:ilvl w:val="1"/>
          <w:numId w:val="106"/>
        </w:numPr>
        <w:spacing w:line="240" w:lineRule="auto"/>
        <w:rPr>
          <w:rFonts w:ascii="Times New Roman" w:hAnsi="Times New Roman"/>
          <w:b/>
          <w:sz w:val="24"/>
          <w:lang w:val="fr-FR"/>
        </w:rPr>
      </w:pPr>
      <w:r w:rsidRPr="00083B97">
        <w:rPr>
          <w:rFonts w:ascii="Times New Roman" w:hAnsi="Times New Roman"/>
          <w:b/>
          <w:sz w:val="24"/>
          <w:lang w:val="fr-FR"/>
        </w:rPr>
        <w:t xml:space="preserve">Impacts positifs liés à la fourniture de petits équipements agricoles </w:t>
      </w:r>
    </w:p>
    <w:p w:rsidR="00A700CB" w:rsidRPr="003C5BBE" w:rsidRDefault="00A700CB" w:rsidP="00083B97">
      <w:pPr>
        <w:pStyle w:val="Listacommarcas2"/>
        <w:numPr>
          <w:ilvl w:val="0"/>
          <w:numId w:val="0"/>
        </w:numPr>
        <w:spacing w:line="240" w:lineRule="auto"/>
        <w:ind w:left="578"/>
        <w:rPr>
          <w:lang w:val="fr-FR"/>
        </w:rPr>
      </w:pPr>
    </w:p>
    <w:p w:rsidR="003C5BBE" w:rsidRPr="003C5BBE" w:rsidRDefault="003C5BBE" w:rsidP="00083B97">
      <w:pPr>
        <w:ind w:left="-284" w:right="-851"/>
        <w:jc w:val="both"/>
      </w:pPr>
      <w:r w:rsidRPr="003C5BBE">
        <w:t xml:space="preserve">Les infrastructures et équipement de production comme les motoculteurs sont un important vecteur de développement des capacités, d’amélioration de la productivité, de gain de compétitivité et finalement de développement économique et d’amélioration des conditions de vie et de revenus des producteurs. Le travail manuel étant extrêmement pénible et les rendements obtenus sont souvent relativement faibles et décourage souvent les producteurs. Ainsi, l'usage de techniques modernes de production contribuera à alléger la charge de travail tout en boostant la production ce qui permettra à terme d'atteindre les objectifs de sécurité alimentaire. </w:t>
      </w:r>
    </w:p>
    <w:p w:rsidR="003C5BBE" w:rsidRPr="00083B97" w:rsidRDefault="003C5BBE" w:rsidP="00083B97">
      <w:pPr>
        <w:pStyle w:val="Listacommarcas2"/>
        <w:numPr>
          <w:ilvl w:val="0"/>
          <w:numId w:val="0"/>
        </w:numPr>
        <w:spacing w:line="240" w:lineRule="auto"/>
        <w:rPr>
          <w:rFonts w:ascii="Times New Roman" w:hAnsi="Times New Roman"/>
          <w:sz w:val="24"/>
          <w:lang w:val="fr-FR"/>
        </w:rPr>
      </w:pPr>
    </w:p>
    <w:p w:rsidR="006D55DE" w:rsidRPr="0097333C" w:rsidRDefault="00984A61" w:rsidP="00157035">
      <w:pPr>
        <w:pStyle w:val="Listacommarcas2"/>
        <w:numPr>
          <w:ilvl w:val="0"/>
          <w:numId w:val="106"/>
        </w:numPr>
        <w:spacing w:line="240" w:lineRule="auto"/>
        <w:rPr>
          <w:rFonts w:ascii="Times New Roman" w:hAnsi="Times New Roman"/>
          <w:b/>
          <w:sz w:val="24"/>
          <w:lang w:val="fr-FR"/>
        </w:rPr>
      </w:pPr>
      <w:r w:rsidRPr="00EF3A36">
        <w:rPr>
          <w:rFonts w:ascii="Times New Roman" w:hAnsi="Times New Roman"/>
          <w:b/>
          <w:sz w:val="24"/>
          <w:lang w:val="fr-FR"/>
        </w:rPr>
        <w:t xml:space="preserve">Impacts positifs </w:t>
      </w:r>
      <w:r>
        <w:rPr>
          <w:rFonts w:ascii="Times New Roman" w:hAnsi="Times New Roman"/>
          <w:b/>
          <w:sz w:val="24"/>
          <w:lang w:val="fr-FR"/>
        </w:rPr>
        <w:t>sur l’a</w:t>
      </w:r>
      <w:r w:rsidR="00B314B8" w:rsidRPr="00A05698">
        <w:rPr>
          <w:rFonts w:ascii="Times New Roman" w:hAnsi="Times New Roman"/>
          <w:b/>
          <w:sz w:val="24"/>
          <w:lang w:val="fr-FR"/>
        </w:rPr>
        <w:t>mélioration de</w:t>
      </w:r>
      <w:r w:rsidR="008766FA" w:rsidRPr="00A05698">
        <w:rPr>
          <w:rFonts w:ascii="Times New Roman" w:hAnsi="Times New Roman"/>
          <w:b/>
          <w:sz w:val="24"/>
          <w:lang w:val="fr-FR"/>
        </w:rPr>
        <w:t>s conditions de</w:t>
      </w:r>
      <w:r w:rsidR="00B314B8" w:rsidRPr="00A05698">
        <w:rPr>
          <w:rFonts w:ascii="Times New Roman" w:hAnsi="Times New Roman"/>
          <w:b/>
          <w:sz w:val="24"/>
          <w:lang w:val="fr-FR"/>
        </w:rPr>
        <w:t xml:space="preserve"> vie de la population </w:t>
      </w:r>
    </w:p>
    <w:p w:rsidR="006D55DE" w:rsidRPr="00A05698" w:rsidRDefault="00B314B8" w:rsidP="0097333C">
      <w:pPr>
        <w:ind w:left="-284" w:right="-851"/>
        <w:jc w:val="both"/>
      </w:pPr>
      <w:r w:rsidRPr="00A05698">
        <w:t>Les conditions de vies de la population pourraient s’améliorer de manière considérab</w:t>
      </w:r>
      <w:r w:rsidR="00E20C28" w:rsidRPr="00A05698">
        <w:t>le grâce au développement du secteur de l’agriculture</w:t>
      </w:r>
      <w:r w:rsidR="009426AC" w:rsidRPr="00A05698">
        <w:t xml:space="preserve"> surtout </w:t>
      </w:r>
      <w:r w:rsidR="00687C62" w:rsidRPr="00A05698">
        <w:t xml:space="preserve">dans le secteur de la production </w:t>
      </w:r>
      <w:r w:rsidR="009426AC" w:rsidRPr="00A05698">
        <w:t xml:space="preserve">et de la commercialisation </w:t>
      </w:r>
      <w:r w:rsidR="00687C62" w:rsidRPr="00A05698">
        <w:t xml:space="preserve">des </w:t>
      </w:r>
      <w:r w:rsidR="00611422" w:rsidRPr="00A05698">
        <w:t>noix de cajou.</w:t>
      </w:r>
    </w:p>
    <w:p w:rsidR="006D55DE" w:rsidRPr="00A05698" w:rsidRDefault="0098479C" w:rsidP="0097333C">
      <w:pPr>
        <w:ind w:left="-284" w:right="-851"/>
        <w:jc w:val="both"/>
      </w:pPr>
      <w:r w:rsidRPr="00A05698">
        <w:t>Ce composante 1</w:t>
      </w:r>
      <w:r w:rsidR="00B314B8" w:rsidRPr="00A05698">
        <w:t xml:space="preserve"> contribuer</w:t>
      </w:r>
      <w:r w:rsidRPr="00A05698">
        <w:t>a</w:t>
      </w:r>
      <w:r w:rsidR="00B314B8" w:rsidRPr="00A05698">
        <w:t xml:space="preserve"> à la réduction de la pauvreté au niveau des populations vulnérables exposées à l</w:t>
      </w:r>
      <w:r w:rsidR="00A05714" w:rsidRPr="00A05698">
        <w:t>’</w:t>
      </w:r>
      <w:r w:rsidR="00B314B8" w:rsidRPr="00A05698">
        <w:t xml:space="preserve">insécurité alimentaire (accès à une alimentation suffisante et diversifiée). </w:t>
      </w:r>
    </w:p>
    <w:p w:rsidR="0082611C" w:rsidRDefault="0082611C" w:rsidP="00083B97">
      <w:pPr>
        <w:pStyle w:val="Listacommarcas2"/>
        <w:numPr>
          <w:ilvl w:val="0"/>
          <w:numId w:val="0"/>
        </w:numPr>
        <w:spacing w:line="240" w:lineRule="auto"/>
        <w:rPr>
          <w:rFonts w:ascii="Times New Roman" w:hAnsi="Times New Roman"/>
          <w:sz w:val="24"/>
          <w:lang w:val="fr-FR"/>
        </w:rPr>
      </w:pPr>
    </w:p>
    <w:p w:rsidR="00EA4085" w:rsidRPr="001F2701" w:rsidRDefault="00EA4085" w:rsidP="00157035">
      <w:pPr>
        <w:pStyle w:val="Listacommarcas2"/>
        <w:numPr>
          <w:ilvl w:val="0"/>
          <w:numId w:val="106"/>
        </w:numPr>
        <w:spacing w:line="240" w:lineRule="auto"/>
        <w:rPr>
          <w:rFonts w:ascii="Times New Roman" w:hAnsi="Times New Roman"/>
          <w:b/>
          <w:lang w:val="fr-FR"/>
        </w:rPr>
      </w:pPr>
      <w:r w:rsidRPr="00083B97">
        <w:rPr>
          <w:rFonts w:ascii="Times New Roman" w:hAnsi="Times New Roman"/>
          <w:b/>
          <w:sz w:val="24"/>
          <w:lang w:val="fr-FR"/>
        </w:rPr>
        <w:t xml:space="preserve">Impacts positifs de l'encadrement des petits producteurs </w:t>
      </w:r>
    </w:p>
    <w:p w:rsidR="002D52F2" w:rsidRPr="00984A61" w:rsidRDefault="00EA4085" w:rsidP="00083B97">
      <w:pPr>
        <w:widowControl w:val="0"/>
        <w:autoSpaceDE w:val="0"/>
        <w:autoSpaceDN w:val="0"/>
        <w:adjustRightInd w:val="0"/>
        <w:spacing w:after="240"/>
        <w:ind w:right="-847"/>
        <w:jc w:val="both"/>
        <w:rPr>
          <w:rFonts w:ascii="Times" w:hAnsi="Times" w:cs="Times"/>
          <w:color w:val="000000"/>
          <w:lang w:eastAsia="en-US"/>
        </w:rPr>
      </w:pPr>
      <w:r w:rsidRPr="00083B97">
        <w:rPr>
          <w:color w:val="000000"/>
          <w:lang w:eastAsia="en-US"/>
        </w:rPr>
        <w:t xml:space="preserve">Les services de conseils pour les producteurs vont consacrer </w:t>
      </w:r>
      <w:r w:rsidR="00A57DCB" w:rsidRPr="00083B97">
        <w:rPr>
          <w:color w:val="000000"/>
          <w:lang w:eastAsia="en-US"/>
        </w:rPr>
        <w:t>une meilleure maîtrise</w:t>
      </w:r>
      <w:r w:rsidRPr="00083B97">
        <w:rPr>
          <w:color w:val="000000"/>
          <w:lang w:eastAsia="en-US"/>
        </w:rPr>
        <w:t xml:space="preserve"> de la production et de la productivité des périmètres rizicoles en permettant non seulement une autosuffisance alimentaire, mais aussi </w:t>
      </w:r>
      <w:r w:rsidR="00984A61" w:rsidRPr="00984A61">
        <w:rPr>
          <w:color w:val="000000"/>
          <w:lang w:eastAsia="en-US"/>
        </w:rPr>
        <w:t>une préservation</w:t>
      </w:r>
      <w:r w:rsidRPr="00083B97">
        <w:rPr>
          <w:color w:val="000000"/>
          <w:lang w:eastAsia="en-US"/>
        </w:rPr>
        <w:t xml:space="preserve"> des zones de culture par l'intégration de mesures environnementales de protection des milieux qui vont contribuer à la gestion des écosystèmes de mangroves. </w:t>
      </w:r>
      <w:r w:rsidR="002D52F2" w:rsidRPr="00083B97">
        <w:rPr>
          <w:color w:val="000000"/>
          <w:lang w:eastAsia="en-US"/>
        </w:rPr>
        <w:t xml:space="preserve">La vulgarisation de techniques agricoles nouvelles contribuera à l’optimisation des rendements sans un accroissement des terres de culture en défaveur des pâturages. </w:t>
      </w:r>
    </w:p>
    <w:p w:rsidR="0082611C" w:rsidRPr="00083B97" w:rsidRDefault="002D52F2" w:rsidP="00083B97">
      <w:pPr>
        <w:widowControl w:val="0"/>
        <w:autoSpaceDE w:val="0"/>
        <w:autoSpaceDN w:val="0"/>
        <w:adjustRightInd w:val="0"/>
        <w:spacing w:after="240"/>
        <w:ind w:right="-847"/>
        <w:jc w:val="both"/>
        <w:rPr>
          <w:color w:val="000000"/>
          <w:lang w:eastAsia="en-US"/>
        </w:rPr>
      </w:pPr>
      <w:r w:rsidRPr="00083B97">
        <w:rPr>
          <w:color w:val="000000"/>
          <w:lang w:eastAsia="en-US"/>
        </w:rPr>
        <w:t xml:space="preserve">Le développement et la maîtrise des techniques de lutte intégrée vont aider à la prévention des risques de pollution par l’usage des produits chimiques dans la mesure où ces techniques vont favoriser l'intégration de la lutte biologique. La recherche sur les pratiques culturales durables et respectueuses de l'environnement et d’autres alternatives aux pesticides favorisent aussi la lutte contre certains parasites. </w:t>
      </w:r>
    </w:p>
    <w:p w:rsidR="003C0EDA" w:rsidRDefault="00984A61" w:rsidP="00157035">
      <w:pPr>
        <w:pStyle w:val="Listacommarcas2"/>
        <w:numPr>
          <w:ilvl w:val="0"/>
          <w:numId w:val="106"/>
        </w:numPr>
        <w:spacing w:line="240" w:lineRule="auto"/>
        <w:rPr>
          <w:rFonts w:ascii="Times New Roman" w:hAnsi="Times New Roman"/>
          <w:b/>
          <w:sz w:val="24"/>
          <w:lang w:val="fr-FR"/>
        </w:rPr>
      </w:pPr>
      <w:r w:rsidRPr="00EF3A36">
        <w:rPr>
          <w:rFonts w:ascii="Times New Roman" w:hAnsi="Times New Roman"/>
          <w:b/>
          <w:sz w:val="24"/>
          <w:lang w:val="fr-FR"/>
        </w:rPr>
        <w:t xml:space="preserve">Impacts positifs </w:t>
      </w:r>
      <w:r w:rsidR="00C5720A">
        <w:rPr>
          <w:rFonts w:ascii="Times New Roman" w:hAnsi="Times New Roman"/>
          <w:b/>
          <w:sz w:val="24"/>
          <w:lang w:val="fr-FR"/>
        </w:rPr>
        <w:t>par rapport à l’a</w:t>
      </w:r>
      <w:r w:rsidR="00B314B8" w:rsidRPr="00A05698">
        <w:rPr>
          <w:rFonts w:ascii="Times New Roman" w:hAnsi="Times New Roman"/>
          <w:b/>
          <w:sz w:val="24"/>
          <w:lang w:val="fr-FR"/>
        </w:rPr>
        <w:t>ppui à la mise en valeur et renforcement des capacités</w:t>
      </w:r>
    </w:p>
    <w:p w:rsidR="00681BD5" w:rsidRPr="0097333C" w:rsidRDefault="00681BD5" w:rsidP="00681BD5">
      <w:pPr>
        <w:pStyle w:val="Listacommarcas2"/>
        <w:numPr>
          <w:ilvl w:val="0"/>
          <w:numId w:val="0"/>
        </w:numPr>
        <w:spacing w:line="240" w:lineRule="auto"/>
        <w:ind w:left="720"/>
        <w:rPr>
          <w:rFonts w:ascii="Times New Roman" w:hAnsi="Times New Roman"/>
          <w:b/>
          <w:sz w:val="24"/>
          <w:lang w:val="fr-FR"/>
        </w:rPr>
      </w:pPr>
    </w:p>
    <w:p w:rsidR="003C0EDA" w:rsidRDefault="00B314B8" w:rsidP="0097333C">
      <w:pPr>
        <w:ind w:left="-284" w:right="-851"/>
        <w:jc w:val="both"/>
      </w:pPr>
      <w:r w:rsidRPr="00A05698">
        <w:t>Le manque de structuration et d</w:t>
      </w:r>
      <w:r w:rsidR="00A05714" w:rsidRPr="00A05698">
        <w:t>’</w:t>
      </w:r>
      <w:r w:rsidRPr="00A05698">
        <w:t>organisation fonctionnelle explique les nombreux échecs des organisations paysannes liés à la divergence des perceptions et des intérêts de chacun des catégories socioprofessionnelles. Bien que certaines structures fédératrices soient identifiées sur le terrain, le manque de moyens d</w:t>
      </w:r>
      <w:r w:rsidR="00A05714" w:rsidRPr="00A05698">
        <w:t>’</w:t>
      </w:r>
      <w:r w:rsidRPr="00A05698">
        <w:t xml:space="preserve">intervention et de connaissances approfondies des causes probables des nombreuses vulnérabilités, les solutions souvent apportées et mises en œuvre demeurent inefficaces pour répondre convenablement aux besoins des populations. </w:t>
      </w:r>
    </w:p>
    <w:p w:rsidR="004C346E" w:rsidRPr="00A05698" w:rsidRDefault="004C346E" w:rsidP="0097333C">
      <w:pPr>
        <w:ind w:left="-284" w:right="-851"/>
        <w:jc w:val="both"/>
      </w:pPr>
    </w:p>
    <w:p w:rsidR="003C0EDA" w:rsidRDefault="00B314B8" w:rsidP="0097333C">
      <w:pPr>
        <w:ind w:left="-284" w:right="-851"/>
        <w:jc w:val="both"/>
      </w:pPr>
      <w:r w:rsidRPr="00A05698">
        <w:t>L</w:t>
      </w:r>
      <w:r w:rsidR="00A05714" w:rsidRPr="00A05698">
        <w:t>’</w:t>
      </w:r>
      <w:r w:rsidRPr="00A05698">
        <w:t>appui à l</w:t>
      </w:r>
      <w:r w:rsidR="00A05714" w:rsidRPr="00A05698">
        <w:t>’</w:t>
      </w:r>
      <w:r w:rsidRPr="00A05698">
        <w:t>organisation et à la mobilisation des principaux acteurs autour des questions fondamentales de l</w:t>
      </w:r>
      <w:r w:rsidR="00A05714" w:rsidRPr="00A05698">
        <w:t>’</w:t>
      </w:r>
      <w:r w:rsidRPr="00A05698">
        <w:t xml:space="preserve">agriculture contribuerait à </w:t>
      </w:r>
      <w:r w:rsidR="00085CD2" w:rsidRPr="00A05698">
        <w:t>développer le secteur agricole</w:t>
      </w:r>
      <w:r w:rsidRPr="00A05698">
        <w:t xml:space="preserve"> mais aussi, attein</w:t>
      </w:r>
      <w:r w:rsidR="00085CD2" w:rsidRPr="00A05698">
        <w:t>dre les objectifs du projet d’urgence de sécurité alimentaire (PUSA)</w:t>
      </w:r>
      <w:r w:rsidRPr="00A05698">
        <w:t>.</w:t>
      </w:r>
    </w:p>
    <w:p w:rsidR="004C346E" w:rsidRPr="00A05698" w:rsidRDefault="004C346E" w:rsidP="0097333C">
      <w:pPr>
        <w:ind w:left="-284" w:right="-851"/>
        <w:jc w:val="both"/>
      </w:pPr>
    </w:p>
    <w:p w:rsidR="003C0EDA" w:rsidRPr="00A05698" w:rsidRDefault="00B314B8" w:rsidP="0097333C">
      <w:pPr>
        <w:ind w:left="-284" w:right="-851"/>
        <w:jc w:val="both"/>
      </w:pPr>
      <w:r w:rsidRPr="00A05698">
        <w:t xml:space="preserve">Lors des rencontres de consultation avec les acteurs, la majeure partie ont exprimé leur disponibilité à collaborer étroitement avec le projet </w:t>
      </w:r>
      <w:r w:rsidR="003D2AC8" w:rsidRPr="00A05698">
        <w:t>PUSA</w:t>
      </w:r>
      <w:r w:rsidRPr="00A05698">
        <w:t xml:space="preserve"> pour atteindre les objectifs visés. </w:t>
      </w:r>
    </w:p>
    <w:p w:rsidR="00B314B8" w:rsidRPr="00A05698" w:rsidRDefault="00B314B8" w:rsidP="003C0EDA">
      <w:pPr>
        <w:ind w:left="-284" w:right="-851"/>
        <w:jc w:val="both"/>
      </w:pPr>
      <w:r w:rsidRPr="00A05698">
        <w:t>Ainsi, l</w:t>
      </w:r>
      <w:r w:rsidR="00A05714" w:rsidRPr="00A05698">
        <w:t>’</w:t>
      </w:r>
      <w:r w:rsidRPr="00A05698">
        <w:t>appui à l</w:t>
      </w:r>
      <w:r w:rsidR="00A05714" w:rsidRPr="00A05698">
        <w:t>’</w:t>
      </w:r>
      <w:r w:rsidRPr="00A05698">
        <w:t>organisation des bénéficiaires sous forme de GIE ou</w:t>
      </w:r>
      <w:r w:rsidR="00213BC4">
        <w:t xml:space="preserve"> de fédération</w:t>
      </w:r>
      <w:r w:rsidRPr="00A05698">
        <w:t>, la formation des petits producteurs (agriculteurs,), le financeme</w:t>
      </w:r>
      <w:r w:rsidR="00ED3D4A" w:rsidRPr="00A05698">
        <w:t>nt des jeunes et des femmes, à</w:t>
      </w:r>
      <w:r w:rsidRPr="00A05698">
        <w:t xml:space="preserve"> l</w:t>
      </w:r>
      <w:r w:rsidR="00A05714" w:rsidRPr="00A05698">
        <w:t>’</w:t>
      </w:r>
      <w:r w:rsidRPr="00A05698">
        <w:t>adaptation au changement climatique vont contribuer :</w:t>
      </w:r>
    </w:p>
    <w:p w:rsidR="001826EF" w:rsidRDefault="001826EF" w:rsidP="004F00FF">
      <w:pPr>
        <w:pStyle w:val="Listacommarcas2"/>
        <w:numPr>
          <w:ilvl w:val="0"/>
          <w:numId w:val="0"/>
        </w:numPr>
        <w:spacing w:line="240" w:lineRule="auto"/>
        <w:rPr>
          <w:rFonts w:ascii="Times New Roman" w:hAnsi="Times New Roman"/>
          <w:sz w:val="24"/>
          <w:lang w:val="fr-FR"/>
        </w:rPr>
      </w:pPr>
    </w:p>
    <w:p w:rsidR="001826EF" w:rsidRPr="001F2701" w:rsidRDefault="001826EF" w:rsidP="00157035">
      <w:pPr>
        <w:pStyle w:val="Listacommarcas2"/>
        <w:numPr>
          <w:ilvl w:val="0"/>
          <w:numId w:val="106"/>
        </w:numPr>
        <w:spacing w:line="240" w:lineRule="auto"/>
        <w:rPr>
          <w:rFonts w:ascii="Times New Roman" w:hAnsi="Times New Roman"/>
          <w:b/>
          <w:lang w:val="fr-FR"/>
        </w:rPr>
      </w:pPr>
      <w:r w:rsidRPr="00083B97">
        <w:rPr>
          <w:rFonts w:ascii="Times New Roman" w:hAnsi="Times New Roman"/>
          <w:b/>
          <w:sz w:val="24"/>
          <w:lang w:val="fr-FR"/>
        </w:rPr>
        <w:t>Impacts positifs de la prise en compte des aspects du gen</w:t>
      </w:r>
      <w:r w:rsidR="00421710" w:rsidRPr="00787BCD">
        <w:rPr>
          <w:rFonts w:ascii="Times New Roman" w:hAnsi="Times New Roman"/>
          <w:b/>
          <w:sz w:val="24"/>
          <w:lang w:val="fr-FR"/>
        </w:rPr>
        <w:t xml:space="preserve">re dans les activités du PUSA </w:t>
      </w:r>
    </w:p>
    <w:p w:rsidR="001826EF" w:rsidRPr="00083B97" w:rsidRDefault="00787BCD" w:rsidP="00083B97">
      <w:pPr>
        <w:widowControl w:val="0"/>
        <w:autoSpaceDE w:val="0"/>
        <w:autoSpaceDN w:val="0"/>
        <w:adjustRightInd w:val="0"/>
        <w:spacing w:after="240"/>
        <w:ind w:right="-847"/>
        <w:jc w:val="both"/>
        <w:rPr>
          <w:rFonts w:ascii="Times" w:hAnsi="Times" w:cs="Times"/>
          <w:color w:val="000000"/>
          <w:lang w:eastAsia="en-US"/>
        </w:rPr>
      </w:pPr>
      <w:r w:rsidRPr="0018291C">
        <w:rPr>
          <w:color w:val="000000"/>
          <w:lang w:eastAsia="en-US"/>
        </w:rPr>
        <w:t>Le projet</w:t>
      </w:r>
      <w:r w:rsidR="001826EF" w:rsidRPr="00083B97">
        <w:rPr>
          <w:color w:val="000000"/>
          <w:lang w:eastAsia="en-US"/>
        </w:rPr>
        <w:t xml:space="preserve"> va favoriser la prise en compte des aspects du genre et du processus d’intégration des notions d’équité dans l’exécution des activités. Les femmes, qui constituent des leviers essentiels dans l’organisation et l’animation des organisations de producteurs agricoles, participeront activement aux activités du projet dont elles seront des bénéficiaires privilégiées, en termes d’accroissement de revenus, de maîtrise de technologies et d’encadrement. </w:t>
      </w:r>
    </w:p>
    <w:p w:rsidR="002B11DC" w:rsidRPr="0097333C" w:rsidRDefault="009C2723" w:rsidP="00157035">
      <w:pPr>
        <w:pStyle w:val="Cabealho6"/>
        <w:numPr>
          <w:ilvl w:val="5"/>
          <w:numId w:val="105"/>
        </w:numPr>
        <w:spacing w:line="240" w:lineRule="auto"/>
        <w:ind w:right="-847"/>
        <w:jc w:val="both"/>
        <w:rPr>
          <w:rFonts w:ascii="Times New Roman" w:hAnsi="Times New Roman"/>
          <w:b/>
          <w:i w:val="0"/>
          <w:iCs w:val="0"/>
          <w:color w:val="auto"/>
          <w:sz w:val="24"/>
          <w:szCs w:val="24"/>
        </w:rPr>
      </w:pPr>
      <w:r w:rsidRPr="0097333C">
        <w:rPr>
          <w:rFonts w:ascii="Times New Roman" w:hAnsi="Times New Roman"/>
          <w:b/>
          <w:i w:val="0"/>
          <w:iCs w:val="0"/>
          <w:color w:val="auto"/>
          <w:sz w:val="24"/>
          <w:szCs w:val="24"/>
        </w:rPr>
        <w:t>Soutien aux Filets de Sécurité communautaires (</w:t>
      </w:r>
      <w:r w:rsidR="007213B4" w:rsidRPr="0097333C">
        <w:rPr>
          <w:rFonts w:ascii="Times New Roman" w:hAnsi="Times New Roman"/>
          <w:b/>
          <w:i w:val="0"/>
          <w:iCs w:val="0"/>
          <w:color w:val="auto"/>
          <w:sz w:val="24"/>
          <w:szCs w:val="24"/>
        </w:rPr>
        <w:t xml:space="preserve">la création </w:t>
      </w:r>
      <w:r w:rsidR="000C7180" w:rsidRPr="0097333C">
        <w:rPr>
          <w:rFonts w:ascii="Times New Roman" w:hAnsi="Times New Roman"/>
          <w:b/>
          <w:i w:val="0"/>
          <w:iCs w:val="0"/>
          <w:color w:val="auto"/>
          <w:sz w:val="24"/>
          <w:szCs w:val="24"/>
        </w:rPr>
        <w:t>d’emploi,</w:t>
      </w:r>
      <w:r w:rsidR="007213B4" w:rsidRPr="0097333C">
        <w:rPr>
          <w:rFonts w:ascii="Times New Roman" w:hAnsi="Times New Roman"/>
          <w:b/>
          <w:i w:val="0"/>
          <w:iCs w:val="0"/>
          <w:color w:val="auto"/>
          <w:sz w:val="24"/>
          <w:szCs w:val="24"/>
        </w:rPr>
        <w:t xml:space="preserve"> </w:t>
      </w:r>
      <w:r w:rsidRPr="0097333C">
        <w:rPr>
          <w:rFonts w:ascii="Times New Roman" w:hAnsi="Times New Roman"/>
          <w:b/>
          <w:i w:val="0"/>
          <w:iCs w:val="0"/>
          <w:color w:val="auto"/>
          <w:sz w:val="24"/>
          <w:szCs w:val="24"/>
        </w:rPr>
        <w:t>la réhabilitation des structures de stockage, l</w:t>
      </w:r>
      <w:r w:rsidR="00A05714" w:rsidRPr="0097333C">
        <w:rPr>
          <w:rFonts w:ascii="Times New Roman" w:hAnsi="Times New Roman"/>
          <w:b/>
          <w:i w:val="0"/>
          <w:iCs w:val="0"/>
          <w:color w:val="auto"/>
          <w:sz w:val="24"/>
          <w:szCs w:val="24"/>
        </w:rPr>
        <w:t>’</w:t>
      </w:r>
      <w:r w:rsidRPr="0097333C">
        <w:rPr>
          <w:rFonts w:ascii="Times New Roman" w:hAnsi="Times New Roman"/>
          <w:b/>
          <w:i w:val="0"/>
          <w:iCs w:val="0"/>
          <w:color w:val="auto"/>
          <w:sz w:val="24"/>
          <w:szCs w:val="24"/>
        </w:rPr>
        <w:t>ouverture de routes d</w:t>
      </w:r>
      <w:r w:rsidR="00A05714" w:rsidRPr="0097333C">
        <w:rPr>
          <w:rFonts w:ascii="Times New Roman" w:hAnsi="Times New Roman"/>
          <w:b/>
          <w:i w:val="0"/>
          <w:iCs w:val="0"/>
          <w:color w:val="auto"/>
          <w:sz w:val="24"/>
          <w:szCs w:val="24"/>
        </w:rPr>
        <w:t>’</w:t>
      </w:r>
      <w:r w:rsidRPr="0097333C">
        <w:rPr>
          <w:rFonts w:ascii="Times New Roman" w:hAnsi="Times New Roman"/>
          <w:b/>
          <w:i w:val="0"/>
          <w:iCs w:val="0"/>
          <w:color w:val="auto"/>
          <w:sz w:val="24"/>
          <w:szCs w:val="24"/>
        </w:rPr>
        <w:t>accès aux zones de production agricole, la construction de marchés locaux, etc.)</w:t>
      </w:r>
    </w:p>
    <w:p w:rsidR="009077FE" w:rsidRPr="00A05698" w:rsidRDefault="009077FE" w:rsidP="00157035">
      <w:pPr>
        <w:pStyle w:val="Cabealho3"/>
        <w:keepLines/>
        <w:numPr>
          <w:ilvl w:val="0"/>
          <w:numId w:val="107"/>
        </w:numPr>
        <w:spacing w:before="120" w:after="120"/>
        <w:jc w:val="both"/>
        <w:rPr>
          <w:rFonts w:ascii="Times New Roman" w:hAnsi="Times New Roman"/>
        </w:rPr>
      </w:pPr>
      <w:r w:rsidRPr="00A05698">
        <w:rPr>
          <w:rFonts w:ascii="Times New Roman" w:hAnsi="Times New Roman"/>
        </w:rPr>
        <w:t>Impacts positifs du projet en phase de mise en œuvre</w:t>
      </w:r>
    </w:p>
    <w:p w:rsidR="001026B9" w:rsidRPr="00A05698" w:rsidRDefault="00E341BD" w:rsidP="0097333C">
      <w:pPr>
        <w:ind w:left="-284" w:right="-851"/>
        <w:jc w:val="both"/>
      </w:pPr>
      <w:r w:rsidRPr="00A05698">
        <w:t>En phase préparation et de mise en œuvre,</w:t>
      </w:r>
      <w:r w:rsidR="00F53B3B" w:rsidRPr="00A05698">
        <w:t xml:space="preserve"> </w:t>
      </w:r>
      <w:r w:rsidR="00327A21" w:rsidRPr="00A05698">
        <w:t xml:space="preserve">les impacts positifs potentiels du projet </w:t>
      </w:r>
      <w:r w:rsidR="00660959" w:rsidRPr="00A05698">
        <w:t xml:space="preserve">PUSA </w:t>
      </w:r>
      <w:r w:rsidR="00327A21" w:rsidRPr="00A05698">
        <w:t xml:space="preserve">sont : </w:t>
      </w:r>
    </w:p>
    <w:p w:rsidR="001026B9" w:rsidRPr="0097333C" w:rsidRDefault="00242A77" w:rsidP="00157035">
      <w:pPr>
        <w:pStyle w:val="Listacommarcas2"/>
        <w:numPr>
          <w:ilvl w:val="0"/>
          <w:numId w:val="106"/>
        </w:numPr>
        <w:spacing w:line="240" w:lineRule="auto"/>
        <w:rPr>
          <w:rFonts w:ascii="Times New Roman" w:hAnsi="Times New Roman"/>
          <w:b/>
          <w:sz w:val="24"/>
          <w:lang w:val="fr-FR"/>
        </w:rPr>
      </w:pPr>
      <w:r w:rsidRPr="00A05698">
        <w:rPr>
          <w:rFonts w:ascii="Times New Roman" w:hAnsi="Times New Roman"/>
          <w:b/>
          <w:sz w:val="24"/>
          <w:lang w:val="fr-FR"/>
        </w:rPr>
        <w:t xml:space="preserve">La création d’emplois directs </w:t>
      </w:r>
    </w:p>
    <w:p w:rsidR="00BB6E3C" w:rsidRPr="00A05698" w:rsidRDefault="00242A77" w:rsidP="0097333C">
      <w:pPr>
        <w:ind w:left="-284" w:right="-851"/>
        <w:jc w:val="both"/>
      </w:pPr>
      <w:r w:rsidRPr="00A05698">
        <w:t>Les emplois attendus dans le cad</w:t>
      </w:r>
      <w:r w:rsidR="00A65D8E" w:rsidRPr="00A05698">
        <w:t xml:space="preserve">re des activités de </w:t>
      </w:r>
      <w:r w:rsidR="000C3A71" w:rsidRPr="00A05698">
        <w:t>réalisation</w:t>
      </w:r>
      <w:r w:rsidR="00674B97" w:rsidRPr="00A05698">
        <w:t xml:space="preserve"> des </w:t>
      </w:r>
      <w:r w:rsidR="005002CA" w:rsidRPr="00A05698">
        <w:t>structures</w:t>
      </w:r>
      <w:r w:rsidR="00AA6741" w:rsidRPr="00A05698">
        <w:t xml:space="preserve"> de </w:t>
      </w:r>
      <w:r w:rsidR="001A2E48" w:rsidRPr="00A05698">
        <w:t>stockage bâtiments, des voies d’</w:t>
      </w:r>
      <w:r w:rsidR="00A64EF2" w:rsidRPr="00A05698">
        <w:t>accès</w:t>
      </w:r>
      <w:r w:rsidR="001A2E48" w:rsidRPr="00A05698">
        <w:t xml:space="preserve"> et des construction</w:t>
      </w:r>
      <w:r w:rsidR="00A64EF2" w:rsidRPr="00A05698">
        <w:t>s</w:t>
      </w:r>
      <w:r w:rsidR="001A2E48" w:rsidRPr="00A05698">
        <w:t xml:space="preserve"> de</w:t>
      </w:r>
      <w:r w:rsidR="00886945" w:rsidRPr="00A05698">
        <w:t>s</w:t>
      </w:r>
      <w:r w:rsidR="001A2E48" w:rsidRPr="00A05698">
        <w:t xml:space="preserve"> marché</w:t>
      </w:r>
      <w:r w:rsidR="00886945" w:rsidRPr="00A05698">
        <w:t>s</w:t>
      </w:r>
      <w:r w:rsidR="00A64EF2" w:rsidRPr="00A05698">
        <w:t xml:space="preserve"> locaux dans les différentes zones</w:t>
      </w:r>
      <w:r w:rsidRPr="00A05698">
        <w:t xml:space="preserve"> concernées constituent une source d’espoir pour la main d’œuvre locale et de plus pour ceux q</w:t>
      </w:r>
      <w:r w:rsidR="007B3364" w:rsidRPr="00A05698">
        <w:t>ui intervien</w:t>
      </w:r>
      <w:r w:rsidR="00391D8D">
        <w:t>nen</w:t>
      </w:r>
      <w:r w:rsidR="007B3364" w:rsidRPr="00A05698">
        <w:t>t dans le BTP</w:t>
      </w:r>
      <w:r w:rsidRPr="00A05698">
        <w:t>.</w:t>
      </w:r>
    </w:p>
    <w:p w:rsidR="00242A77" w:rsidRPr="00A05698" w:rsidRDefault="00242A77" w:rsidP="00157035">
      <w:pPr>
        <w:pStyle w:val="Listacommarcas2"/>
        <w:numPr>
          <w:ilvl w:val="0"/>
          <w:numId w:val="106"/>
        </w:numPr>
        <w:spacing w:line="240" w:lineRule="auto"/>
        <w:rPr>
          <w:rFonts w:ascii="Times New Roman" w:hAnsi="Times New Roman"/>
          <w:b/>
          <w:sz w:val="24"/>
          <w:lang w:val="fr-FR"/>
        </w:rPr>
      </w:pPr>
      <w:r w:rsidRPr="00A05698">
        <w:rPr>
          <w:rFonts w:ascii="Times New Roman" w:hAnsi="Times New Roman"/>
          <w:b/>
          <w:sz w:val="24"/>
          <w:lang w:val="fr-FR"/>
        </w:rPr>
        <w:t xml:space="preserve">La création d’emplois indirects </w:t>
      </w:r>
    </w:p>
    <w:p w:rsidR="00420040" w:rsidRPr="00A05698" w:rsidRDefault="00242A77" w:rsidP="0097333C">
      <w:pPr>
        <w:ind w:left="-284" w:right="-851"/>
        <w:jc w:val="both"/>
      </w:pPr>
      <w:r w:rsidRPr="00A05698">
        <w:t xml:space="preserve">La présence des bases des chantiers engendrera inévitablement l’augmentation des revenus dans les activités commerciales (restaurants, boutiques, les vendeurs et vendeuses de denrées alimentaires, etc.) à proximité. </w:t>
      </w:r>
    </w:p>
    <w:p w:rsidR="00242A77" w:rsidRPr="00A05698" w:rsidRDefault="00242A77" w:rsidP="00157035">
      <w:pPr>
        <w:pStyle w:val="Listacommarcas2"/>
        <w:numPr>
          <w:ilvl w:val="0"/>
          <w:numId w:val="106"/>
        </w:numPr>
        <w:spacing w:line="240" w:lineRule="auto"/>
        <w:rPr>
          <w:rFonts w:ascii="Times New Roman" w:hAnsi="Times New Roman"/>
          <w:b/>
          <w:sz w:val="24"/>
          <w:lang w:val="fr-FR"/>
        </w:rPr>
      </w:pPr>
      <w:r w:rsidRPr="00A05698">
        <w:rPr>
          <w:rFonts w:ascii="Times New Roman" w:hAnsi="Times New Roman"/>
          <w:b/>
          <w:sz w:val="24"/>
          <w:lang w:val="fr-FR"/>
        </w:rPr>
        <w:t>Opportunités d’affaires pour des opérateurs économiques privés</w:t>
      </w:r>
    </w:p>
    <w:p w:rsidR="00420040" w:rsidRPr="00A05698" w:rsidRDefault="006128D1" w:rsidP="0097333C">
      <w:pPr>
        <w:ind w:left="-284" w:right="-851"/>
        <w:jc w:val="both"/>
      </w:pPr>
      <w:r w:rsidRPr="00A05698">
        <w:t>Les travaux de</w:t>
      </w:r>
      <w:r w:rsidR="00242A77" w:rsidRPr="00A05698">
        <w:t xml:space="preserve"> </w:t>
      </w:r>
      <w:r w:rsidR="00FF2FEF" w:rsidRPr="00A05698">
        <w:t>réalisation des structures de stockage bâtiments, des voies d’accès et des constructions de</w:t>
      </w:r>
      <w:r w:rsidR="00886945" w:rsidRPr="00A05698">
        <w:t>s</w:t>
      </w:r>
      <w:r w:rsidR="00FF2FEF" w:rsidRPr="00A05698">
        <w:t xml:space="preserve"> marché</w:t>
      </w:r>
      <w:r w:rsidR="00886945" w:rsidRPr="00A05698">
        <w:t>s</w:t>
      </w:r>
      <w:r w:rsidR="00FF2FEF" w:rsidRPr="00A05698">
        <w:t xml:space="preserve"> locaux </w:t>
      </w:r>
      <w:r w:rsidR="00242A77" w:rsidRPr="00A05698">
        <w:t>auront un impact positif en termes d</w:t>
      </w:r>
      <w:r w:rsidR="00A05714" w:rsidRPr="00A05698">
        <w:t>’</w:t>
      </w:r>
      <w:r w:rsidR="00242A77" w:rsidRPr="00A05698">
        <w:t>augmentation du revenu des populations locales et des différentes catégories socioprofessionnelles à travers l</w:t>
      </w:r>
      <w:r w:rsidR="00A05714" w:rsidRPr="00A05698">
        <w:t>’</w:t>
      </w:r>
      <w:r w:rsidR="00242A77" w:rsidRPr="00A05698">
        <w:t>utilisation des matériaux locaux. Qu</w:t>
      </w:r>
      <w:r w:rsidR="00A05714" w:rsidRPr="00A05698">
        <w:t>’</w:t>
      </w:r>
      <w:r w:rsidR="00242A77" w:rsidRPr="00A05698">
        <w:t>il s</w:t>
      </w:r>
      <w:r w:rsidR="00A05714" w:rsidRPr="00A05698">
        <w:t>’</w:t>
      </w:r>
      <w:r w:rsidR="00242A77" w:rsidRPr="00A05698">
        <w:t>agisse de matériaux d</w:t>
      </w:r>
      <w:r w:rsidR="00A05714" w:rsidRPr="00A05698">
        <w:t>’</w:t>
      </w:r>
      <w:r w:rsidR="00242A77" w:rsidRPr="00A05698">
        <w:t xml:space="preserve">emprunt (pierre, sable, gravier, latérite) ou </w:t>
      </w:r>
      <w:r w:rsidR="00681BD5" w:rsidRPr="00A05698">
        <w:t xml:space="preserve">d’achat </w:t>
      </w:r>
      <w:r w:rsidR="00681BD5">
        <w:t>de</w:t>
      </w:r>
      <w:r w:rsidR="00681BD5" w:rsidRPr="00A05698">
        <w:t xml:space="preserve"> </w:t>
      </w:r>
      <w:r w:rsidR="00971169">
        <w:t>matériaux</w:t>
      </w:r>
      <w:r w:rsidR="00971169" w:rsidRPr="00A05698">
        <w:t xml:space="preserve"> </w:t>
      </w:r>
      <w:r w:rsidR="00971169">
        <w:t>sur</w:t>
      </w:r>
      <w:r w:rsidR="00971169" w:rsidRPr="00A05698">
        <w:t xml:space="preserve"> </w:t>
      </w:r>
      <w:r w:rsidR="00971169">
        <w:t>le</w:t>
      </w:r>
      <w:r w:rsidR="00971169" w:rsidRPr="00A05698">
        <w:t xml:space="preserve"> </w:t>
      </w:r>
      <w:r w:rsidR="00971169">
        <w:t>marché́</w:t>
      </w:r>
      <w:r w:rsidR="00971169" w:rsidRPr="00A05698">
        <w:t xml:space="preserve"> </w:t>
      </w:r>
      <w:r w:rsidR="00971169">
        <w:t>local</w:t>
      </w:r>
      <w:r w:rsidR="00242A77" w:rsidRPr="00A05698">
        <w:t xml:space="preserve"> (ciment, bois traité, acier, etc.), les travaux auront comme effet d</w:t>
      </w:r>
      <w:r w:rsidR="00A05714" w:rsidRPr="00A05698">
        <w:t>’</w:t>
      </w:r>
      <w:r w:rsidR="00242A77" w:rsidRPr="00A05698">
        <w:t>injecter de l</w:t>
      </w:r>
      <w:r w:rsidR="00A05714" w:rsidRPr="00A05698">
        <w:t>’</w:t>
      </w:r>
      <w:r w:rsidR="00242A77" w:rsidRPr="00A05698">
        <w:t>argent frais dans les marches locales, ce qui contribuera au développement des activités socioéconomiques de manière plus directe pour le commerce des matériaux.</w:t>
      </w:r>
    </w:p>
    <w:p w:rsidR="00242A77" w:rsidRPr="00A05698" w:rsidRDefault="00242A77" w:rsidP="00157035">
      <w:pPr>
        <w:pStyle w:val="Cabealho3"/>
        <w:keepLines/>
        <w:numPr>
          <w:ilvl w:val="0"/>
          <w:numId w:val="107"/>
        </w:numPr>
        <w:spacing w:before="120" w:after="120"/>
        <w:jc w:val="both"/>
        <w:rPr>
          <w:rFonts w:ascii="Times New Roman" w:hAnsi="Times New Roman"/>
        </w:rPr>
      </w:pPr>
      <w:bookmarkStart w:id="239" w:name="_Toc55460153"/>
      <w:bookmarkStart w:id="240" w:name="_Toc55465546"/>
      <w:r w:rsidRPr="00A05698">
        <w:rPr>
          <w:rFonts w:ascii="Times New Roman" w:hAnsi="Times New Roman"/>
        </w:rPr>
        <w:t>Impacts positifs du projet en phase d’exploitation</w:t>
      </w:r>
      <w:bookmarkEnd w:id="239"/>
      <w:bookmarkEnd w:id="240"/>
    </w:p>
    <w:p w:rsidR="00420040" w:rsidRPr="00A05698" w:rsidRDefault="00242A77" w:rsidP="0097333C">
      <w:pPr>
        <w:ind w:left="-284" w:right="-851"/>
        <w:jc w:val="both"/>
      </w:pPr>
      <w:r w:rsidRPr="00A05698">
        <w:t xml:space="preserve">En phase d’exploitation les impacts positifs du projet sont : </w:t>
      </w:r>
    </w:p>
    <w:p w:rsidR="00242A77" w:rsidRPr="00A05698" w:rsidRDefault="00242A77" w:rsidP="00157035">
      <w:pPr>
        <w:pStyle w:val="Listacommarcas2"/>
        <w:numPr>
          <w:ilvl w:val="0"/>
          <w:numId w:val="106"/>
        </w:numPr>
        <w:spacing w:line="240" w:lineRule="auto"/>
        <w:rPr>
          <w:rFonts w:ascii="Times New Roman" w:hAnsi="Times New Roman"/>
          <w:b/>
          <w:sz w:val="24"/>
          <w:lang w:val="fr-FR"/>
        </w:rPr>
      </w:pPr>
      <w:r w:rsidRPr="00A05698">
        <w:rPr>
          <w:rFonts w:ascii="Times New Roman" w:hAnsi="Times New Roman"/>
          <w:b/>
          <w:sz w:val="24"/>
          <w:lang w:val="fr-FR"/>
        </w:rPr>
        <w:t xml:space="preserve">Opportunités d’emplois </w:t>
      </w:r>
    </w:p>
    <w:p w:rsidR="00420040" w:rsidRPr="00A05698" w:rsidRDefault="00324663" w:rsidP="0097333C">
      <w:pPr>
        <w:ind w:left="-284" w:right="-851"/>
        <w:jc w:val="both"/>
      </w:pPr>
      <w:r w:rsidRPr="00A05698">
        <w:t xml:space="preserve">La mise en service des </w:t>
      </w:r>
      <w:r w:rsidR="00396495" w:rsidRPr="00A05698">
        <w:t xml:space="preserve">structures </w:t>
      </w:r>
      <w:r w:rsidR="00517A22" w:rsidRPr="00A05698">
        <w:t>de stockage</w:t>
      </w:r>
      <w:r w:rsidR="00115E02" w:rsidRPr="00A05698">
        <w:t xml:space="preserve"> et des marchés </w:t>
      </w:r>
      <w:r w:rsidR="00A328E9" w:rsidRPr="00A05698">
        <w:t>locaux</w:t>
      </w:r>
      <w:r w:rsidR="00115E02" w:rsidRPr="00A05698">
        <w:t xml:space="preserve"> </w:t>
      </w:r>
      <w:r w:rsidR="00FA4B0E" w:rsidRPr="00A05698">
        <w:t>pourrait</w:t>
      </w:r>
      <w:r w:rsidR="00242A77" w:rsidRPr="00A05698">
        <w:t xml:space="preserve"> constituer une création d’emploi pour les jeunes des localités concernés car le projet peut offrir de</w:t>
      </w:r>
      <w:r w:rsidR="0028649C" w:rsidRPr="00A05698">
        <w:t>s emplois directs et permanents</w:t>
      </w:r>
      <w:r w:rsidR="00242A77" w:rsidRPr="00A05698">
        <w:t>. L</w:t>
      </w:r>
      <w:r w:rsidR="00A05714" w:rsidRPr="00A05698">
        <w:t>’</w:t>
      </w:r>
      <w:r w:rsidR="00242A77" w:rsidRPr="00A05698">
        <w:t>augmentation du revenu résultant de la création d</w:t>
      </w:r>
      <w:r w:rsidR="00A05714" w:rsidRPr="00A05698">
        <w:t>’</w:t>
      </w:r>
      <w:r w:rsidR="00242A77" w:rsidRPr="00A05698">
        <w:t>emplois contribuera à la lutte contre la pau</w:t>
      </w:r>
      <w:r w:rsidR="004C3A26" w:rsidRPr="00A05698">
        <w:t xml:space="preserve">vreté et </w:t>
      </w:r>
      <w:r w:rsidR="00DD4874" w:rsidRPr="00A05698">
        <w:t>l’insécurité alimentaire.</w:t>
      </w:r>
      <w:r w:rsidR="00242A77" w:rsidRPr="00A05698">
        <w:t xml:space="preserve"> </w:t>
      </w:r>
    </w:p>
    <w:p w:rsidR="00242A77" w:rsidRPr="00A05698" w:rsidRDefault="00242A77" w:rsidP="00157035">
      <w:pPr>
        <w:pStyle w:val="Listacommarcas2"/>
        <w:numPr>
          <w:ilvl w:val="0"/>
          <w:numId w:val="106"/>
        </w:numPr>
        <w:spacing w:line="240" w:lineRule="auto"/>
        <w:rPr>
          <w:rFonts w:ascii="Times New Roman" w:hAnsi="Times New Roman"/>
          <w:b/>
          <w:sz w:val="24"/>
          <w:lang w:val="fr-FR"/>
        </w:rPr>
      </w:pPr>
      <w:r w:rsidRPr="00A05698">
        <w:rPr>
          <w:rFonts w:ascii="Times New Roman" w:hAnsi="Times New Roman"/>
          <w:b/>
          <w:sz w:val="24"/>
          <w:lang w:val="fr-FR"/>
        </w:rPr>
        <w:t>Amélioration des conditions socio-économiques</w:t>
      </w:r>
    </w:p>
    <w:p w:rsidR="00242A77" w:rsidRPr="00A05698" w:rsidRDefault="00BB35B0" w:rsidP="00BB6E3C">
      <w:pPr>
        <w:ind w:left="-284" w:right="-851"/>
        <w:jc w:val="both"/>
      </w:pPr>
      <w:r w:rsidRPr="00A05698">
        <w:t>L</w:t>
      </w:r>
      <w:r w:rsidR="00A72612" w:rsidRPr="00A05698">
        <w:t>a réalisation des infrastru</w:t>
      </w:r>
      <w:r w:rsidR="006A3309" w:rsidRPr="00A05698">
        <w:t xml:space="preserve">ctures </w:t>
      </w:r>
      <w:r w:rsidR="00242A77" w:rsidRPr="00A05698">
        <w:t>permettra d’impulser un développement quantitatif et qualitatif de la gestion des affaires et une nouvelle possibilité de dévelo</w:t>
      </w:r>
      <w:r w:rsidR="00B8355A" w:rsidRPr="00A05698">
        <w:t>ppement économique des zones</w:t>
      </w:r>
      <w:r w:rsidR="00242A77" w:rsidRPr="00A05698">
        <w:t xml:space="preserve"> concernées grâce aux investisseurs nationaux comme internationaux. En plus, </w:t>
      </w:r>
      <w:r w:rsidR="00341E34" w:rsidRPr="00A05698">
        <w:t xml:space="preserve">ces futures </w:t>
      </w:r>
      <w:r w:rsidR="00EB48FB" w:rsidRPr="00A05698">
        <w:t>réalisations</w:t>
      </w:r>
      <w:r w:rsidR="00341E34" w:rsidRPr="00A05698">
        <w:t xml:space="preserve"> </w:t>
      </w:r>
      <w:r w:rsidR="00EB48FB" w:rsidRPr="00A05698">
        <w:t>permettront</w:t>
      </w:r>
      <w:r w:rsidR="00242A77" w:rsidRPr="00A05698">
        <w:t xml:space="preserve"> une augmentation de la </w:t>
      </w:r>
      <w:r w:rsidR="00681BD5" w:rsidRPr="00A05698">
        <w:t>capacité́</w:t>
      </w:r>
      <w:r w:rsidR="00681BD5">
        <w:t xml:space="preserve"> </w:t>
      </w:r>
      <w:r w:rsidR="00681BD5" w:rsidRPr="00A05698">
        <w:t>stockage</w:t>
      </w:r>
      <w:r w:rsidR="00242A77" w:rsidRPr="00A05698">
        <w:t xml:space="preserve"> des récoltes dans les zones marquées par des problèmes d’inf</w:t>
      </w:r>
      <w:r w:rsidR="00701BFB" w:rsidRPr="00A05698">
        <w:t>rastructure stockage pour une</w:t>
      </w:r>
      <w:r w:rsidR="00242A77" w:rsidRPr="00A05698">
        <w:t xml:space="preserve"> sécurisation de la récolte contre les insectes et autres rongeurs, la préservation de la qualité des produits et l’augmentation de la durée de conservation. </w:t>
      </w:r>
    </w:p>
    <w:p w:rsidR="00420040" w:rsidRPr="00A05698" w:rsidRDefault="00420040" w:rsidP="00BB6E3C">
      <w:pPr>
        <w:ind w:left="-284" w:right="-851"/>
        <w:jc w:val="both"/>
      </w:pPr>
    </w:p>
    <w:p w:rsidR="00EC77B0" w:rsidRDefault="006609F1" w:rsidP="008371D1">
      <w:pPr>
        <w:ind w:left="-284" w:right="-851"/>
        <w:jc w:val="both"/>
      </w:pPr>
      <w:r w:rsidRPr="00A05698">
        <w:t>Le projet PUSA</w:t>
      </w:r>
      <w:r w:rsidR="00242A77" w:rsidRPr="00A05698">
        <w:t xml:space="preserve"> va permettre d’améliorer les conditions de travail des différents acteurs </w:t>
      </w:r>
      <w:r w:rsidR="00B55F3D" w:rsidRPr="00A05698">
        <w:t>(</w:t>
      </w:r>
      <w:r w:rsidR="00422F19" w:rsidRPr="00A05698">
        <w:t xml:space="preserve">agricultures, producteurs de noix de </w:t>
      </w:r>
      <w:r w:rsidR="00B857C6" w:rsidRPr="00A05698">
        <w:t xml:space="preserve">cajou, commerçants, etc.) </w:t>
      </w:r>
      <w:r w:rsidR="00F5779A" w:rsidRPr="00A05698">
        <w:t>en apportant des</w:t>
      </w:r>
      <w:r w:rsidR="00242A77" w:rsidRPr="00A05698">
        <w:t xml:space="preserve"> </w:t>
      </w:r>
      <w:r w:rsidR="00E75EF5" w:rsidRPr="00A05698">
        <w:t>appuis considérable</w:t>
      </w:r>
      <w:r w:rsidR="00242A77" w:rsidRPr="00A05698">
        <w:t xml:space="preserve"> </w:t>
      </w:r>
      <w:r w:rsidR="00F5779A" w:rsidRPr="00A05698">
        <w:t>(</w:t>
      </w:r>
      <w:r w:rsidR="00E75EF5" w:rsidRPr="00A05698">
        <w:t>matériel,</w:t>
      </w:r>
      <w:r w:rsidR="009B57E2" w:rsidRPr="00A05698">
        <w:t xml:space="preserve"> finance, voies d’accès,</w:t>
      </w:r>
      <w:r w:rsidR="00C82F22" w:rsidRPr="00A05698">
        <w:t xml:space="preserve"> marchés locaux, </w:t>
      </w:r>
      <w:r w:rsidR="003D2BEA" w:rsidRPr="00A05698">
        <w:t>etc.</w:t>
      </w:r>
      <w:r w:rsidR="008719DC" w:rsidRPr="00A05698">
        <w:t>..</w:t>
      </w:r>
      <w:r w:rsidR="00242A77" w:rsidRPr="00A05698">
        <w:t xml:space="preserve"> </w:t>
      </w:r>
    </w:p>
    <w:p w:rsidR="00E23B91" w:rsidRDefault="00E23B91" w:rsidP="008371D1">
      <w:pPr>
        <w:ind w:left="-284" w:right="-851"/>
        <w:jc w:val="both"/>
      </w:pPr>
    </w:p>
    <w:p w:rsidR="00EC77B0" w:rsidRPr="00E23B91" w:rsidRDefault="00AE102A" w:rsidP="008371D1">
      <w:pPr>
        <w:ind w:left="-284" w:right="-851"/>
        <w:jc w:val="both"/>
      </w:pPr>
      <w:r w:rsidRPr="00E23B91">
        <w:t>Grace à l’appuis au niveau de l’</w:t>
      </w:r>
      <w:r w:rsidR="00E23B91" w:rsidRPr="00E23B91">
        <w:t>élevage</w:t>
      </w:r>
      <w:r w:rsidRPr="00E23B91">
        <w:t xml:space="preserve"> par rapport aux</w:t>
      </w:r>
      <w:r w:rsidRPr="008371D1">
        <w:t xml:space="preserve"> vaccinations, la vermifications</w:t>
      </w:r>
      <w:r w:rsidR="00E23B91" w:rsidRPr="008371D1">
        <w:t xml:space="preserve"> </w:t>
      </w:r>
      <w:r w:rsidRPr="008371D1">
        <w:t xml:space="preserve">permettra de </w:t>
      </w:r>
      <w:r w:rsidR="001B47B9" w:rsidRPr="008371D1">
        <w:t>réduire</w:t>
      </w:r>
      <w:r w:rsidRPr="008371D1">
        <w:t xml:space="preserve"> les</w:t>
      </w:r>
      <w:r w:rsidR="00EC77B0" w:rsidRPr="008371D1">
        <w:t xml:space="preserve"> difficultés des éleveurs par rapport à la </w:t>
      </w:r>
      <w:r w:rsidR="00786E23" w:rsidRPr="008371D1">
        <w:t>santé</w:t>
      </w:r>
      <w:r w:rsidR="00EC77B0" w:rsidRPr="008371D1">
        <w:t xml:space="preserve"> des </w:t>
      </w:r>
      <w:r w:rsidR="00E23B91" w:rsidRPr="008371D1">
        <w:t xml:space="preserve">animaux, </w:t>
      </w:r>
      <w:r w:rsidR="00E23B91" w:rsidRPr="00E23B91">
        <w:t>l’amélioration</w:t>
      </w:r>
      <w:r w:rsidR="00EC77B0" w:rsidRPr="00E23B91">
        <w:t xml:space="preserve"> de la qualité des services offerts aux transhumants notamment</w:t>
      </w:r>
      <w:r w:rsidR="001B47B9" w:rsidRPr="00E23B91">
        <w:t xml:space="preserve"> </w:t>
      </w:r>
      <w:r w:rsidR="00EC77B0" w:rsidRPr="00E23B91">
        <w:t xml:space="preserve">la sécurité alimentaire, des conditions d'accès aux infrastructures </w:t>
      </w:r>
      <w:r w:rsidR="001B47B9" w:rsidRPr="00E23B91">
        <w:t>sociales, a</w:t>
      </w:r>
      <w:r w:rsidR="00EC77B0" w:rsidRPr="00E23B91">
        <w:t>u développement de l'entreprenariat rural dans le domaine de l'élevage (embouche ovine et caprine &amp; avicole)</w:t>
      </w:r>
      <w:r w:rsidR="00E23B91" w:rsidRPr="00E23B91">
        <w:t>, à</w:t>
      </w:r>
      <w:r w:rsidR="00EC77B0" w:rsidRPr="00E23B91">
        <w:t xml:space="preserve"> l'amélioration de la qualité nutritionnelle de la famille ;</w:t>
      </w:r>
    </w:p>
    <w:p w:rsidR="00420040" w:rsidRPr="00A05698" w:rsidRDefault="00420040" w:rsidP="003171E1">
      <w:pPr>
        <w:ind w:right="-851"/>
        <w:jc w:val="both"/>
      </w:pPr>
    </w:p>
    <w:p w:rsidR="00242A77" w:rsidRPr="00A05698" w:rsidRDefault="00242A77" w:rsidP="00C87747">
      <w:pPr>
        <w:pStyle w:val="Primeiroavanodecorpodetexto2"/>
        <w:spacing w:after="0" w:line="240" w:lineRule="auto"/>
        <w:jc w:val="center"/>
        <w:rPr>
          <w:rFonts w:ascii="Times New Roman" w:hAnsi="Times New Roman"/>
          <w:b/>
        </w:rPr>
      </w:pPr>
      <w:bookmarkStart w:id="241" w:name="_Toc55460642"/>
      <w:bookmarkStart w:id="242" w:name="_Toc73522621"/>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D51AB3">
        <w:rPr>
          <w:rFonts w:ascii="Times New Roman" w:hAnsi="Times New Roman"/>
          <w:b/>
          <w:noProof/>
        </w:rPr>
        <w:t>15</w:t>
      </w:r>
      <w:r w:rsidRPr="00A05698">
        <w:rPr>
          <w:rFonts w:ascii="Times New Roman" w:hAnsi="Times New Roman"/>
          <w:b/>
        </w:rPr>
        <w:fldChar w:fldCharType="end"/>
      </w:r>
      <w:r w:rsidRPr="00A05698">
        <w:rPr>
          <w:rFonts w:ascii="Times New Roman" w:hAnsi="Times New Roman"/>
          <w:b/>
        </w:rPr>
        <w:t>. Synthèse des impacts positifs de la mise en œuvre des activités du projet</w:t>
      </w:r>
      <w:bookmarkEnd w:id="241"/>
      <w:bookmarkEnd w:id="242"/>
    </w:p>
    <w:tbl>
      <w:tblPr>
        <w:tblStyle w:val="TableauGrille2-Accentuation61"/>
        <w:tblW w:w="6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9255"/>
      </w:tblGrid>
      <w:tr w:rsidR="00242A77" w:rsidRPr="00843722" w:rsidTr="00EF2FC6">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tcBorders>
            <w:shd w:val="clear" w:color="auto" w:fill="EDEDED" w:themeFill="accent3" w:themeFillTint="33"/>
            <w:vAlign w:val="center"/>
          </w:tcPr>
          <w:p w:rsidR="00242A77" w:rsidRPr="00843722" w:rsidRDefault="00242A77" w:rsidP="004F4212">
            <w:pPr>
              <w:autoSpaceDE w:val="0"/>
              <w:autoSpaceDN w:val="0"/>
              <w:adjustRightInd w:val="0"/>
              <w:jc w:val="center"/>
              <w:rPr>
                <w:rFonts w:eastAsia="Calibri"/>
                <w:color w:val="000000"/>
                <w:sz w:val="21"/>
                <w:szCs w:val="21"/>
              </w:rPr>
            </w:pPr>
            <w:r w:rsidRPr="00843722">
              <w:rPr>
                <w:rFonts w:eastAsia="Calibri"/>
                <w:color w:val="000000"/>
                <w:sz w:val="21"/>
                <w:szCs w:val="21"/>
              </w:rPr>
              <w:t>Activités</w:t>
            </w:r>
          </w:p>
        </w:tc>
        <w:tc>
          <w:tcPr>
            <w:tcW w:w="9026" w:type="dxa"/>
            <w:tcBorders>
              <w:top w:val="single" w:sz="4" w:space="0" w:color="auto"/>
            </w:tcBorders>
            <w:shd w:val="clear" w:color="auto" w:fill="EDEDED" w:themeFill="accent3" w:themeFillTint="33"/>
          </w:tcPr>
          <w:p w:rsidR="00242A77" w:rsidRPr="00843722" w:rsidRDefault="00242A77" w:rsidP="004F421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olor w:val="000000"/>
                <w:sz w:val="21"/>
                <w:szCs w:val="21"/>
              </w:rPr>
            </w:pPr>
            <w:r w:rsidRPr="00843722">
              <w:rPr>
                <w:rFonts w:eastAsia="Calibri"/>
                <w:color w:val="000000"/>
                <w:sz w:val="21"/>
                <w:szCs w:val="21"/>
              </w:rPr>
              <w:t>Impacts positifs majeurs du projet</w:t>
            </w:r>
          </w:p>
        </w:tc>
      </w:tr>
      <w:tr w:rsidR="00242A77" w:rsidRPr="00843722" w:rsidTr="004200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3" w:type="dxa"/>
            <w:vMerge w:val="restart"/>
            <w:shd w:val="clear" w:color="auto" w:fill="FFFFFF"/>
            <w:vAlign w:val="center"/>
          </w:tcPr>
          <w:p w:rsidR="00D13ABB" w:rsidRPr="00843722" w:rsidRDefault="00D13ABB" w:rsidP="00420040">
            <w:pPr>
              <w:spacing w:before="60" w:after="60"/>
              <w:jc w:val="center"/>
              <w:rPr>
                <w:sz w:val="21"/>
                <w:szCs w:val="21"/>
              </w:rPr>
            </w:pPr>
            <w:r w:rsidRPr="00843722">
              <w:rPr>
                <w:sz w:val="21"/>
                <w:szCs w:val="21"/>
                <w:u w:val="single"/>
              </w:rPr>
              <w:t>Soutien à la production agricole</w:t>
            </w:r>
          </w:p>
          <w:p w:rsidR="00242A77" w:rsidRPr="00843722" w:rsidRDefault="00242A77" w:rsidP="00420040">
            <w:pPr>
              <w:jc w:val="center"/>
              <w:rPr>
                <w:rFonts w:eastAsia="Calibri"/>
                <w:color w:val="000000"/>
                <w:sz w:val="21"/>
                <w:szCs w:val="21"/>
              </w:rPr>
            </w:pPr>
          </w:p>
        </w:tc>
        <w:tc>
          <w:tcPr>
            <w:tcW w:w="9026" w:type="dxa"/>
            <w:shd w:val="clear" w:color="auto" w:fill="DEEAF6" w:themeFill="accent1" w:themeFillTint="33"/>
          </w:tcPr>
          <w:p w:rsidR="00242A77" w:rsidRPr="00843722" w:rsidRDefault="005467AB" w:rsidP="004F42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000000"/>
                <w:sz w:val="21"/>
                <w:szCs w:val="21"/>
              </w:rPr>
            </w:pPr>
            <w:r w:rsidRPr="00843722">
              <w:rPr>
                <w:rFonts w:eastAsia="Calibri"/>
                <w:b/>
                <w:sz w:val="21"/>
                <w:szCs w:val="21"/>
              </w:rPr>
              <w:t>Phase d’exploitation</w:t>
            </w:r>
          </w:p>
        </w:tc>
      </w:tr>
      <w:tr w:rsidR="00242A77" w:rsidRPr="00843722" w:rsidTr="00EF2FC6">
        <w:trPr>
          <w:jc w:val="center"/>
        </w:trPr>
        <w:tc>
          <w:tcPr>
            <w:cnfStyle w:val="001000000000" w:firstRow="0" w:lastRow="0" w:firstColumn="1" w:lastColumn="0" w:oddVBand="0" w:evenVBand="0" w:oddHBand="0" w:evenHBand="0" w:firstRowFirstColumn="0" w:firstRowLastColumn="0" w:lastRowFirstColumn="0" w:lastRowLastColumn="0"/>
            <w:tcW w:w="1883" w:type="dxa"/>
            <w:vMerge/>
            <w:shd w:val="clear" w:color="auto" w:fill="FFFFFF"/>
            <w:vAlign w:val="center"/>
          </w:tcPr>
          <w:p w:rsidR="00242A77" w:rsidRPr="00843722" w:rsidRDefault="00242A77" w:rsidP="004F4212">
            <w:pPr>
              <w:rPr>
                <w:rFonts w:eastAsia="Calibri"/>
                <w:color w:val="000000"/>
                <w:sz w:val="21"/>
                <w:szCs w:val="21"/>
              </w:rPr>
            </w:pPr>
          </w:p>
        </w:tc>
        <w:tc>
          <w:tcPr>
            <w:tcW w:w="9026" w:type="dxa"/>
          </w:tcPr>
          <w:p w:rsidR="00843722" w:rsidRPr="00843722" w:rsidRDefault="00AF4F28" w:rsidP="00843722">
            <w:pPr>
              <w:jc w:val="both"/>
              <w:cnfStyle w:val="000000000000" w:firstRow="0" w:lastRow="0" w:firstColumn="0" w:lastColumn="0" w:oddVBand="0" w:evenVBand="0" w:oddHBand="0" w:evenHBand="0" w:firstRowFirstColumn="0" w:firstRowLastColumn="0" w:lastRowFirstColumn="0" w:lastRowLastColumn="0"/>
              <w:rPr>
                <w:sz w:val="21"/>
                <w:szCs w:val="21"/>
              </w:rPr>
            </w:pPr>
            <w:r w:rsidRPr="00843722">
              <w:rPr>
                <w:b/>
                <w:sz w:val="21"/>
                <w:szCs w:val="21"/>
              </w:rPr>
              <w:t>L’augmentation de la vulgarisation des techniques agricoles nouvelles</w:t>
            </w:r>
            <w:r w:rsidRPr="00843722">
              <w:rPr>
                <w:sz w:val="21"/>
                <w:szCs w:val="21"/>
              </w:rPr>
              <w:t xml:space="preserve"> contribuera à l’optimisation des rendements sans un accroissement des terres de culture en défaveur des pâturages.</w:t>
            </w:r>
          </w:p>
          <w:p w:rsidR="00AF4F28" w:rsidRPr="00843722" w:rsidRDefault="00AF4F28" w:rsidP="004F4212">
            <w:pPr>
              <w:jc w:val="both"/>
              <w:cnfStyle w:val="000000000000" w:firstRow="0" w:lastRow="0" w:firstColumn="0" w:lastColumn="0" w:oddVBand="0" w:evenVBand="0" w:oddHBand="0" w:evenHBand="0" w:firstRowFirstColumn="0" w:firstRowLastColumn="0" w:lastRowFirstColumn="0" w:lastRowLastColumn="0"/>
              <w:rPr>
                <w:sz w:val="21"/>
                <w:szCs w:val="21"/>
              </w:rPr>
            </w:pPr>
            <w:r w:rsidRPr="00843722">
              <w:rPr>
                <w:sz w:val="21"/>
                <w:szCs w:val="21"/>
              </w:rPr>
              <w:t xml:space="preserve"> </w:t>
            </w:r>
          </w:p>
          <w:p w:rsidR="00FF2D0C" w:rsidRPr="00843722" w:rsidRDefault="00FF2D0C" w:rsidP="004F4212">
            <w:pPr>
              <w:jc w:val="both"/>
              <w:cnfStyle w:val="000000000000" w:firstRow="0" w:lastRow="0" w:firstColumn="0" w:lastColumn="0" w:oddVBand="0" w:evenVBand="0" w:oddHBand="0" w:evenHBand="0" w:firstRowFirstColumn="0" w:firstRowLastColumn="0" w:lastRowFirstColumn="0" w:lastRowLastColumn="0"/>
              <w:rPr>
                <w:b/>
                <w:sz w:val="21"/>
                <w:szCs w:val="21"/>
              </w:rPr>
            </w:pPr>
            <w:r w:rsidRPr="00843722">
              <w:rPr>
                <w:b/>
                <w:sz w:val="21"/>
                <w:szCs w:val="21"/>
              </w:rPr>
              <w:t>Valorisati</w:t>
            </w:r>
            <w:r w:rsidR="009C4C9B" w:rsidRPr="00843722">
              <w:rPr>
                <w:b/>
                <w:sz w:val="21"/>
                <w:szCs w:val="21"/>
              </w:rPr>
              <w:t>on et Organisation dans le secteur agricole</w:t>
            </w:r>
          </w:p>
          <w:p w:rsidR="00EF2FC6" w:rsidRPr="00843722" w:rsidRDefault="00EF2FC6"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 xml:space="preserve">Une </w:t>
            </w:r>
            <w:r w:rsidR="002E372A" w:rsidRPr="00843722">
              <w:rPr>
                <w:rFonts w:ascii="Times New Roman" w:hAnsi="Times New Roman"/>
                <w:sz w:val="21"/>
                <w:szCs w:val="21"/>
              </w:rPr>
              <w:t>meilleure organisation du segment de la production et de la commercialisation des noix de cajou et des produits céréalière permettra une meilleure valorisation de ces produits</w:t>
            </w:r>
            <w:r w:rsidRPr="00843722">
              <w:rPr>
                <w:rFonts w:ascii="Times New Roman" w:hAnsi="Times New Roman"/>
                <w:sz w:val="21"/>
                <w:szCs w:val="21"/>
              </w:rPr>
              <w:t>.</w:t>
            </w:r>
          </w:p>
          <w:p w:rsidR="00FF2D0C" w:rsidRPr="00843722" w:rsidRDefault="00657B2A"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Le</w:t>
            </w:r>
            <w:r w:rsidR="002158D2" w:rsidRPr="00843722">
              <w:rPr>
                <w:rFonts w:ascii="Times New Roman" w:hAnsi="Times New Roman"/>
                <w:sz w:val="21"/>
                <w:szCs w:val="21"/>
              </w:rPr>
              <w:t xml:space="preserve"> projet</w:t>
            </w:r>
            <w:r w:rsidR="00FF2D0C" w:rsidRPr="00843722">
              <w:rPr>
                <w:rFonts w:ascii="Times New Roman" w:hAnsi="Times New Roman"/>
                <w:sz w:val="21"/>
                <w:szCs w:val="21"/>
              </w:rPr>
              <w:t xml:space="preserve"> permettra de lever certaines contraintes majeures par rapport à la commercialisation des noix de cajou et de booster les cultures vivrières. </w:t>
            </w:r>
          </w:p>
          <w:p w:rsidR="00D600C9" w:rsidRPr="00843722" w:rsidRDefault="00FF2D0C"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 xml:space="preserve">La réduction des spéculateurs dans les marchés locaux, </w:t>
            </w:r>
          </w:p>
          <w:p w:rsidR="00D600C9" w:rsidRPr="00843722" w:rsidRDefault="00FF2D0C"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 xml:space="preserve">La restauration de la confiance des producteurs aux opérateurs à travers des mécanismes de contractualisation plus adaptés. </w:t>
            </w:r>
          </w:p>
          <w:p w:rsidR="000A657D" w:rsidRPr="00843722" w:rsidRDefault="00ED2ABD"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 xml:space="preserve">L’intensification de la riziculture va consacrer la diversification de la production agricole permettant non seulement une autosuffisance alimentaire, mais aussi un enrichissement des zones de culture par les rotations culturales. </w:t>
            </w:r>
          </w:p>
          <w:p w:rsidR="000270FB" w:rsidRPr="00843722" w:rsidRDefault="000270FB" w:rsidP="00517052">
            <w:pPr>
              <w:pStyle w:val="PargrafodaLista"/>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p w:rsidR="000270FB" w:rsidRPr="00843722" w:rsidRDefault="000270FB" w:rsidP="00517052">
            <w:pPr>
              <w:jc w:val="both"/>
              <w:cnfStyle w:val="000000000000" w:firstRow="0" w:lastRow="0" w:firstColumn="0" w:lastColumn="0" w:oddVBand="0" w:evenVBand="0" w:oddHBand="0" w:evenHBand="0" w:firstRowFirstColumn="0" w:firstRowLastColumn="0" w:lastRowFirstColumn="0" w:lastRowLastColumn="0"/>
              <w:rPr>
                <w:b/>
                <w:sz w:val="21"/>
                <w:szCs w:val="21"/>
              </w:rPr>
            </w:pPr>
            <w:r w:rsidRPr="00843722">
              <w:rPr>
                <w:b/>
                <w:sz w:val="21"/>
                <w:szCs w:val="21"/>
              </w:rPr>
              <w:t>La fourniture de semences et d’engrais va permettre de doper le système de production agricole dans une perspective d’autosuffisance alimentaire</w:t>
            </w:r>
            <w:r w:rsidR="00946BB0" w:rsidRPr="00843722">
              <w:rPr>
                <w:b/>
                <w:sz w:val="21"/>
                <w:szCs w:val="21"/>
              </w:rPr>
              <w:t> ;</w:t>
            </w:r>
          </w:p>
          <w:p w:rsidR="0056439E" w:rsidRPr="00843722" w:rsidRDefault="0056439E" w:rsidP="00517052">
            <w:pPr>
              <w:jc w:val="both"/>
              <w:cnfStyle w:val="000000000000" w:firstRow="0" w:lastRow="0" w:firstColumn="0" w:lastColumn="0" w:oddVBand="0" w:evenVBand="0" w:oddHBand="0" w:evenHBand="0" w:firstRowFirstColumn="0" w:firstRowLastColumn="0" w:lastRowFirstColumn="0" w:lastRowLastColumn="0"/>
              <w:rPr>
                <w:b/>
                <w:sz w:val="21"/>
                <w:szCs w:val="21"/>
              </w:rPr>
            </w:pPr>
          </w:p>
          <w:p w:rsidR="0056439E" w:rsidRPr="00843722" w:rsidRDefault="0056439E" w:rsidP="00517052">
            <w:pPr>
              <w:jc w:val="both"/>
              <w:cnfStyle w:val="000000000000" w:firstRow="0" w:lastRow="0" w:firstColumn="0" w:lastColumn="0" w:oddVBand="0" w:evenVBand="0" w:oddHBand="0" w:evenHBand="0" w:firstRowFirstColumn="0" w:firstRowLastColumn="0" w:lastRowFirstColumn="0" w:lastRowLastColumn="0"/>
              <w:rPr>
                <w:b/>
                <w:sz w:val="21"/>
                <w:szCs w:val="21"/>
              </w:rPr>
            </w:pPr>
            <w:r w:rsidRPr="00843722">
              <w:rPr>
                <w:b/>
                <w:sz w:val="21"/>
                <w:szCs w:val="21"/>
              </w:rPr>
              <w:t>Les infrastructures et équipement de production comme les motoculteurs sont un important vecteur de développement des capacités, d’amélioration de la productivité, de gain de compétitivité et finalement de développement économique et d’amélioration des conditions de vie et de revenus des producteurs</w:t>
            </w:r>
            <w:r w:rsidR="00DE58B7" w:rsidRPr="00843722">
              <w:rPr>
                <w:b/>
                <w:sz w:val="21"/>
                <w:szCs w:val="21"/>
              </w:rPr>
              <w:t> ;</w:t>
            </w:r>
          </w:p>
          <w:p w:rsidR="005E07F4" w:rsidRPr="00843722" w:rsidRDefault="005E07F4" w:rsidP="00517052">
            <w:pPr>
              <w:jc w:val="both"/>
              <w:cnfStyle w:val="000000000000" w:firstRow="0" w:lastRow="0" w:firstColumn="0" w:lastColumn="0" w:oddVBand="0" w:evenVBand="0" w:oddHBand="0" w:evenHBand="0" w:firstRowFirstColumn="0" w:firstRowLastColumn="0" w:lastRowFirstColumn="0" w:lastRowLastColumn="0"/>
              <w:rPr>
                <w:b/>
                <w:sz w:val="21"/>
                <w:szCs w:val="21"/>
              </w:rPr>
            </w:pPr>
          </w:p>
          <w:p w:rsidR="005E07F4" w:rsidRPr="00843722" w:rsidRDefault="005E07F4" w:rsidP="00517052">
            <w:pPr>
              <w:jc w:val="both"/>
              <w:cnfStyle w:val="000000000000" w:firstRow="0" w:lastRow="0" w:firstColumn="0" w:lastColumn="0" w:oddVBand="0" w:evenVBand="0" w:oddHBand="0" w:evenHBand="0" w:firstRowFirstColumn="0" w:firstRowLastColumn="0" w:lastRowFirstColumn="0" w:lastRowLastColumn="0"/>
              <w:rPr>
                <w:b/>
                <w:sz w:val="21"/>
                <w:szCs w:val="21"/>
              </w:rPr>
            </w:pPr>
            <w:r w:rsidRPr="00843722">
              <w:rPr>
                <w:b/>
                <w:color w:val="000000"/>
                <w:sz w:val="21"/>
                <w:szCs w:val="21"/>
                <w:lang w:eastAsia="en-US"/>
              </w:rPr>
              <w:t xml:space="preserve">Les services de conseils pour les producteurs vont consacrer </w:t>
            </w:r>
            <w:r w:rsidR="00A57DCB" w:rsidRPr="00843722">
              <w:rPr>
                <w:b/>
                <w:color w:val="000000"/>
                <w:sz w:val="21"/>
                <w:szCs w:val="21"/>
                <w:lang w:eastAsia="en-US"/>
              </w:rPr>
              <w:t>une meilleure maîtrise</w:t>
            </w:r>
            <w:r w:rsidRPr="00843722">
              <w:rPr>
                <w:b/>
                <w:color w:val="000000"/>
                <w:sz w:val="21"/>
                <w:szCs w:val="21"/>
                <w:lang w:eastAsia="en-US"/>
              </w:rPr>
              <w:t xml:space="preserve"> de la production et de la productivité des périmètres rizicoles en permettant non seulement une autosuffisance alimentaire</w:t>
            </w:r>
            <w:r w:rsidR="00DE58B7" w:rsidRPr="00843722">
              <w:rPr>
                <w:b/>
                <w:color w:val="000000"/>
                <w:sz w:val="21"/>
                <w:szCs w:val="21"/>
                <w:lang w:eastAsia="en-US"/>
              </w:rPr>
              <w:t> ;</w:t>
            </w:r>
          </w:p>
          <w:p w:rsidR="00A22D7A" w:rsidRPr="00843722" w:rsidRDefault="00A22D7A" w:rsidP="004F421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b/>
                <w:sz w:val="21"/>
                <w:szCs w:val="21"/>
              </w:rPr>
            </w:pPr>
            <w:r w:rsidRPr="00843722">
              <w:rPr>
                <w:rFonts w:eastAsia="Calibri"/>
                <w:b/>
                <w:sz w:val="21"/>
                <w:szCs w:val="21"/>
              </w:rPr>
              <w:t>Amélioration des conditions de vie de la population</w:t>
            </w:r>
            <w:r w:rsidR="004D72D2" w:rsidRPr="00843722">
              <w:rPr>
                <w:rFonts w:eastAsia="Calibri"/>
                <w:b/>
                <w:sz w:val="21"/>
                <w:szCs w:val="21"/>
              </w:rPr>
              <w:t> :</w:t>
            </w:r>
          </w:p>
          <w:p w:rsidR="00D13ABB" w:rsidRPr="00843722" w:rsidRDefault="006072CD"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la réduction</w:t>
            </w:r>
            <w:r w:rsidR="00ED0CB3" w:rsidRPr="00843722">
              <w:rPr>
                <w:rFonts w:ascii="Times New Roman" w:hAnsi="Times New Roman"/>
                <w:sz w:val="21"/>
                <w:szCs w:val="21"/>
              </w:rPr>
              <w:t xml:space="preserve"> de la pauvreté au niveau des populations vulnérables exposées à l</w:t>
            </w:r>
            <w:r w:rsidR="00A05714" w:rsidRPr="00843722">
              <w:rPr>
                <w:rFonts w:ascii="Times New Roman" w:hAnsi="Times New Roman"/>
                <w:sz w:val="21"/>
                <w:szCs w:val="21"/>
              </w:rPr>
              <w:t>’</w:t>
            </w:r>
            <w:r w:rsidR="00ED0CB3" w:rsidRPr="00843722">
              <w:rPr>
                <w:rFonts w:ascii="Times New Roman" w:hAnsi="Times New Roman"/>
                <w:sz w:val="21"/>
                <w:szCs w:val="21"/>
              </w:rPr>
              <w:t>insécurité alimentaire</w:t>
            </w:r>
          </w:p>
          <w:p w:rsidR="00A8277E" w:rsidRPr="00843722" w:rsidRDefault="00A8277E"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l</w:t>
            </w:r>
            <w:r w:rsidR="00A05714" w:rsidRPr="00843722">
              <w:rPr>
                <w:rFonts w:ascii="Times New Roman" w:hAnsi="Times New Roman"/>
                <w:sz w:val="21"/>
                <w:szCs w:val="21"/>
              </w:rPr>
              <w:t>’</w:t>
            </w:r>
            <w:r w:rsidRPr="00843722">
              <w:rPr>
                <w:rFonts w:ascii="Times New Roman" w:hAnsi="Times New Roman"/>
                <w:sz w:val="21"/>
                <w:szCs w:val="21"/>
              </w:rPr>
              <w:t>amélioration des conditions de vie des agriculteurs ;</w:t>
            </w:r>
          </w:p>
          <w:p w:rsidR="00A8277E" w:rsidRPr="00843722" w:rsidRDefault="00A8277E"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la sédentarisation des populations à la recherche de terre appropriées à leur choix de culture ;</w:t>
            </w:r>
          </w:p>
          <w:p w:rsidR="00A8277E" w:rsidRPr="00843722" w:rsidRDefault="00A8277E"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l</w:t>
            </w:r>
            <w:r w:rsidR="00A05714" w:rsidRPr="00843722">
              <w:rPr>
                <w:rFonts w:ascii="Times New Roman" w:hAnsi="Times New Roman"/>
                <w:sz w:val="21"/>
                <w:szCs w:val="21"/>
              </w:rPr>
              <w:t>’</w:t>
            </w:r>
            <w:r w:rsidRPr="00843722">
              <w:rPr>
                <w:rFonts w:ascii="Times New Roman" w:hAnsi="Times New Roman"/>
                <w:sz w:val="21"/>
                <w:szCs w:val="21"/>
              </w:rPr>
              <w:t>amélioration de la santé des populations ;</w:t>
            </w:r>
          </w:p>
          <w:p w:rsidR="00A8277E" w:rsidRPr="00843722" w:rsidRDefault="00A8277E"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la réduction des conflits d</w:t>
            </w:r>
            <w:r w:rsidR="00A05714" w:rsidRPr="00843722">
              <w:rPr>
                <w:rFonts w:ascii="Times New Roman" w:hAnsi="Times New Roman"/>
                <w:sz w:val="21"/>
                <w:szCs w:val="21"/>
              </w:rPr>
              <w:t>’</w:t>
            </w:r>
            <w:r w:rsidRPr="00843722">
              <w:rPr>
                <w:rFonts w:ascii="Times New Roman" w:hAnsi="Times New Roman"/>
                <w:sz w:val="21"/>
                <w:szCs w:val="21"/>
              </w:rPr>
              <w:t>usages et d</w:t>
            </w:r>
            <w:r w:rsidR="00A05714" w:rsidRPr="00843722">
              <w:rPr>
                <w:rFonts w:ascii="Times New Roman" w:hAnsi="Times New Roman"/>
                <w:sz w:val="21"/>
                <w:szCs w:val="21"/>
              </w:rPr>
              <w:t>’</w:t>
            </w:r>
            <w:r w:rsidRPr="00843722">
              <w:rPr>
                <w:rFonts w:ascii="Times New Roman" w:hAnsi="Times New Roman"/>
                <w:sz w:val="21"/>
                <w:szCs w:val="21"/>
              </w:rPr>
              <w:t>exploitation entre les éleveurs, les agriculteurs et les transhumants ;</w:t>
            </w:r>
          </w:p>
          <w:p w:rsidR="00A8277E" w:rsidRPr="00843722" w:rsidRDefault="00A8277E"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 xml:space="preserve">Au renforcement des capacités financières des bénéficiaires pour mieux lutter contre la pauvreté </w:t>
            </w:r>
          </w:p>
          <w:p w:rsidR="00A8277E" w:rsidRPr="00843722" w:rsidRDefault="00A8277E"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l’amélioration de la situation nutritionnelle des populations ;</w:t>
            </w:r>
          </w:p>
          <w:p w:rsidR="00A8277E" w:rsidRPr="00843722" w:rsidRDefault="00A8277E"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l</w:t>
            </w:r>
            <w:r w:rsidR="00A05714" w:rsidRPr="00843722">
              <w:rPr>
                <w:rFonts w:ascii="Times New Roman" w:hAnsi="Times New Roman"/>
                <w:sz w:val="21"/>
                <w:szCs w:val="21"/>
              </w:rPr>
              <w:t>’</w:t>
            </w:r>
            <w:r w:rsidRPr="00843722">
              <w:rPr>
                <w:rFonts w:ascii="Times New Roman" w:hAnsi="Times New Roman"/>
                <w:sz w:val="21"/>
                <w:szCs w:val="21"/>
              </w:rPr>
              <w:t>amélioration des revenues financières des femmes.</w:t>
            </w:r>
          </w:p>
          <w:p w:rsidR="00DD349E" w:rsidRPr="00843722" w:rsidRDefault="002D26DF"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A</w:t>
            </w:r>
            <w:r w:rsidR="00986050" w:rsidRPr="00843722">
              <w:rPr>
                <w:rFonts w:ascii="Times New Roman" w:hAnsi="Times New Roman"/>
                <w:sz w:val="21"/>
                <w:szCs w:val="21"/>
              </w:rPr>
              <w:t>u</w:t>
            </w:r>
            <w:r w:rsidR="00307584" w:rsidRPr="00843722">
              <w:rPr>
                <w:rFonts w:ascii="Times New Roman" w:hAnsi="Times New Roman"/>
                <w:sz w:val="21"/>
                <w:szCs w:val="21"/>
              </w:rPr>
              <w:t xml:space="preserve"> renforcement</w:t>
            </w:r>
            <w:r w:rsidR="00D07ED8" w:rsidRPr="00843722">
              <w:rPr>
                <w:rFonts w:ascii="Times New Roman" w:hAnsi="Times New Roman"/>
                <w:sz w:val="21"/>
                <w:szCs w:val="21"/>
              </w:rPr>
              <w:t xml:space="preserve"> des capacités et des formations pour les femmes </w:t>
            </w:r>
            <w:r w:rsidR="00CE5D9C" w:rsidRPr="00843722">
              <w:rPr>
                <w:rFonts w:ascii="Times New Roman" w:hAnsi="Times New Roman"/>
                <w:sz w:val="21"/>
                <w:szCs w:val="21"/>
              </w:rPr>
              <w:t xml:space="preserve">dans les activités </w:t>
            </w:r>
            <w:r w:rsidR="00693449" w:rsidRPr="00843722">
              <w:rPr>
                <w:rFonts w:ascii="Times New Roman" w:hAnsi="Times New Roman"/>
                <w:sz w:val="21"/>
                <w:szCs w:val="21"/>
              </w:rPr>
              <w:t>de transformation des produits agricoles ;</w:t>
            </w:r>
          </w:p>
          <w:p w:rsidR="005A2583" w:rsidRPr="00843722" w:rsidRDefault="005A2583" w:rsidP="004F421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b/>
                <w:sz w:val="21"/>
                <w:szCs w:val="21"/>
              </w:rPr>
            </w:pPr>
            <w:r w:rsidRPr="00843722">
              <w:rPr>
                <w:rFonts w:eastAsia="Calibri"/>
                <w:b/>
                <w:sz w:val="21"/>
                <w:szCs w:val="21"/>
              </w:rPr>
              <w:t>Appui à la mise en valeur et renforcement des capacités</w:t>
            </w:r>
            <w:r w:rsidR="008B2539" w:rsidRPr="00843722">
              <w:rPr>
                <w:rFonts w:eastAsia="Calibri"/>
                <w:b/>
                <w:sz w:val="21"/>
                <w:szCs w:val="21"/>
              </w:rPr>
              <w:t xml:space="preserve"> permettra :</w:t>
            </w:r>
          </w:p>
          <w:p w:rsidR="00013844" w:rsidRPr="00843722" w:rsidRDefault="00013844"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assurer une production suffisante et permanente des produits agricoles (produit vivrière) ;</w:t>
            </w:r>
          </w:p>
          <w:p w:rsidR="00013844" w:rsidRPr="00843722" w:rsidRDefault="00013844"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assurer l</w:t>
            </w:r>
            <w:r w:rsidR="00A05714" w:rsidRPr="00843722">
              <w:rPr>
                <w:rFonts w:ascii="Times New Roman" w:hAnsi="Times New Roman"/>
                <w:sz w:val="21"/>
                <w:szCs w:val="21"/>
              </w:rPr>
              <w:t>’</w:t>
            </w:r>
            <w:r w:rsidRPr="00843722">
              <w:rPr>
                <w:rFonts w:ascii="Times New Roman" w:hAnsi="Times New Roman"/>
                <w:sz w:val="21"/>
                <w:szCs w:val="21"/>
              </w:rPr>
              <w:t>accès à une ligne de crédit aux petits producteurs et aux GIE ou fédération ;</w:t>
            </w:r>
          </w:p>
          <w:p w:rsidR="00013844" w:rsidRPr="00843722" w:rsidRDefault="00013844"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l</w:t>
            </w:r>
            <w:r w:rsidR="00A05714" w:rsidRPr="00843722">
              <w:rPr>
                <w:rFonts w:ascii="Times New Roman" w:hAnsi="Times New Roman"/>
                <w:sz w:val="21"/>
                <w:szCs w:val="21"/>
              </w:rPr>
              <w:t>’</w:t>
            </w:r>
            <w:r w:rsidRPr="00843722">
              <w:rPr>
                <w:rFonts w:ascii="Times New Roman" w:hAnsi="Times New Roman"/>
                <w:sz w:val="21"/>
                <w:szCs w:val="21"/>
              </w:rPr>
              <w:t>amélioration des connaissances concernant les techniques de transformation et de conservation des filières prioritaires pour atteindre la sécurité alimentaire dans le pays ;</w:t>
            </w:r>
          </w:p>
          <w:p w:rsidR="00013844" w:rsidRPr="00843722" w:rsidRDefault="00013844"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A l’augmentation d’une bonne prise en compte des effets néfastes des changements climatiques ;</w:t>
            </w:r>
          </w:p>
          <w:p w:rsidR="00013844" w:rsidRPr="00843722" w:rsidRDefault="00013844"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A l’Intensification de la production et optimisation des rendements ;</w:t>
            </w:r>
          </w:p>
          <w:p w:rsidR="00013844" w:rsidRPr="00843722" w:rsidRDefault="00013844"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À encourager la volonté d</w:t>
            </w:r>
            <w:r w:rsidR="00A05714" w:rsidRPr="00843722">
              <w:rPr>
                <w:rFonts w:ascii="Times New Roman" w:hAnsi="Times New Roman"/>
                <w:sz w:val="21"/>
                <w:szCs w:val="21"/>
              </w:rPr>
              <w:t>’</w:t>
            </w:r>
            <w:r w:rsidRPr="00843722">
              <w:rPr>
                <w:rFonts w:ascii="Times New Roman" w:hAnsi="Times New Roman"/>
                <w:sz w:val="21"/>
                <w:szCs w:val="21"/>
              </w:rPr>
              <w:t>entreprenariat chez les jeunes et les femmes (leadership des femmes et des jeunes)</w:t>
            </w:r>
            <w:r w:rsidR="00C820ED" w:rsidRPr="00843722">
              <w:rPr>
                <w:rFonts w:ascii="Times New Roman" w:hAnsi="Times New Roman"/>
                <w:sz w:val="21"/>
                <w:szCs w:val="21"/>
              </w:rPr>
              <w:t xml:space="preserve"> dans les </w:t>
            </w:r>
            <w:r w:rsidR="001E62AF" w:rsidRPr="00843722">
              <w:rPr>
                <w:rFonts w:ascii="Times New Roman" w:hAnsi="Times New Roman"/>
                <w:sz w:val="21"/>
                <w:szCs w:val="21"/>
              </w:rPr>
              <w:t>activités</w:t>
            </w:r>
            <w:r w:rsidR="00C820ED" w:rsidRPr="00843722">
              <w:rPr>
                <w:rFonts w:ascii="Times New Roman" w:hAnsi="Times New Roman"/>
                <w:sz w:val="21"/>
                <w:szCs w:val="21"/>
              </w:rPr>
              <w:t xml:space="preserve"> </w:t>
            </w:r>
            <w:r w:rsidR="001E62AF" w:rsidRPr="00843722">
              <w:rPr>
                <w:rFonts w:ascii="Times New Roman" w:hAnsi="Times New Roman"/>
                <w:sz w:val="21"/>
                <w:szCs w:val="21"/>
              </w:rPr>
              <w:t>de développement</w:t>
            </w:r>
            <w:r w:rsidRPr="00843722">
              <w:rPr>
                <w:rFonts w:ascii="Times New Roman" w:hAnsi="Times New Roman"/>
                <w:sz w:val="21"/>
                <w:szCs w:val="21"/>
              </w:rPr>
              <w:t> ;</w:t>
            </w:r>
          </w:p>
          <w:p w:rsidR="00A3430B" w:rsidRPr="00843722" w:rsidRDefault="00B53FF4"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 xml:space="preserve">À </w:t>
            </w:r>
            <w:r w:rsidR="008B2539" w:rsidRPr="00843722">
              <w:rPr>
                <w:rFonts w:ascii="Times New Roman" w:hAnsi="Times New Roman"/>
                <w:sz w:val="21"/>
                <w:szCs w:val="21"/>
              </w:rPr>
              <w:t xml:space="preserve">avoir une </w:t>
            </w:r>
            <w:r w:rsidRPr="00843722">
              <w:rPr>
                <w:rFonts w:ascii="Times New Roman" w:hAnsi="Times New Roman"/>
                <w:sz w:val="21"/>
                <w:szCs w:val="21"/>
              </w:rPr>
              <w:t>meilleure maîtrise de la production et de la productivité des périmètres rizicoles et d’anacardiers en permettant non seulement une autosuffisance alimentaire, mais aussi une préservation des zones de culture par l</w:t>
            </w:r>
            <w:r w:rsidR="00A05714" w:rsidRPr="00843722">
              <w:rPr>
                <w:rFonts w:ascii="Times New Roman" w:hAnsi="Times New Roman"/>
                <w:sz w:val="21"/>
                <w:szCs w:val="21"/>
              </w:rPr>
              <w:t>’</w:t>
            </w:r>
            <w:r w:rsidRPr="00843722">
              <w:rPr>
                <w:rFonts w:ascii="Times New Roman" w:hAnsi="Times New Roman"/>
                <w:sz w:val="21"/>
                <w:szCs w:val="21"/>
              </w:rPr>
              <w:t xml:space="preserve">intégration de mesures environnementales de protection des milieux sensibles. </w:t>
            </w:r>
          </w:p>
          <w:p w:rsidR="00D5504E" w:rsidRPr="00843722" w:rsidRDefault="009151BA" w:rsidP="00157035">
            <w:pPr>
              <w:pStyle w:val="PargrafodaLista"/>
              <w:numPr>
                <w:ilvl w:val="0"/>
                <w:numId w:val="5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43722">
              <w:rPr>
                <w:rFonts w:ascii="Times New Roman" w:hAnsi="Times New Roman"/>
                <w:sz w:val="21"/>
                <w:szCs w:val="21"/>
              </w:rPr>
              <w:t xml:space="preserve">A </w:t>
            </w:r>
            <w:r w:rsidR="00B53FF4" w:rsidRPr="00843722">
              <w:rPr>
                <w:rFonts w:ascii="Times New Roman" w:hAnsi="Times New Roman"/>
                <w:sz w:val="21"/>
                <w:szCs w:val="21"/>
              </w:rPr>
              <w:t>La vulgarisation de techniques agricoles nouvelles contribuera à l’optimisation des rendements</w:t>
            </w:r>
            <w:r w:rsidR="00926390" w:rsidRPr="00843722">
              <w:rPr>
                <w:rFonts w:ascii="Times New Roman" w:hAnsi="Times New Roman"/>
                <w:sz w:val="21"/>
                <w:szCs w:val="21"/>
              </w:rPr>
              <w:t> ;</w:t>
            </w:r>
          </w:p>
          <w:p w:rsidR="0018291C" w:rsidRDefault="00D5504E" w:rsidP="00517052">
            <w:pPr>
              <w:spacing w:before="120" w:after="120"/>
              <w:jc w:val="both"/>
              <w:cnfStyle w:val="000000000000" w:firstRow="0" w:lastRow="0" w:firstColumn="0" w:lastColumn="0" w:oddVBand="0" w:evenVBand="0" w:oddHBand="0" w:evenHBand="0" w:firstRowFirstColumn="0" w:firstRowLastColumn="0" w:lastRowFirstColumn="0" w:lastRowLastColumn="0"/>
              <w:rPr>
                <w:sz w:val="21"/>
                <w:szCs w:val="21"/>
              </w:rPr>
            </w:pPr>
            <w:r w:rsidRPr="00843722">
              <w:rPr>
                <w:rFonts w:eastAsia="Calibri"/>
                <w:b/>
                <w:sz w:val="21"/>
                <w:szCs w:val="21"/>
              </w:rPr>
              <w:t>Le projet va favoriser la prise en compte des aspects du genre et du processus d’intégration des notions d’équité dans l’exécution des activités</w:t>
            </w:r>
            <w:r w:rsidRPr="00843722" w:rsidDel="00D5504E">
              <w:rPr>
                <w:sz w:val="21"/>
                <w:szCs w:val="21"/>
              </w:rPr>
              <w:t xml:space="preserve"> </w:t>
            </w:r>
          </w:p>
          <w:p w:rsidR="00743B4B" w:rsidRPr="008371D1" w:rsidRDefault="00743B4B" w:rsidP="00517052">
            <w:pPr>
              <w:spacing w:before="120" w:after="120"/>
              <w:jc w:val="both"/>
              <w:cnfStyle w:val="000000000000" w:firstRow="0" w:lastRow="0" w:firstColumn="0" w:lastColumn="0" w:oddVBand="0" w:evenVBand="0" w:oddHBand="0" w:evenHBand="0" w:firstRowFirstColumn="0" w:firstRowLastColumn="0" w:lastRowFirstColumn="0" w:lastRowLastColumn="0"/>
              <w:rPr>
                <w:b/>
                <w:sz w:val="21"/>
                <w:szCs w:val="21"/>
              </w:rPr>
            </w:pPr>
          </w:p>
        </w:tc>
      </w:tr>
      <w:tr w:rsidR="00242A77" w:rsidRPr="00843722" w:rsidTr="00EF2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3" w:type="dxa"/>
            <w:vMerge w:val="restart"/>
            <w:shd w:val="clear" w:color="auto" w:fill="FFFFFF"/>
            <w:vAlign w:val="center"/>
          </w:tcPr>
          <w:p w:rsidR="00242A77" w:rsidRPr="00843722" w:rsidRDefault="00F500AC" w:rsidP="00A90A1A">
            <w:pPr>
              <w:widowControl w:val="0"/>
              <w:autoSpaceDE w:val="0"/>
              <w:autoSpaceDN w:val="0"/>
              <w:adjustRightInd w:val="0"/>
              <w:spacing w:after="240"/>
              <w:jc w:val="center"/>
              <w:rPr>
                <w:rFonts w:eastAsia="Calibri"/>
                <w:color w:val="000000"/>
                <w:sz w:val="21"/>
                <w:szCs w:val="21"/>
              </w:rPr>
            </w:pPr>
            <w:r w:rsidRPr="00843722">
              <w:rPr>
                <w:sz w:val="21"/>
                <w:szCs w:val="21"/>
                <w:u w:val="single"/>
              </w:rPr>
              <w:t>Soutien aux Filets de Sécurité communautaires (</w:t>
            </w:r>
            <w:r w:rsidRPr="00843722">
              <w:rPr>
                <w:sz w:val="21"/>
                <w:szCs w:val="21"/>
              </w:rPr>
              <w:t>la réhabilitation des structures de stockage, l</w:t>
            </w:r>
            <w:r w:rsidR="00A05714" w:rsidRPr="00843722">
              <w:rPr>
                <w:sz w:val="21"/>
                <w:szCs w:val="21"/>
              </w:rPr>
              <w:t>’</w:t>
            </w:r>
            <w:r w:rsidRPr="00843722">
              <w:rPr>
                <w:sz w:val="21"/>
                <w:szCs w:val="21"/>
              </w:rPr>
              <w:t>ouverture de routes d</w:t>
            </w:r>
            <w:r w:rsidR="00A05714" w:rsidRPr="00843722">
              <w:rPr>
                <w:sz w:val="21"/>
                <w:szCs w:val="21"/>
              </w:rPr>
              <w:t>’</w:t>
            </w:r>
            <w:r w:rsidRPr="00843722">
              <w:rPr>
                <w:sz w:val="21"/>
                <w:szCs w:val="21"/>
              </w:rPr>
              <w:t>accès aux zones de production agricole, la construction de marchés locaux, etc.)</w:t>
            </w:r>
          </w:p>
        </w:tc>
        <w:tc>
          <w:tcPr>
            <w:tcW w:w="9026" w:type="dxa"/>
            <w:shd w:val="clear" w:color="auto" w:fill="DEEAF6" w:themeFill="accent1" w:themeFillTint="33"/>
          </w:tcPr>
          <w:p w:rsidR="00242A77" w:rsidRPr="00843722" w:rsidRDefault="00C657BD" w:rsidP="004F42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000000"/>
                <w:sz w:val="21"/>
                <w:szCs w:val="21"/>
              </w:rPr>
            </w:pPr>
            <w:r w:rsidRPr="00843722">
              <w:rPr>
                <w:rFonts w:eastAsia="Calibri"/>
                <w:b/>
                <w:sz w:val="21"/>
                <w:szCs w:val="21"/>
              </w:rPr>
              <w:t xml:space="preserve">Phase de mise en </w:t>
            </w:r>
            <w:r w:rsidR="00577DA3" w:rsidRPr="00843722">
              <w:rPr>
                <w:rFonts w:eastAsia="Calibri"/>
                <w:b/>
                <w:sz w:val="21"/>
                <w:szCs w:val="21"/>
              </w:rPr>
              <w:t>œuvre du projet</w:t>
            </w:r>
          </w:p>
        </w:tc>
      </w:tr>
      <w:tr w:rsidR="00490203" w:rsidRPr="00843722" w:rsidTr="00A644B1">
        <w:trPr>
          <w:jc w:val="center"/>
        </w:trPr>
        <w:tc>
          <w:tcPr>
            <w:cnfStyle w:val="001000000000" w:firstRow="0" w:lastRow="0" w:firstColumn="1" w:lastColumn="0" w:oddVBand="0" w:evenVBand="0" w:oddHBand="0" w:evenHBand="0" w:firstRowFirstColumn="0" w:firstRowLastColumn="0" w:lastRowFirstColumn="0" w:lastRowLastColumn="0"/>
            <w:tcW w:w="1883" w:type="dxa"/>
            <w:vMerge/>
            <w:shd w:val="clear" w:color="auto" w:fill="FFFFFF"/>
            <w:vAlign w:val="center"/>
          </w:tcPr>
          <w:p w:rsidR="00490203" w:rsidRPr="00843722" w:rsidRDefault="00490203" w:rsidP="004F4212">
            <w:pPr>
              <w:widowControl w:val="0"/>
              <w:autoSpaceDE w:val="0"/>
              <w:autoSpaceDN w:val="0"/>
              <w:adjustRightInd w:val="0"/>
              <w:spacing w:after="240"/>
              <w:rPr>
                <w:b w:val="0"/>
                <w:sz w:val="21"/>
                <w:szCs w:val="21"/>
                <w:u w:val="single"/>
              </w:rPr>
            </w:pPr>
          </w:p>
        </w:tc>
        <w:tc>
          <w:tcPr>
            <w:tcW w:w="9026" w:type="dxa"/>
            <w:shd w:val="clear" w:color="auto" w:fill="auto"/>
          </w:tcPr>
          <w:p w:rsidR="00490203" w:rsidRPr="00843722" w:rsidRDefault="00A644B1" w:rsidP="00157035">
            <w:pPr>
              <w:numPr>
                <w:ilvl w:val="0"/>
                <w:numId w:val="59"/>
              </w:numPr>
              <w:jc w:val="both"/>
              <w:cnfStyle w:val="000000000000" w:firstRow="0" w:lastRow="0" w:firstColumn="0" w:lastColumn="0" w:oddVBand="0" w:evenVBand="0" w:oddHBand="0" w:evenHBand="0" w:firstRowFirstColumn="0" w:firstRowLastColumn="0" w:lastRowFirstColumn="0" w:lastRowLastColumn="0"/>
              <w:rPr>
                <w:b/>
                <w:bCs/>
                <w:i/>
                <w:iCs/>
                <w:sz w:val="21"/>
                <w:szCs w:val="21"/>
              </w:rPr>
            </w:pPr>
            <w:r w:rsidRPr="00843722">
              <w:rPr>
                <w:rFonts w:eastAsia="Calibri"/>
                <w:sz w:val="21"/>
                <w:szCs w:val="21"/>
              </w:rPr>
              <w:t>Opportunités d’affaires pour des opérateurs économiques privés</w:t>
            </w:r>
          </w:p>
          <w:p w:rsidR="00775F7B" w:rsidRPr="00843722" w:rsidRDefault="006F50F7" w:rsidP="00157035">
            <w:pPr>
              <w:numPr>
                <w:ilvl w:val="0"/>
                <w:numId w:val="59"/>
              </w:numPr>
              <w:jc w:val="both"/>
              <w:cnfStyle w:val="000000000000" w:firstRow="0" w:lastRow="0" w:firstColumn="0" w:lastColumn="0" w:oddVBand="0" w:evenVBand="0" w:oddHBand="0" w:evenHBand="0" w:firstRowFirstColumn="0" w:firstRowLastColumn="0" w:lastRowFirstColumn="0" w:lastRowLastColumn="0"/>
              <w:rPr>
                <w:bCs/>
                <w:iCs/>
                <w:sz w:val="21"/>
                <w:szCs w:val="21"/>
              </w:rPr>
            </w:pPr>
            <w:r w:rsidRPr="00843722">
              <w:rPr>
                <w:bCs/>
                <w:iCs/>
                <w:sz w:val="21"/>
                <w:szCs w:val="21"/>
              </w:rPr>
              <w:t xml:space="preserve">Le programme « travail contre nourriture » ou « vivres contre travail » favorisera la réalisation de travaux communautaires et permet aux volontaires d’avoir un emploi temporaire. </w:t>
            </w:r>
          </w:p>
        </w:tc>
      </w:tr>
      <w:tr w:rsidR="00490203" w:rsidRPr="00843722" w:rsidTr="00EF2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3" w:type="dxa"/>
            <w:vMerge/>
            <w:shd w:val="clear" w:color="auto" w:fill="FFFFFF"/>
            <w:vAlign w:val="center"/>
          </w:tcPr>
          <w:p w:rsidR="00490203" w:rsidRPr="00843722" w:rsidRDefault="00490203" w:rsidP="004F4212">
            <w:pPr>
              <w:widowControl w:val="0"/>
              <w:autoSpaceDE w:val="0"/>
              <w:autoSpaceDN w:val="0"/>
              <w:adjustRightInd w:val="0"/>
              <w:spacing w:after="240"/>
              <w:rPr>
                <w:b w:val="0"/>
                <w:sz w:val="21"/>
                <w:szCs w:val="21"/>
                <w:u w:val="single"/>
              </w:rPr>
            </w:pPr>
          </w:p>
        </w:tc>
        <w:tc>
          <w:tcPr>
            <w:tcW w:w="9026" w:type="dxa"/>
            <w:shd w:val="clear" w:color="auto" w:fill="DEEAF6" w:themeFill="accent1" w:themeFillTint="33"/>
          </w:tcPr>
          <w:p w:rsidR="00490203" w:rsidRPr="00843722" w:rsidRDefault="00A644B1" w:rsidP="004F42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b/>
                <w:sz w:val="21"/>
                <w:szCs w:val="21"/>
              </w:rPr>
            </w:pPr>
            <w:r w:rsidRPr="00843722">
              <w:rPr>
                <w:rFonts w:eastAsia="Calibri"/>
                <w:b/>
                <w:sz w:val="21"/>
                <w:szCs w:val="21"/>
              </w:rPr>
              <w:t>Phase d’exploitation</w:t>
            </w:r>
          </w:p>
        </w:tc>
      </w:tr>
      <w:tr w:rsidR="00242A77" w:rsidRPr="00843722" w:rsidTr="00EF2FC6">
        <w:trPr>
          <w:trHeight w:val="390"/>
          <w:jc w:val="center"/>
        </w:trPr>
        <w:tc>
          <w:tcPr>
            <w:cnfStyle w:val="001000000000" w:firstRow="0" w:lastRow="0" w:firstColumn="1" w:lastColumn="0" w:oddVBand="0" w:evenVBand="0" w:oddHBand="0" w:evenHBand="0" w:firstRowFirstColumn="0" w:firstRowLastColumn="0" w:lastRowFirstColumn="0" w:lastRowLastColumn="0"/>
            <w:tcW w:w="1883" w:type="dxa"/>
            <w:vMerge/>
            <w:shd w:val="clear" w:color="auto" w:fill="FFFFFF"/>
            <w:vAlign w:val="center"/>
          </w:tcPr>
          <w:p w:rsidR="00242A77" w:rsidRPr="00843722" w:rsidRDefault="00242A77" w:rsidP="004F4212">
            <w:pPr>
              <w:rPr>
                <w:rFonts w:eastAsia="Calibri"/>
                <w:color w:val="000000"/>
                <w:sz w:val="21"/>
                <w:szCs w:val="21"/>
              </w:rPr>
            </w:pPr>
          </w:p>
        </w:tc>
        <w:tc>
          <w:tcPr>
            <w:tcW w:w="9026" w:type="dxa"/>
            <w:shd w:val="clear" w:color="auto" w:fill="FFFFFF"/>
          </w:tcPr>
          <w:p w:rsidR="00242A77" w:rsidRPr="00843722" w:rsidRDefault="00242A77" w:rsidP="00157035">
            <w:pPr>
              <w:numPr>
                <w:ilvl w:val="0"/>
                <w:numId w:val="59"/>
              </w:numPr>
              <w:jc w:val="both"/>
              <w:cnfStyle w:val="000000000000" w:firstRow="0" w:lastRow="0" w:firstColumn="0" w:lastColumn="0" w:oddVBand="0" w:evenVBand="0" w:oddHBand="0" w:evenHBand="0" w:firstRowFirstColumn="0" w:firstRowLastColumn="0" w:lastRowFirstColumn="0" w:lastRowLastColumn="0"/>
              <w:rPr>
                <w:rFonts w:eastAsia="Calibri"/>
                <w:b/>
                <w:sz w:val="21"/>
                <w:szCs w:val="21"/>
              </w:rPr>
            </w:pPr>
            <w:r w:rsidRPr="00843722">
              <w:rPr>
                <w:rFonts w:eastAsia="Calibri"/>
                <w:b/>
                <w:sz w:val="21"/>
                <w:szCs w:val="21"/>
              </w:rPr>
              <w:t xml:space="preserve">Opportunités d’emplois </w:t>
            </w:r>
          </w:p>
          <w:p w:rsidR="00242A77" w:rsidRPr="00843722" w:rsidRDefault="00242A77" w:rsidP="00157035">
            <w:pPr>
              <w:numPr>
                <w:ilvl w:val="0"/>
                <w:numId w:val="59"/>
              </w:numPr>
              <w:jc w:val="both"/>
              <w:cnfStyle w:val="000000000000" w:firstRow="0" w:lastRow="0" w:firstColumn="0" w:lastColumn="0" w:oddVBand="0" w:evenVBand="0" w:oddHBand="0" w:evenHBand="0" w:firstRowFirstColumn="0" w:firstRowLastColumn="0" w:lastRowFirstColumn="0" w:lastRowLastColumn="0"/>
              <w:rPr>
                <w:rFonts w:eastAsia="Calibri"/>
                <w:b/>
                <w:sz w:val="21"/>
                <w:szCs w:val="21"/>
              </w:rPr>
            </w:pPr>
            <w:r w:rsidRPr="00843722">
              <w:rPr>
                <w:rFonts w:eastAsia="Calibri"/>
                <w:b/>
                <w:sz w:val="21"/>
                <w:szCs w:val="21"/>
              </w:rPr>
              <w:t xml:space="preserve">Amélioration des conditions socio-économiques </w:t>
            </w:r>
          </w:p>
          <w:p w:rsidR="008522F8" w:rsidRPr="00843722" w:rsidRDefault="002915D8" w:rsidP="00157035">
            <w:pPr>
              <w:numPr>
                <w:ilvl w:val="0"/>
                <w:numId w:val="59"/>
              </w:numPr>
              <w:jc w:val="both"/>
              <w:cnfStyle w:val="000000000000" w:firstRow="0" w:lastRow="0" w:firstColumn="0" w:lastColumn="0" w:oddVBand="0" w:evenVBand="0" w:oddHBand="0" w:evenHBand="0" w:firstRowFirstColumn="0" w:firstRowLastColumn="0" w:lastRowFirstColumn="0" w:lastRowLastColumn="0"/>
              <w:rPr>
                <w:rFonts w:eastAsia="Calibri"/>
                <w:b/>
                <w:sz w:val="21"/>
                <w:szCs w:val="21"/>
              </w:rPr>
            </w:pPr>
            <w:r w:rsidRPr="00843722">
              <w:rPr>
                <w:rFonts w:eastAsia="Calibri"/>
                <w:sz w:val="21"/>
                <w:szCs w:val="21"/>
              </w:rPr>
              <w:t>L’</w:t>
            </w:r>
            <w:r w:rsidR="008522F8" w:rsidRPr="00843722">
              <w:rPr>
                <w:rFonts w:eastAsia="Calibri"/>
                <w:sz w:val="21"/>
                <w:szCs w:val="21"/>
              </w:rPr>
              <w:t>impulser un développement quantitatif et qualita</w:t>
            </w:r>
            <w:r w:rsidRPr="00843722">
              <w:rPr>
                <w:rFonts w:eastAsia="Calibri"/>
                <w:sz w:val="21"/>
                <w:szCs w:val="21"/>
              </w:rPr>
              <w:t>tif de la gestion des affaires ;</w:t>
            </w:r>
          </w:p>
          <w:p w:rsidR="00242A77" w:rsidRPr="00843722" w:rsidRDefault="00242A77" w:rsidP="00157035">
            <w:pPr>
              <w:numPr>
                <w:ilvl w:val="0"/>
                <w:numId w:val="59"/>
              </w:numPr>
              <w:jc w:val="both"/>
              <w:cnfStyle w:val="000000000000" w:firstRow="0" w:lastRow="0" w:firstColumn="0" w:lastColumn="0" w:oddVBand="0" w:evenVBand="0" w:oddHBand="0" w:evenHBand="0" w:firstRowFirstColumn="0" w:firstRowLastColumn="0" w:lastRowFirstColumn="0" w:lastRowLastColumn="0"/>
              <w:rPr>
                <w:rFonts w:eastAsia="Calibri"/>
                <w:sz w:val="21"/>
                <w:szCs w:val="21"/>
              </w:rPr>
            </w:pPr>
            <w:r w:rsidRPr="00843722">
              <w:rPr>
                <w:rFonts w:eastAsia="Calibri"/>
                <w:sz w:val="21"/>
                <w:szCs w:val="21"/>
              </w:rPr>
              <w:t>Intensification de la production et optimisation des rendements</w:t>
            </w:r>
          </w:p>
          <w:p w:rsidR="00AD3050" w:rsidRPr="00843722" w:rsidRDefault="000E0C71" w:rsidP="00157035">
            <w:pPr>
              <w:numPr>
                <w:ilvl w:val="0"/>
                <w:numId w:val="59"/>
              </w:numPr>
              <w:jc w:val="both"/>
              <w:cnfStyle w:val="000000000000" w:firstRow="0" w:lastRow="0" w:firstColumn="0" w:lastColumn="0" w:oddVBand="0" w:evenVBand="0" w:oddHBand="0" w:evenHBand="0" w:firstRowFirstColumn="0" w:firstRowLastColumn="0" w:lastRowFirstColumn="0" w:lastRowLastColumn="0"/>
              <w:rPr>
                <w:rFonts w:eastAsia="Calibri"/>
                <w:sz w:val="21"/>
                <w:szCs w:val="21"/>
              </w:rPr>
            </w:pPr>
            <w:r w:rsidRPr="00843722">
              <w:rPr>
                <w:rFonts w:eastAsia="Calibri"/>
                <w:sz w:val="21"/>
                <w:szCs w:val="21"/>
              </w:rPr>
              <w:t xml:space="preserve">Les </w:t>
            </w:r>
            <w:r w:rsidR="007A11EF" w:rsidRPr="00843722">
              <w:rPr>
                <w:rFonts w:eastAsia="Calibri"/>
                <w:sz w:val="21"/>
                <w:szCs w:val="21"/>
              </w:rPr>
              <w:t xml:space="preserve">marchés </w:t>
            </w:r>
            <w:r w:rsidR="00F25EC5" w:rsidRPr="00843722">
              <w:rPr>
                <w:rFonts w:eastAsia="Calibri"/>
                <w:sz w:val="21"/>
                <w:szCs w:val="21"/>
              </w:rPr>
              <w:t>locaux</w:t>
            </w:r>
            <w:r w:rsidRPr="00843722">
              <w:rPr>
                <w:rFonts w:eastAsia="Calibri"/>
                <w:sz w:val="21"/>
                <w:szCs w:val="21"/>
              </w:rPr>
              <w:t xml:space="preserve"> </w:t>
            </w:r>
            <w:r w:rsidR="00F25EC5" w:rsidRPr="00843722">
              <w:rPr>
                <w:rFonts w:eastAsia="Calibri"/>
                <w:sz w:val="21"/>
                <w:szCs w:val="21"/>
              </w:rPr>
              <w:t xml:space="preserve">permettront </w:t>
            </w:r>
            <w:r w:rsidRPr="00843722">
              <w:rPr>
                <w:rFonts w:eastAsia="Calibri"/>
                <w:sz w:val="21"/>
                <w:szCs w:val="21"/>
              </w:rPr>
              <w:t>la sécurisation de</w:t>
            </w:r>
            <w:r w:rsidR="00F25EC5" w:rsidRPr="00843722">
              <w:rPr>
                <w:rFonts w:eastAsia="Calibri"/>
                <w:sz w:val="21"/>
                <w:szCs w:val="21"/>
              </w:rPr>
              <w:t>s ventes</w:t>
            </w:r>
            <w:r w:rsidRPr="00843722">
              <w:rPr>
                <w:rFonts w:eastAsia="Calibri"/>
                <w:sz w:val="21"/>
                <w:szCs w:val="21"/>
              </w:rPr>
              <w:t xml:space="preserve"> </w:t>
            </w:r>
            <w:r w:rsidR="00F25EC5" w:rsidRPr="00843722">
              <w:rPr>
                <w:rFonts w:eastAsia="Calibri"/>
                <w:sz w:val="21"/>
                <w:szCs w:val="21"/>
              </w:rPr>
              <w:t>et l’augmentation des revenus des producteurs.</w:t>
            </w:r>
          </w:p>
          <w:p w:rsidR="00803F73" w:rsidRDefault="00573A8E" w:rsidP="00157035">
            <w:pPr>
              <w:numPr>
                <w:ilvl w:val="0"/>
                <w:numId w:val="59"/>
              </w:numPr>
              <w:jc w:val="both"/>
              <w:cnfStyle w:val="000000000000" w:firstRow="0" w:lastRow="0" w:firstColumn="0" w:lastColumn="0" w:oddVBand="0" w:evenVBand="0" w:oddHBand="0" w:evenHBand="0" w:firstRowFirstColumn="0" w:firstRowLastColumn="0" w:lastRowFirstColumn="0" w:lastRowLastColumn="0"/>
              <w:rPr>
                <w:color w:val="000000"/>
                <w:sz w:val="21"/>
                <w:szCs w:val="21"/>
                <w:lang w:eastAsia="en-US"/>
              </w:rPr>
            </w:pPr>
            <w:r w:rsidRPr="00843722">
              <w:rPr>
                <w:sz w:val="21"/>
                <w:szCs w:val="21"/>
              </w:rPr>
              <w:t xml:space="preserve">Les </w:t>
            </w:r>
            <w:r w:rsidR="002F7E66" w:rsidRPr="00843722">
              <w:rPr>
                <w:sz w:val="21"/>
                <w:szCs w:val="21"/>
              </w:rPr>
              <w:t>routes d’accès</w:t>
            </w:r>
            <w:r w:rsidRPr="00843722">
              <w:rPr>
                <w:sz w:val="21"/>
                <w:szCs w:val="21"/>
              </w:rPr>
              <w:t xml:space="preserve"> vont améliorer positivement la qualité et la gestion des productions. </w:t>
            </w:r>
            <w:r w:rsidRPr="00843722">
              <w:rPr>
                <w:color w:val="000000"/>
                <w:sz w:val="21"/>
                <w:szCs w:val="21"/>
                <w:lang w:eastAsia="en-US"/>
              </w:rPr>
              <w:t xml:space="preserve"> </w:t>
            </w:r>
          </w:p>
          <w:p w:rsidR="00803F73" w:rsidRPr="00803F73" w:rsidRDefault="00803F73" w:rsidP="00157035">
            <w:pPr>
              <w:numPr>
                <w:ilvl w:val="0"/>
                <w:numId w:val="59"/>
              </w:numPr>
              <w:jc w:val="both"/>
              <w:cnfStyle w:val="000000000000" w:firstRow="0" w:lastRow="0" w:firstColumn="0" w:lastColumn="0" w:oddVBand="0" w:evenVBand="0" w:oddHBand="0" w:evenHBand="0" w:firstRowFirstColumn="0" w:firstRowLastColumn="0" w:lastRowFirstColumn="0" w:lastRowLastColumn="0"/>
              <w:rPr>
                <w:color w:val="000000"/>
                <w:sz w:val="21"/>
                <w:szCs w:val="21"/>
                <w:lang w:eastAsia="en-US"/>
              </w:rPr>
            </w:pPr>
            <w:r w:rsidRPr="00803F73">
              <w:rPr>
                <w:b/>
                <w:sz w:val="21"/>
                <w:szCs w:val="21"/>
              </w:rPr>
              <w:t>Le développement de l’élevage garce à la réduction des difficultés des éleveurs par rapport à la santé des animaux, l’amélioration de la qualité des services offerts aux transhumants notamment la sécurité alimentaire, des conditions d'accès aux infrastructures sociales, au développement de l'entreprenariat rural dans le domaine de l'élevage (embouche ovine et caprine &amp; avicole), à l'amélioration de la qualité nutritionnelle de la famille ;</w:t>
            </w:r>
          </w:p>
        </w:tc>
      </w:tr>
    </w:tbl>
    <w:p w:rsidR="00AD3050" w:rsidRDefault="00AD3050" w:rsidP="00517052">
      <w:pPr>
        <w:pStyle w:val="PargrafodaLista"/>
        <w:spacing w:after="120" w:line="240" w:lineRule="auto"/>
        <w:ind w:left="1068"/>
        <w:outlineLvl w:val="1"/>
        <w:rPr>
          <w:rFonts w:ascii="Times New Roman" w:hAnsi="Times New Roman"/>
          <w:b/>
          <w:bCs/>
          <w:sz w:val="24"/>
          <w:szCs w:val="24"/>
        </w:rPr>
      </w:pPr>
    </w:p>
    <w:p w:rsidR="00242A77" w:rsidRPr="00A05698" w:rsidRDefault="00242A77" w:rsidP="00157035">
      <w:pPr>
        <w:pStyle w:val="PargrafodaLista"/>
        <w:numPr>
          <w:ilvl w:val="1"/>
          <w:numId w:val="99"/>
        </w:numPr>
        <w:spacing w:after="120" w:line="240" w:lineRule="auto"/>
        <w:outlineLvl w:val="1"/>
        <w:rPr>
          <w:rFonts w:ascii="Times New Roman" w:hAnsi="Times New Roman"/>
          <w:b/>
          <w:bCs/>
          <w:sz w:val="24"/>
          <w:szCs w:val="24"/>
        </w:rPr>
      </w:pPr>
      <w:bookmarkStart w:id="243" w:name="_Toc73459746"/>
      <w:r w:rsidRPr="00A05698">
        <w:rPr>
          <w:rFonts w:ascii="Times New Roman" w:hAnsi="Times New Roman"/>
          <w:b/>
          <w:bCs/>
          <w:sz w:val="24"/>
          <w:szCs w:val="24"/>
        </w:rPr>
        <w:t>IMPACTS NEGATIFS DU PROJET</w:t>
      </w:r>
      <w:bookmarkEnd w:id="243"/>
    </w:p>
    <w:p w:rsidR="00276190" w:rsidRPr="0097333C" w:rsidRDefault="008719DC" w:rsidP="00157035">
      <w:pPr>
        <w:pStyle w:val="Cabealho6"/>
        <w:numPr>
          <w:ilvl w:val="5"/>
          <w:numId w:val="108"/>
        </w:numPr>
        <w:spacing w:line="240" w:lineRule="auto"/>
        <w:rPr>
          <w:rFonts w:ascii="Times New Roman" w:hAnsi="Times New Roman"/>
          <w:b/>
          <w:i w:val="0"/>
          <w:iCs w:val="0"/>
          <w:color w:val="auto"/>
          <w:sz w:val="24"/>
          <w:szCs w:val="24"/>
        </w:rPr>
      </w:pPr>
      <w:bookmarkStart w:id="244" w:name="_Toc55460155"/>
      <w:bookmarkStart w:id="245" w:name="_Toc55465548"/>
      <w:r w:rsidRPr="0097333C">
        <w:rPr>
          <w:rFonts w:ascii="Times New Roman" w:hAnsi="Times New Roman"/>
          <w:b/>
          <w:i w:val="0"/>
          <w:iCs w:val="0"/>
          <w:color w:val="auto"/>
          <w:sz w:val="24"/>
          <w:szCs w:val="24"/>
        </w:rPr>
        <w:t>Soutien à la production agricole</w:t>
      </w:r>
    </w:p>
    <w:p w:rsidR="00EA4389" w:rsidRPr="00A05698" w:rsidRDefault="00EA4389" w:rsidP="00EA4389">
      <w:pPr>
        <w:ind w:left="-284" w:right="-851"/>
        <w:jc w:val="both"/>
      </w:pPr>
    </w:p>
    <w:p w:rsidR="00276190" w:rsidRPr="00A05698" w:rsidRDefault="00276190" w:rsidP="00EA4389">
      <w:pPr>
        <w:ind w:left="-284" w:right="-851"/>
        <w:jc w:val="both"/>
      </w:pPr>
      <w:r w:rsidRPr="00A05698">
        <w:t>Les principaux impacts négatifs qu</w:t>
      </w:r>
      <w:r w:rsidR="00FA4B0E" w:rsidRPr="00A05698">
        <w:t>i</w:t>
      </w:r>
      <w:r w:rsidRPr="00A05698">
        <w:t xml:space="preserve"> pourrait</w:t>
      </w:r>
      <w:r w:rsidR="00FA4B0E" w:rsidRPr="00A05698">
        <w:t xml:space="preserve"> découler</w:t>
      </w:r>
      <w:r w:rsidRPr="00A05698">
        <w:t xml:space="preserve"> </w:t>
      </w:r>
      <w:r w:rsidR="00681BD5" w:rsidRPr="00A05698">
        <w:t>dans cette</w:t>
      </w:r>
      <w:r w:rsidR="00FA4B0E" w:rsidRPr="00A05698">
        <w:t xml:space="preserve"> étape du </w:t>
      </w:r>
      <w:r w:rsidRPr="00A05698">
        <w:t>projet portent spécifiquement sur :</w:t>
      </w:r>
    </w:p>
    <w:p w:rsidR="00276190" w:rsidRPr="00A05698" w:rsidRDefault="00276190" w:rsidP="004F4212">
      <w:pPr>
        <w:jc w:val="both"/>
        <w:rPr>
          <w:color w:val="000000" w:themeColor="text1"/>
          <w:lang w:val="fr-CA"/>
        </w:rPr>
      </w:pPr>
    </w:p>
    <w:p w:rsidR="00276190" w:rsidRPr="00A05698" w:rsidRDefault="00276190" w:rsidP="00C87747">
      <w:pPr>
        <w:pStyle w:val="Primeiroavanodecorpodetexto2"/>
        <w:spacing w:after="0" w:line="240" w:lineRule="auto"/>
        <w:jc w:val="center"/>
        <w:rPr>
          <w:rFonts w:ascii="Times New Roman" w:hAnsi="Times New Roman"/>
          <w:b/>
        </w:rPr>
      </w:pPr>
      <w:bookmarkStart w:id="246" w:name="_Toc433039776"/>
      <w:bookmarkStart w:id="247" w:name="_Toc4073096"/>
      <w:bookmarkStart w:id="248" w:name="_Toc73522622"/>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D51AB3">
        <w:rPr>
          <w:rFonts w:ascii="Times New Roman" w:hAnsi="Times New Roman"/>
          <w:b/>
          <w:noProof/>
        </w:rPr>
        <w:t>16</w:t>
      </w:r>
      <w:r w:rsidRPr="00A05698">
        <w:rPr>
          <w:rFonts w:ascii="Times New Roman" w:hAnsi="Times New Roman"/>
          <w:b/>
        </w:rPr>
        <w:fldChar w:fldCharType="end"/>
      </w:r>
      <w:r w:rsidRPr="00A05698">
        <w:rPr>
          <w:rFonts w:ascii="Times New Roman" w:hAnsi="Times New Roman"/>
          <w:b/>
        </w:rPr>
        <w:t>: les impacts négatifs potentiels du projet</w:t>
      </w:r>
      <w:bookmarkEnd w:id="246"/>
      <w:bookmarkEnd w:id="247"/>
      <w:bookmarkEnd w:id="248"/>
    </w:p>
    <w:tbl>
      <w:tblPr>
        <w:tblStyle w:val="TableauGrille1Clair-Accentuation61"/>
        <w:tblW w:w="10914" w:type="dxa"/>
        <w:jc w:val="center"/>
        <w:tblLook w:val="04A0" w:firstRow="1" w:lastRow="0" w:firstColumn="1" w:lastColumn="0" w:noHBand="0" w:noVBand="1"/>
      </w:tblPr>
      <w:tblGrid>
        <w:gridCol w:w="2622"/>
        <w:gridCol w:w="8292"/>
      </w:tblGrid>
      <w:tr w:rsidR="00276190" w:rsidRPr="00843722" w:rsidTr="00E77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2" w:type="dxa"/>
            <w:shd w:val="clear" w:color="auto" w:fill="E2EFD9" w:themeFill="accent6" w:themeFillTint="33"/>
            <w:vAlign w:val="center"/>
          </w:tcPr>
          <w:p w:rsidR="00276190" w:rsidRPr="00843722" w:rsidRDefault="00276190" w:rsidP="004F4212">
            <w:pPr>
              <w:autoSpaceDE w:val="0"/>
              <w:autoSpaceDN w:val="0"/>
              <w:adjustRightInd w:val="0"/>
              <w:jc w:val="center"/>
              <w:rPr>
                <w:color w:val="000000" w:themeColor="text1"/>
                <w:sz w:val="21"/>
                <w:szCs w:val="21"/>
              </w:rPr>
            </w:pPr>
            <w:r w:rsidRPr="00843722">
              <w:rPr>
                <w:color w:val="000000" w:themeColor="text1"/>
                <w:sz w:val="21"/>
                <w:szCs w:val="21"/>
              </w:rPr>
              <w:t>Activités</w:t>
            </w:r>
          </w:p>
        </w:tc>
        <w:tc>
          <w:tcPr>
            <w:tcW w:w="8292" w:type="dxa"/>
            <w:shd w:val="clear" w:color="auto" w:fill="E2EFD9" w:themeFill="accent6" w:themeFillTint="33"/>
          </w:tcPr>
          <w:p w:rsidR="00276190" w:rsidRPr="00843722" w:rsidRDefault="00276190" w:rsidP="00E8303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843722">
              <w:rPr>
                <w:color w:val="000000" w:themeColor="text1"/>
                <w:sz w:val="21"/>
                <w:szCs w:val="21"/>
              </w:rPr>
              <w:t>Impacts négatifs</w:t>
            </w:r>
            <w:r w:rsidR="002155D9">
              <w:rPr>
                <w:color w:val="000000" w:themeColor="text1"/>
                <w:sz w:val="21"/>
                <w:szCs w:val="21"/>
              </w:rPr>
              <w:t xml:space="preserve"> globaux</w:t>
            </w:r>
          </w:p>
        </w:tc>
      </w:tr>
      <w:tr w:rsidR="00003D2A" w:rsidRPr="00843722" w:rsidTr="00E77EA5">
        <w:trPr>
          <w:jc w:val="center"/>
        </w:trPr>
        <w:tc>
          <w:tcPr>
            <w:cnfStyle w:val="001000000000" w:firstRow="0" w:lastRow="0" w:firstColumn="1" w:lastColumn="0" w:oddVBand="0" w:evenVBand="0" w:oddHBand="0" w:evenHBand="0" w:firstRowFirstColumn="0" w:firstRowLastColumn="0" w:lastRowFirstColumn="0" w:lastRowLastColumn="0"/>
            <w:tcW w:w="2622" w:type="dxa"/>
            <w:vMerge w:val="restart"/>
            <w:shd w:val="clear" w:color="auto" w:fill="E2EFD9" w:themeFill="accent6" w:themeFillTint="33"/>
            <w:vAlign w:val="center"/>
          </w:tcPr>
          <w:p w:rsidR="007B51B5" w:rsidRPr="00345951" w:rsidRDefault="007B51B5" w:rsidP="00EA4389">
            <w:pPr>
              <w:spacing w:before="60" w:after="60"/>
              <w:jc w:val="center"/>
            </w:pPr>
          </w:p>
          <w:p w:rsidR="007B51B5" w:rsidRPr="00345951" w:rsidRDefault="007B51B5" w:rsidP="00EA4389">
            <w:pPr>
              <w:spacing w:before="60" w:after="60"/>
              <w:jc w:val="center"/>
            </w:pPr>
          </w:p>
          <w:p w:rsidR="007B51B5" w:rsidRPr="00345951" w:rsidRDefault="007B51B5" w:rsidP="00EA4389">
            <w:pPr>
              <w:spacing w:before="60" w:after="60"/>
              <w:jc w:val="center"/>
            </w:pPr>
          </w:p>
          <w:p w:rsidR="007B51B5" w:rsidRPr="00345951" w:rsidRDefault="007B51B5" w:rsidP="00EA4389">
            <w:pPr>
              <w:spacing w:before="60" w:after="60"/>
              <w:jc w:val="center"/>
            </w:pPr>
          </w:p>
          <w:p w:rsidR="007B51B5" w:rsidRPr="00345951" w:rsidRDefault="007B51B5" w:rsidP="00EA4389">
            <w:pPr>
              <w:spacing w:before="60" w:after="60"/>
              <w:jc w:val="center"/>
            </w:pPr>
          </w:p>
          <w:p w:rsidR="007B51B5" w:rsidRPr="00345951" w:rsidRDefault="007B51B5" w:rsidP="00EA4389">
            <w:pPr>
              <w:spacing w:before="60" w:after="60"/>
              <w:jc w:val="center"/>
            </w:pPr>
          </w:p>
          <w:p w:rsidR="007B51B5" w:rsidRPr="00345951" w:rsidRDefault="007B51B5" w:rsidP="00EA4389">
            <w:pPr>
              <w:spacing w:before="60" w:after="60"/>
              <w:jc w:val="center"/>
            </w:pPr>
          </w:p>
          <w:p w:rsidR="007B51B5" w:rsidRPr="00345951" w:rsidRDefault="007B51B5" w:rsidP="00EA4389">
            <w:pPr>
              <w:spacing w:before="60" w:after="60"/>
              <w:jc w:val="center"/>
            </w:pPr>
          </w:p>
          <w:p w:rsidR="007B51B5" w:rsidRPr="00345951" w:rsidRDefault="007B51B5" w:rsidP="00EA4389">
            <w:pPr>
              <w:spacing w:before="60" w:after="60"/>
              <w:jc w:val="center"/>
            </w:pPr>
          </w:p>
          <w:p w:rsidR="00003D2A" w:rsidRPr="00345951" w:rsidRDefault="00003D2A" w:rsidP="00EA4389">
            <w:pPr>
              <w:spacing w:before="60" w:after="60"/>
              <w:jc w:val="center"/>
            </w:pPr>
            <w:r w:rsidRPr="00345951">
              <w:t>Soutien à la production agricole</w:t>
            </w:r>
            <w:r w:rsidR="007B51B5" w:rsidRPr="00345951">
              <w:t xml:space="preserve"> et à la </w:t>
            </w:r>
            <w:r w:rsidR="007B51B5">
              <w:t>réhabilitation et à l’exploitation des rizières</w:t>
            </w:r>
          </w:p>
          <w:p w:rsidR="00003D2A" w:rsidRPr="00345951" w:rsidRDefault="00003D2A" w:rsidP="004F4212">
            <w:pPr>
              <w:pStyle w:val="PargrafodaLista"/>
              <w:spacing w:line="240" w:lineRule="auto"/>
              <w:jc w:val="center"/>
              <w:rPr>
                <w:rFonts w:ascii="Times New Roman" w:eastAsiaTheme="minorHAnsi" w:hAnsi="Times New Roman"/>
                <w:sz w:val="24"/>
                <w:szCs w:val="24"/>
              </w:rPr>
            </w:pPr>
          </w:p>
        </w:tc>
        <w:tc>
          <w:tcPr>
            <w:tcW w:w="8292" w:type="dxa"/>
            <w:shd w:val="clear" w:color="auto" w:fill="E2EFD9" w:themeFill="accent6" w:themeFillTint="33"/>
          </w:tcPr>
          <w:p w:rsidR="00003D2A" w:rsidRPr="00843722" w:rsidRDefault="00003D2A" w:rsidP="00E757A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843722">
              <w:rPr>
                <w:b/>
                <w:color w:val="000000" w:themeColor="text1"/>
                <w:sz w:val="21"/>
                <w:szCs w:val="21"/>
              </w:rPr>
              <w:t xml:space="preserve">En phase de </w:t>
            </w:r>
            <w:r w:rsidR="00E757A4">
              <w:rPr>
                <w:b/>
                <w:color w:val="000000" w:themeColor="text1"/>
                <w:sz w:val="21"/>
                <w:szCs w:val="21"/>
              </w:rPr>
              <w:t>travaux</w:t>
            </w:r>
            <w:r w:rsidRPr="00843722">
              <w:rPr>
                <w:b/>
                <w:color w:val="000000" w:themeColor="text1"/>
                <w:sz w:val="21"/>
                <w:szCs w:val="21"/>
              </w:rPr>
              <w:t xml:space="preserve"> du projet</w:t>
            </w:r>
          </w:p>
        </w:tc>
      </w:tr>
      <w:tr w:rsidR="00003D2A" w:rsidRPr="00843722" w:rsidTr="00E77EA5">
        <w:trPr>
          <w:jc w:val="center"/>
        </w:trPr>
        <w:tc>
          <w:tcPr>
            <w:cnfStyle w:val="001000000000" w:firstRow="0" w:lastRow="0" w:firstColumn="1" w:lastColumn="0" w:oddVBand="0" w:evenVBand="0" w:oddHBand="0" w:evenHBand="0" w:firstRowFirstColumn="0" w:firstRowLastColumn="0" w:lastRowFirstColumn="0" w:lastRowLastColumn="0"/>
            <w:tcW w:w="2622" w:type="dxa"/>
            <w:vMerge/>
            <w:shd w:val="clear" w:color="auto" w:fill="E2EFD9" w:themeFill="accent6" w:themeFillTint="33"/>
            <w:vAlign w:val="center"/>
          </w:tcPr>
          <w:p w:rsidR="00003D2A" w:rsidRPr="00843722" w:rsidRDefault="00003D2A" w:rsidP="004F4212">
            <w:pPr>
              <w:pStyle w:val="PargrafodaLista"/>
              <w:spacing w:line="240" w:lineRule="auto"/>
              <w:jc w:val="center"/>
              <w:rPr>
                <w:rFonts w:ascii="Times New Roman" w:hAnsi="Times New Roman"/>
                <w:color w:val="000000" w:themeColor="text1"/>
                <w:sz w:val="21"/>
                <w:szCs w:val="21"/>
              </w:rPr>
            </w:pPr>
          </w:p>
        </w:tc>
        <w:tc>
          <w:tcPr>
            <w:tcW w:w="8292" w:type="dxa"/>
            <w:shd w:val="clear" w:color="auto" w:fill="auto"/>
          </w:tcPr>
          <w:p w:rsidR="00A0660C" w:rsidRDefault="00003D2A" w:rsidP="00A0660C">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 de mauvais ciblages des acteurs concernés par ce projet </w:t>
            </w:r>
            <w:r w:rsidR="00A0660C">
              <w:rPr>
                <w:rFonts w:ascii="Times New Roman" w:hAnsi="Times New Roman"/>
                <w:color w:val="000000" w:themeColor="text1"/>
                <w:sz w:val="21"/>
                <w:szCs w:val="21"/>
                <w:lang w:val="fr-CA"/>
              </w:rPr>
              <w:t xml:space="preserve">(surtout par rapport aux </w:t>
            </w:r>
            <w:r w:rsidR="00A57DCB">
              <w:rPr>
                <w:rFonts w:ascii="Times New Roman" w:hAnsi="Times New Roman"/>
                <w:color w:val="000000" w:themeColor="text1"/>
                <w:sz w:val="21"/>
                <w:szCs w:val="21"/>
                <w:lang w:val="fr-CA"/>
              </w:rPr>
              <w:t>activités des</w:t>
            </w:r>
            <w:r w:rsidR="00A0660C">
              <w:rPr>
                <w:rFonts w:ascii="Times New Roman" w:hAnsi="Times New Roman"/>
                <w:color w:val="000000" w:themeColor="text1"/>
                <w:sz w:val="21"/>
                <w:szCs w:val="21"/>
                <w:lang w:val="fr-CA"/>
              </w:rPr>
              <w:t xml:space="preserve"> dons de terrain);</w:t>
            </w:r>
          </w:p>
          <w:p w:rsidR="00A0660C" w:rsidRPr="00A0660C" w:rsidRDefault="00A0660C" w:rsidP="00A0660C">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t>Risque de correction et que les personnes ne soient pas bien informées des options du projet</w:t>
            </w:r>
          </w:p>
          <w:p w:rsidR="00F81092" w:rsidRPr="00843722" w:rsidRDefault="00F81092"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rPr>
              <w:t xml:space="preserve">Le risque d’absence d’équité et de transparence, ainsi que la discrimination dans la procédure d’allocation et d’appui aux </w:t>
            </w:r>
            <w:r w:rsidR="003D240E" w:rsidRPr="00843722">
              <w:rPr>
                <w:rFonts w:ascii="Times New Roman" w:hAnsi="Times New Roman"/>
                <w:color w:val="000000" w:themeColor="text1"/>
                <w:sz w:val="21"/>
                <w:szCs w:val="21"/>
              </w:rPr>
              <w:t xml:space="preserve">bénéficiaires </w:t>
            </w:r>
            <w:r w:rsidRPr="00843722">
              <w:rPr>
                <w:rFonts w:ascii="Times New Roman" w:hAnsi="Times New Roman"/>
                <w:color w:val="000000" w:themeColor="text1"/>
                <w:sz w:val="21"/>
                <w:szCs w:val="21"/>
              </w:rPr>
              <w:t>pourraient entraîner des conflits sociaux pouvant compromettre l’atteinte des résultats escomptés par le projet</w:t>
            </w:r>
            <w:r w:rsidR="002A67B1" w:rsidRPr="00843722">
              <w:rPr>
                <w:rFonts w:ascii="Times New Roman" w:hAnsi="Times New Roman"/>
                <w:color w:val="000000" w:themeColor="text1"/>
                <w:sz w:val="21"/>
                <w:szCs w:val="21"/>
              </w:rPr>
              <w:t> ;</w:t>
            </w:r>
          </w:p>
          <w:p w:rsidR="00003D2A" w:rsidRPr="00843722" w:rsidRDefault="00003D2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conflit entre les différents acteurs concernés par les soutiens du projet ;</w:t>
            </w:r>
          </w:p>
          <w:p w:rsidR="00003D2A" w:rsidRPr="00843722" w:rsidRDefault="00003D2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distribution de mauvais semence ou d’engrais ou de matériel ;</w:t>
            </w:r>
          </w:p>
          <w:p w:rsidR="00003D2A" w:rsidRPr="00843722" w:rsidRDefault="00003D2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retard de la mise en œuvre des distributions des semence et d’engrais ;</w:t>
            </w:r>
          </w:p>
          <w:p w:rsidR="00003D2A" w:rsidRPr="00843722" w:rsidRDefault="00003D2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propagation de la pandémie de la Covid-19 ;</w:t>
            </w:r>
          </w:p>
          <w:p w:rsidR="00003D2A" w:rsidRPr="00843722" w:rsidRDefault="00003D2A"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détournement des objectifs du projet ;</w:t>
            </w:r>
          </w:p>
          <w:p w:rsidR="00003D2A" w:rsidRPr="00843722" w:rsidRDefault="00003D2A"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d’abandon des cultures vivrières en faveur l’exploitation de l’anacardier</w:t>
            </w:r>
            <w:r w:rsidR="00A0660C">
              <w:rPr>
                <w:rFonts w:ascii="Times New Roman" w:hAnsi="Times New Roman"/>
                <w:color w:val="000000" w:themeColor="text1"/>
                <w:sz w:val="21"/>
                <w:szCs w:val="21"/>
                <w:lang w:val="fr-CA"/>
              </w:rPr>
              <w:t xml:space="preserve"> à cause </w:t>
            </w:r>
            <w:r w:rsidR="001D2E91">
              <w:rPr>
                <w:rFonts w:ascii="Times New Roman" w:hAnsi="Times New Roman"/>
                <w:color w:val="000000" w:themeColor="text1"/>
                <w:sz w:val="21"/>
                <w:szCs w:val="21"/>
                <w:lang w:val="fr-CA"/>
              </w:rPr>
              <w:t>des manques de moyen financier, le temps de production et d’écoulement des produits</w:t>
            </w:r>
            <w:r w:rsidR="00E757A4">
              <w:rPr>
                <w:rFonts w:ascii="Times New Roman" w:hAnsi="Times New Roman"/>
                <w:color w:val="000000" w:themeColor="text1"/>
                <w:sz w:val="21"/>
                <w:szCs w:val="21"/>
                <w:lang w:val="fr-CA"/>
              </w:rPr>
              <w:t xml:space="preserve">, etc… </w:t>
            </w:r>
            <w:r w:rsidRPr="00843722">
              <w:rPr>
                <w:rFonts w:ascii="Times New Roman" w:hAnsi="Times New Roman"/>
                <w:color w:val="000000" w:themeColor="text1"/>
                <w:sz w:val="21"/>
                <w:szCs w:val="21"/>
                <w:lang w:val="fr-CA"/>
              </w:rPr>
              <w:t xml:space="preserve"> ; </w:t>
            </w:r>
          </w:p>
          <w:p w:rsidR="004768D1" w:rsidRPr="00843722" w:rsidRDefault="004768D1"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color w:val="000000" w:themeColor="text1"/>
                <w:sz w:val="21"/>
                <w:szCs w:val="21"/>
              </w:rPr>
            </w:pPr>
            <w:r w:rsidRPr="00843722">
              <w:rPr>
                <w:rFonts w:ascii="Times New Roman" w:hAnsi="Times New Roman"/>
                <w:color w:val="000000" w:themeColor="text1"/>
                <w:sz w:val="21"/>
                <w:szCs w:val="21"/>
              </w:rPr>
              <w:t xml:space="preserve">La mise en place des activités du projet peut entraîner une attraction des populations étrangères au niveau des zones d’intervention et cette arrivée massive de populations pourrait être à l’origine de conflits sociaux (différences des pratiques sociales, </w:t>
            </w:r>
            <w:r w:rsidR="00DD7F0C" w:rsidRPr="00843722">
              <w:rPr>
                <w:rFonts w:ascii="Times New Roman" w:hAnsi="Times New Roman"/>
                <w:color w:val="000000" w:themeColor="text1"/>
                <w:sz w:val="21"/>
                <w:szCs w:val="21"/>
              </w:rPr>
              <w:t>etc.</w:t>
            </w:r>
            <w:r w:rsidRPr="00843722">
              <w:rPr>
                <w:rFonts w:ascii="Times New Roman" w:hAnsi="Times New Roman"/>
                <w:color w:val="000000" w:themeColor="text1"/>
                <w:sz w:val="21"/>
                <w:szCs w:val="21"/>
              </w:rPr>
              <w:t xml:space="preserve">) </w:t>
            </w:r>
          </w:p>
        </w:tc>
      </w:tr>
      <w:tr w:rsidR="00003D2A" w:rsidRPr="00843722" w:rsidTr="00E77EA5">
        <w:trPr>
          <w:jc w:val="center"/>
        </w:trPr>
        <w:tc>
          <w:tcPr>
            <w:cnfStyle w:val="001000000000" w:firstRow="0" w:lastRow="0" w:firstColumn="1" w:lastColumn="0" w:oddVBand="0" w:evenVBand="0" w:oddHBand="0" w:evenHBand="0" w:firstRowFirstColumn="0" w:firstRowLastColumn="0" w:lastRowFirstColumn="0" w:lastRowLastColumn="0"/>
            <w:tcW w:w="2622" w:type="dxa"/>
            <w:vMerge/>
            <w:shd w:val="clear" w:color="auto" w:fill="E2EFD9" w:themeFill="accent6" w:themeFillTint="33"/>
            <w:vAlign w:val="center"/>
          </w:tcPr>
          <w:p w:rsidR="00003D2A" w:rsidRPr="00843722" w:rsidRDefault="00003D2A" w:rsidP="004F4212">
            <w:pPr>
              <w:pStyle w:val="PargrafodaLista"/>
              <w:spacing w:line="240" w:lineRule="auto"/>
              <w:jc w:val="center"/>
              <w:rPr>
                <w:rFonts w:ascii="Times New Roman" w:hAnsi="Times New Roman"/>
                <w:color w:val="000000" w:themeColor="text1"/>
                <w:sz w:val="21"/>
                <w:szCs w:val="21"/>
              </w:rPr>
            </w:pPr>
          </w:p>
        </w:tc>
        <w:tc>
          <w:tcPr>
            <w:tcW w:w="8292" w:type="dxa"/>
            <w:shd w:val="clear" w:color="auto" w:fill="E2EFD9" w:themeFill="accent6" w:themeFillTint="33"/>
          </w:tcPr>
          <w:p w:rsidR="00003D2A" w:rsidRPr="00843722" w:rsidRDefault="00003D2A" w:rsidP="004F421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843722">
              <w:rPr>
                <w:b/>
                <w:color w:val="000000" w:themeColor="text1"/>
                <w:sz w:val="21"/>
                <w:szCs w:val="21"/>
              </w:rPr>
              <w:t>en phase d’exploitation du projet</w:t>
            </w:r>
          </w:p>
        </w:tc>
      </w:tr>
      <w:tr w:rsidR="00003D2A" w:rsidRPr="00843722" w:rsidTr="00E77EA5">
        <w:trPr>
          <w:trHeight w:val="90"/>
          <w:jc w:val="center"/>
        </w:trPr>
        <w:tc>
          <w:tcPr>
            <w:cnfStyle w:val="001000000000" w:firstRow="0" w:lastRow="0" w:firstColumn="1" w:lastColumn="0" w:oddVBand="0" w:evenVBand="0" w:oddHBand="0" w:evenHBand="0" w:firstRowFirstColumn="0" w:firstRowLastColumn="0" w:lastRowFirstColumn="0" w:lastRowLastColumn="0"/>
            <w:tcW w:w="2622" w:type="dxa"/>
            <w:vMerge/>
            <w:vAlign w:val="center"/>
          </w:tcPr>
          <w:p w:rsidR="00003D2A" w:rsidRPr="00843722" w:rsidRDefault="00003D2A" w:rsidP="004F4212">
            <w:pPr>
              <w:pStyle w:val="PargrafodaLista"/>
              <w:spacing w:line="240" w:lineRule="auto"/>
              <w:jc w:val="center"/>
              <w:rPr>
                <w:rFonts w:ascii="Times New Roman" w:hAnsi="Times New Roman"/>
                <w:i/>
                <w:color w:val="000000" w:themeColor="text1"/>
                <w:sz w:val="21"/>
                <w:szCs w:val="21"/>
                <w:lang w:eastAsia="en-US"/>
              </w:rPr>
            </w:pPr>
          </w:p>
        </w:tc>
        <w:tc>
          <w:tcPr>
            <w:tcW w:w="8292" w:type="dxa"/>
          </w:tcPr>
          <w:p w:rsidR="00953D3D" w:rsidRPr="00843722" w:rsidRDefault="00953D3D"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1"/>
                <w:szCs w:val="21"/>
              </w:rPr>
            </w:pPr>
            <w:r w:rsidRPr="00843722">
              <w:rPr>
                <w:rFonts w:ascii="Times New Roman" w:hAnsi="Times New Roman"/>
                <w:color w:val="000000" w:themeColor="text1"/>
                <w:sz w:val="21"/>
                <w:szCs w:val="21"/>
              </w:rPr>
              <w:t xml:space="preserve">Risque de pollution des eaux dans les zones d’intervention du projet pourrait être noter à cause des utilisations irrationnelle d’engrais et pesticides. </w:t>
            </w:r>
          </w:p>
          <w:p w:rsidR="00953D3D" w:rsidRPr="00843722" w:rsidRDefault="00953D3D"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Ces utilisations des engrais et </w:t>
            </w:r>
            <w:r w:rsidR="009E5EA9" w:rsidRPr="00843722">
              <w:rPr>
                <w:rFonts w:ascii="Times New Roman" w:hAnsi="Times New Roman"/>
                <w:color w:val="000000" w:themeColor="text1"/>
                <w:sz w:val="21"/>
                <w:szCs w:val="21"/>
                <w:lang w:val="fr-CA"/>
              </w:rPr>
              <w:t>pesticides pourraient</w:t>
            </w:r>
            <w:r w:rsidRPr="00843722">
              <w:rPr>
                <w:rFonts w:ascii="Times New Roman" w:hAnsi="Times New Roman"/>
                <w:color w:val="000000" w:themeColor="text1"/>
                <w:sz w:val="21"/>
                <w:szCs w:val="21"/>
                <w:lang w:val="fr-CA"/>
              </w:rPr>
              <w:t xml:space="preserve"> engendrer des dégâts sur l’environnement (</w:t>
            </w:r>
            <w:r w:rsidRPr="00843722">
              <w:rPr>
                <w:rFonts w:ascii="Times New Roman" w:hAnsi="Times New Roman"/>
                <w:color w:val="000000" w:themeColor="text1"/>
                <w:sz w:val="21"/>
                <w:szCs w:val="21"/>
              </w:rPr>
              <w:t xml:space="preserve">dégradation de la fertilité des sols) </w:t>
            </w:r>
            <w:r w:rsidRPr="00843722">
              <w:rPr>
                <w:rFonts w:ascii="Times New Roman" w:hAnsi="Times New Roman"/>
                <w:color w:val="000000" w:themeColor="text1"/>
                <w:sz w:val="21"/>
                <w:szCs w:val="21"/>
                <w:lang w:val="fr-CA"/>
              </w:rPr>
              <w:t xml:space="preserve">et la santé des populations. </w:t>
            </w:r>
          </w:p>
          <w:p w:rsidR="00003D2A" w:rsidRPr="00843722" w:rsidRDefault="005717F0"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843722">
              <w:rPr>
                <w:rFonts w:ascii="Times New Roman" w:hAnsi="Times New Roman"/>
                <w:color w:val="000000" w:themeColor="text1"/>
                <w:sz w:val="21"/>
                <w:szCs w:val="21"/>
                <w:lang w:val="fr-CA"/>
              </w:rPr>
              <w:t>Les risques d’</w:t>
            </w:r>
            <w:r w:rsidR="00003D2A" w:rsidRPr="00843722">
              <w:rPr>
                <w:rFonts w:ascii="Times New Roman" w:hAnsi="Times New Roman"/>
                <w:color w:val="000000" w:themeColor="text1"/>
                <w:sz w:val="21"/>
                <w:szCs w:val="21"/>
                <w:lang w:val="fr-CA"/>
              </w:rPr>
              <w:t>abattage d</w:t>
            </w:r>
            <w:r w:rsidR="00D8266B" w:rsidRPr="00843722">
              <w:rPr>
                <w:rFonts w:ascii="Times New Roman" w:hAnsi="Times New Roman"/>
                <w:color w:val="000000" w:themeColor="text1"/>
                <w:sz w:val="21"/>
                <w:szCs w:val="21"/>
                <w:lang w:val="fr-CA"/>
              </w:rPr>
              <w:t xml:space="preserve">es </w:t>
            </w:r>
            <w:r w:rsidR="00003D2A" w:rsidRPr="00843722">
              <w:rPr>
                <w:rFonts w:ascii="Times New Roman" w:hAnsi="Times New Roman"/>
                <w:color w:val="000000" w:themeColor="text1"/>
                <w:sz w:val="21"/>
                <w:szCs w:val="21"/>
                <w:lang w:val="fr-CA"/>
              </w:rPr>
              <w:t xml:space="preserve">arbres lors des travaux d’aménagement des périmètres </w:t>
            </w:r>
            <w:r w:rsidR="0080377E" w:rsidRPr="00843722">
              <w:rPr>
                <w:rFonts w:ascii="Times New Roman" w:hAnsi="Times New Roman"/>
                <w:color w:val="000000" w:themeColor="text1"/>
                <w:sz w:val="21"/>
                <w:szCs w:val="21"/>
                <w:lang w:val="fr-CA"/>
              </w:rPr>
              <w:t>(</w:t>
            </w:r>
            <w:r w:rsidR="00003D2A" w:rsidRPr="00843722">
              <w:rPr>
                <w:rFonts w:ascii="Times New Roman" w:hAnsi="Times New Roman"/>
                <w:color w:val="000000" w:themeColor="text1"/>
                <w:sz w:val="21"/>
                <w:szCs w:val="21"/>
                <w:lang w:val="fr-CA"/>
              </w:rPr>
              <w:t>agricoles</w:t>
            </w:r>
            <w:r w:rsidR="0080377E" w:rsidRPr="00843722">
              <w:rPr>
                <w:rFonts w:ascii="Times New Roman" w:hAnsi="Times New Roman"/>
                <w:color w:val="000000" w:themeColor="text1"/>
                <w:sz w:val="21"/>
                <w:szCs w:val="21"/>
                <w:lang w:val="fr-CA"/>
              </w:rPr>
              <w:t xml:space="preserve"> ou des rizières</w:t>
            </w:r>
            <w:r w:rsidR="00DF430C" w:rsidRPr="00843722">
              <w:rPr>
                <w:rFonts w:ascii="Times New Roman" w:hAnsi="Times New Roman"/>
                <w:color w:val="000000" w:themeColor="text1"/>
                <w:sz w:val="21"/>
                <w:szCs w:val="21"/>
                <w:lang w:val="fr-CA"/>
              </w:rPr>
              <w:t>)</w:t>
            </w:r>
            <w:r w:rsidR="0022431B" w:rsidRPr="00843722">
              <w:rPr>
                <w:rFonts w:ascii="Times New Roman" w:hAnsi="Times New Roman"/>
                <w:color w:val="000000" w:themeColor="text1"/>
                <w:sz w:val="21"/>
                <w:szCs w:val="21"/>
              </w:rPr>
              <w:t xml:space="preserve"> </w:t>
            </w:r>
            <w:r w:rsidR="00DF430C" w:rsidRPr="00843722">
              <w:rPr>
                <w:rFonts w:ascii="Times New Roman" w:hAnsi="Times New Roman"/>
                <w:color w:val="000000" w:themeColor="text1"/>
                <w:sz w:val="21"/>
                <w:szCs w:val="21"/>
              </w:rPr>
              <w:t>pourraient réduire l</w:t>
            </w:r>
            <w:r w:rsidR="00EC4DCB" w:rsidRPr="00843722">
              <w:rPr>
                <w:rFonts w:ascii="Times New Roman" w:hAnsi="Times New Roman"/>
                <w:color w:val="000000" w:themeColor="text1"/>
                <w:sz w:val="21"/>
                <w:szCs w:val="21"/>
              </w:rPr>
              <w:t>es ressources forestières</w:t>
            </w:r>
            <w:r w:rsidR="00DF430C" w:rsidRPr="00843722">
              <w:rPr>
                <w:rFonts w:ascii="Times New Roman" w:hAnsi="Times New Roman"/>
                <w:color w:val="000000" w:themeColor="text1"/>
                <w:sz w:val="21"/>
                <w:szCs w:val="21"/>
              </w:rPr>
              <w:t>.</w:t>
            </w:r>
            <w:r w:rsidR="00EC4DCB" w:rsidRPr="00843722">
              <w:rPr>
                <w:rFonts w:ascii="Times New Roman" w:hAnsi="Times New Roman"/>
                <w:color w:val="000000" w:themeColor="text1"/>
                <w:sz w:val="21"/>
                <w:szCs w:val="21"/>
              </w:rPr>
              <w:t xml:space="preserve"> </w:t>
            </w:r>
          </w:p>
          <w:p w:rsidR="00DC6839" w:rsidRPr="00843722" w:rsidRDefault="00AD57E6"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rPr>
              <w:t xml:space="preserve">Intensification culturale pourrait entraîner une augmentation de l’utilisation des pesticides d’où </w:t>
            </w:r>
            <w:r w:rsidR="00E7677B" w:rsidRPr="00843722">
              <w:rPr>
                <w:rFonts w:ascii="Times New Roman" w:hAnsi="Times New Roman"/>
                <w:color w:val="000000" w:themeColor="text1"/>
                <w:sz w:val="21"/>
                <w:szCs w:val="21"/>
              </w:rPr>
              <w:t xml:space="preserve">le </w:t>
            </w:r>
            <w:r w:rsidR="00E7677B" w:rsidRPr="00843722">
              <w:rPr>
                <w:rFonts w:ascii="Times New Roman" w:hAnsi="Times New Roman"/>
                <w:color w:val="000000" w:themeColor="text1"/>
                <w:sz w:val="21"/>
                <w:szCs w:val="21"/>
                <w:lang w:val="fr-CA"/>
              </w:rPr>
              <w:t>r</w:t>
            </w:r>
            <w:r w:rsidR="00003D2A" w:rsidRPr="00843722">
              <w:rPr>
                <w:rFonts w:ascii="Times New Roman" w:hAnsi="Times New Roman"/>
                <w:color w:val="000000" w:themeColor="text1"/>
                <w:sz w:val="21"/>
                <w:szCs w:val="21"/>
                <w:lang w:val="fr-CA"/>
              </w:rPr>
              <w:t>isque de développement de maladies liées à l’eau (Paludisme, Bilharziose, maladies diarrhéiques, dermatoses, etc.</w:t>
            </w:r>
            <w:r w:rsidR="00540CD9" w:rsidRPr="00843722">
              <w:rPr>
                <w:rFonts w:ascii="Times New Roman" w:hAnsi="Times New Roman"/>
                <w:color w:val="000000" w:themeColor="text1"/>
                <w:sz w:val="21"/>
                <w:szCs w:val="21"/>
                <w:lang w:val="fr-CA"/>
              </w:rPr>
              <w:t>)</w:t>
            </w:r>
            <w:r w:rsidR="00003D2A" w:rsidRPr="00843722">
              <w:rPr>
                <w:rFonts w:ascii="Times New Roman" w:hAnsi="Times New Roman"/>
                <w:color w:val="000000" w:themeColor="text1"/>
                <w:sz w:val="21"/>
                <w:szCs w:val="21"/>
                <w:lang w:val="fr-CA"/>
              </w:rPr>
              <w:t xml:space="preserve"> ;</w:t>
            </w:r>
          </w:p>
          <w:p w:rsidR="008D589A" w:rsidRPr="00843722" w:rsidRDefault="00003D2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color w:val="000000" w:themeColor="text1"/>
                <w:sz w:val="21"/>
                <w:szCs w:val="21"/>
              </w:rPr>
            </w:pPr>
            <w:r w:rsidRPr="00843722">
              <w:rPr>
                <w:rFonts w:ascii="Times New Roman" w:hAnsi="Times New Roman"/>
                <w:color w:val="000000" w:themeColor="text1"/>
                <w:sz w:val="21"/>
                <w:szCs w:val="21"/>
                <w:lang w:val="fr-CA"/>
              </w:rPr>
              <w:t>Risque d’apparition et/ou prolifération de plantes aquatiques envahissantes (typhas, riz sauvage, etc.) modifiant l’hydraulicité des cours d’eau</w:t>
            </w:r>
            <w:r w:rsidR="0079313D" w:rsidRPr="00843722">
              <w:rPr>
                <w:rFonts w:ascii="Times New Roman" w:hAnsi="Times New Roman"/>
                <w:color w:val="000000" w:themeColor="text1"/>
                <w:sz w:val="21"/>
                <w:szCs w:val="21"/>
                <w:lang w:val="fr-CA"/>
              </w:rPr>
              <w:t xml:space="preserve"> </w:t>
            </w:r>
            <w:r w:rsidR="00777DFB" w:rsidRPr="00843722">
              <w:rPr>
                <w:rFonts w:ascii="Times New Roman" w:hAnsi="Times New Roman"/>
                <w:color w:val="000000" w:themeColor="text1"/>
                <w:sz w:val="21"/>
                <w:szCs w:val="21"/>
              </w:rPr>
              <w:t xml:space="preserve">à cause des utilisations irrationnelle d’engrais et </w:t>
            </w:r>
            <w:r w:rsidR="00AF65EB" w:rsidRPr="00843722">
              <w:rPr>
                <w:rFonts w:ascii="Times New Roman" w:hAnsi="Times New Roman"/>
                <w:color w:val="000000" w:themeColor="text1"/>
                <w:sz w:val="21"/>
                <w:szCs w:val="21"/>
              </w:rPr>
              <w:t>pesticides.</w:t>
            </w:r>
          </w:p>
          <w:p w:rsidR="008D589A" w:rsidRPr="00843722" w:rsidRDefault="008D589A"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843722">
              <w:rPr>
                <w:rFonts w:ascii="Times New Roman" w:hAnsi="Times New Roman"/>
                <w:color w:val="000000" w:themeColor="text1"/>
                <w:sz w:val="21"/>
                <w:szCs w:val="21"/>
              </w:rPr>
              <w:t xml:space="preserve">L'aménagement des périmètres agricoles pourrait entraîner également la perte des pâturages et cela peut être à l'origine des conflits entre les éleveurs et les agriculteurs. </w:t>
            </w:r>
          </w:p>
          <w:p w:rsidR="00003D2A" w:rsidRPr="00843722" w:rsidRDefault="00003D2A" w:rsidP="00157035">
            <w:pPr>
              <w:numPr>
                <w:ilvl w:val="0"/>
                <w:numId w:val="60"/>
              </w:numPr>
              <w:ind w:left="151" w:hanging="142"/>
              <w:jc w:val="both"/>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fr-CA"/>
              </w:rPr>
            </w:pPr>
            <w:r w:rsidRPr="00843722">
              <w:rPr>
                <w:color w:val="000000" w:themeColor="text1"/>
                <w:sz w:val="21"/>
                <w:szCs w:val="21"/>
                <w:lang w:val="fr-CA"/>
              </w:rPr>
              <w:t>Risque de prolifération des IST/VIH SIDA</w:t>
            </w:r>
            <w:r w:rsidR="00390188" w:rsidRPr="00843722">
              <w:rPr>
                <w:color w:val="000000" w:themeColor="text1"/>
                <w:sz w:val="21"/>
                <w:szCs w:val="21"/>
                <w:lang w:val="fr-CA"/>
              </w:rPr>
              <w:t xml:space="preserve"> et à la</w:t>
            </w:r>
            <w:r w:rsidR="001C4270" w:rsidRPr="00843722">
              <w:rPr>
                <w:color w:val="000000" w:themeColor="text1"/>
                <w:sz w:val="21"/>
                <w:szCs w:val="21"/>
                <w:lang w:val="fr-CA"/>
              </w:rPr>
              <w:t xml:space="preserve"> propagation de la Covid 19 à cause de l’</w:t>
            </w:r>
            <w:r w:rsidR="001C4270" w:rsidRPr="00843722">
              <w:rPr>
                <w:rFonts w:eastAsia="Calibri"/>
                <w:color w:val="000000" w:themeColor="text1"/>
                <w:sz w:val="21"/>
                <w:szCs w:val="21"/>
              </w:rPr>
              <w:t>attraction des populations étrangères ;</w:t>
            </w:r>
          </w:p>
          <w:p w:rsidR="00A20B98" w:rsidRPr="00843722" w:rsidRDefault="00A20B98" w:rsidP="00157035">
            <w:pPr>
              <w:numPr>
                <w:ilvl w:val="0"/>
                <w:numId w:val="60"/>
              </w:numPr>
              <w:ind w:left="151" w:hanging="142"/>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1"/>
                <w:szCs w:val="21"/>
              </w:rPr>
            </w:pPr>
            <w:r w:rsidRPr="00843722">
              <w:rPr>
                <w:rFonts w:eastAsia="Calibri"/>
                <w:color w:val="000000" w:themeColor="text1"/>
                <w:sz w:val="21"/>
                <w:szCs w:val="21"/>
              </w:rPr>
              <w:t xml:space="preserve">Risque d’augmentation </w:t>
            </w:r>
            <w:r w:rsidR="007D7B20" w:rsidRPr="00843722">
              <w:rPr>
                <w:rFonts w:eastAsia="Calibri"/>
                <w:color w:val="000000" w:themeColor="text1"/>
                <w:sz w:val="21"/>
                <w:szCs w:val="21"/>
              </w:rPr>
              <w:t>d</w:t>
            </w:r>
            <w:r w:rsidRPr="00843722">
              <w:rPr>
                <w:rFonts w:eastAsia="Calibri"/>
                <w:color w:val="000000" w:themeColor="text1"/>
                <w:sz w:val="21"/>
                <w:szCs w:val="21"/>
              </w:rPr>
              <w:t xml:space="preserve">es exploitations et </w:t>
            </w:r>
            <w:r w:rsidR="007D7B20" w:rsidRPr="00843722">
              <w:rPr>
                <w:rFonts w:eastAsia="Calibri"/>
                <w:color w:val="000000" w:themeColor="text1"/>
                <w:sz w:val="21"/>
                <w:szCs w:val="21"/>
              </w:rPr>
              <w:t xml:space="preserve">des </w:t>
            </w:r>
            <w:r w:rsidRPr="00843722">
              <w:rPr>
                <w:rFonts w:eastAsia="Calibri"/>
                <w:color w:val="000000" w:themeColor="text1"/>
                <w:sz w:val="21"/>
                <w:szCs w:val="21"/>
              </w:rPr>
              <w:t>abus sexuels, y c</w:t>
            </w:r>
            <w:r w:rsidR="007D7B20" w:rsidRPr="00843722">
              <w:rPr>
                <w:rFonts w:eastAsia="Calibri"/>
                <w:color w:val="000000" w:themeColor="text1"/>
                <w:sz w:val="21"/>
                <w:szCs w:val="21"/>
              </w:rPr>
              <w:t>ompris chez les moins de 18 ans dans les zone d’intervention</w:t>
            </w:r>
            <w:r w:rsidR="00301967" w:rsidRPr="00843722">
              <w:rPr>
                <w:rFonts w:eastAsia="Calibri"/>
                <w:color w:val="000000" w:themeColor="text1"/>
                <w:sz w:val="21"/>
                <w:szCs w:val="21"/>
              </w:rPr>
              <w:t> ;</w:t>
            </w:r>
          </w:p>
          <w:p w:rsidR="00A20B98" w:rsidRPr="00843722" w:rsidRDefault="00301967" w:rsidP="00157035">
            <w:pPr>
              <w:numPr>
                <w:ilvl w:val="0"/>
                <w:numId w:val="60"/>
              </w:numPr>
              <w:ind w:left="151" w:hanging="142"/>
              <w:jc w:val="both"/>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fr-CA"/>
              </w:rPr>
            </w:pPr>
            <w:r w:rsidRPr="00843722">
              <w:rPr>
                <w:color w:val="000000" w:themeColor="text1"/>
                <w:sz w:val="21"/>
                <w:szCs w:val="21"/>
              </w:rPr>
              <w:t>Risque d’augmentation de VBG et en particulier d'EAS</w:t>
            </w:r>
            <w:r w:rsidR="00003032">
              <w:rPr>
                <w:color w:val="000000" w:themeColor="text1"/>
                <w:sz w:val="21"/>
                <w:szCs w:val="21"/>
              </w:rPr>
              <w:t>/HS</w:t>
            </w:r>
            <w:r w:rsidRPr="00843722">
              <w:rPr>
                <w:color w:val="000000" w:themeColor="text1"/>
                <w:sz w:val="21"/>
                <w:szCs w:val="21"/>
              </w:rPr>
              <w:t> ;</w:t>
            </w:r>
          </w:p>
          <w:p w:rsidR="00003D2A" w:rsidRPr="00843722" w:rsidRDefault="00003D2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pollution du sol, des eaux de surface et de la nappe phréatique par les pestes et pesticides ;</w:t>
            </w:r>
          </w:p>
          <w:p w:rsidR="00003D2A" w:rsidRPr="00843722" w:rsidRDefault="00003D2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pollution et eutrophisation des eaux (cours d’eau) et du sol par les eaux de drainage, entraînant aussi une détérioration des conditions de vie des poissons et autres espèces aquatiques ;</w:t>
            </w:r>
          </w:p>
          <w:p w:rsidR="00003D2A" w:rsidRPr="00843722" w:rsidRDefault="00003D2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d’inondation des périmètres agricoles ;</w:t>
            </w:r>
          </w:p>
          <w:p w:rsidR="00003D2A" w:rsidRPr="00843722" w:rsidRDefault="00003D2A"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1"/>
                <w:szCs w:val="21"/>
                <w:u w:val="single"/>
                <w:lang w:val="fr-CA"/>
              </w:rPr>
            </w:pPr>
            <w:r w:rsidRPr="00843722">
              <w:rPr>
                <w:rFonts w:ascii="Times New Roman" w:hAnsi="Times New Roman"/>
                <w:color w:val="000000" w:themeColor="text1"/>
                <w:sz w:val="21"/>
                <w:szCs w:val="21"/>
                <w:lang w:val="fr-CA"/>
              </w:rPr>
              <w:t>Etc.</w:t>
            </w:r>
            <w:r w:rsidRPr="00843722">
              <w:rPr>
                <w:rFonts w:ascii="Times New Roman" w:hAnsi="Times New Roman"/>
                <w:b/>
                <w:color w:val="000000" w:themeColor="text1"/>
                <w:sz w:val="21"/>
                <w:szCs w:val="21"/>
                <w:lang w:val="fr-CA"/>
              </w:rPr>
              <w:t xml:space="preserve"> </w:t>
            </w:r>
          </w:p>
        </w:tc>
      </w:tr>
    </w:tbl>
    <w:p w:rsidR="000D486B" w:rsidRPr="0097333C" w:rsidRDefault="000D486B" w:rsidP="00157035">
      <w:pPr>
        <w:pStyle w:val="Cabealho6"/>
        <w:numPr>
          <w:ilvl w:val="5"/>
          <w:numId w:val="105"/>
        </w:numPr>
        <w:spacing w:line="240" w:lineRule="auto"/>
        <w:ind w:left="0" w:right="-847"/>
        <w:jc w:val="center"/>
        <w:rPr>
          <w:rFonts w:ascii="Times New Roman" w:hAnsi="Times New Roman"/>
          <w:b/>
          <w:i w:val="0"/>
          <w:iCs w:val="0"/>
          <w:color w:val="auto"/>
          <w:sz w:val="24"/>
          <w:szCs w:val="24"/>
        </w:rPr>
      </w:pPr>
      <w:r w:rsidRPr="0097333C">
        <w:rPr>
          <w:rFonts w:ascii="Times New Roman" w:hAnsi="Times New Roman"/>
          <w:b/>
          <w:i w:val="0"/>
          <w:iCs w:val="0"/>
          <w:color w:val="auto"/>
          <w:sz w:val="24"/>
          <w:szCs w:val="24"/>
        </w:rPr>
        <w:t>Soutien aux Filets de Sécurité communautaires (la création d’emploi, la réhabilitation des structures de stockage, l</w:t>
      </w:r>
      <w:r w:rsidR="00A05714" w:rsidRPr="0097333C">
        <w:rPr>
          <w:rFonts w:ascii="Times New Roman" w:hAnsi="Times New Roman"/>
          <w:b/>
          <w:i w:val="0"/>
          <w:iCs w:val="0"/>
          <w:color w:val="auto"/>
          <w:sz w:val="24"/>
          <w:szCs w:val="24"/>
        </w:rPr>
        <w:t>’</w:t>
      </w:r>
      <w:r w:rsidRPr="0097333C">
        <w:rPr>
          <w:rFonts w:ascii="Times New Roman" w:hAnsi="Times New Roman"/>
          <w:b/>
          <w:i w:val="0"/>
          <w:iCs w:val="0"/>
          <w:color w:val="auto"/>
          <w:sz w:val="24"/>
          <w:szCs w:val="24"/>
        </w:rPr>
        <w:t>ouverture de routes d</w:t>
      </w:r>
      <w:r w:rsidR="00A05714" w:rsidRPr="0097333C">
        <w:rPr>
          <w:rFonts w:ascii="Times New Roman" w:hAnsi="Times New Roman"/>
          <w:b/>
          <w:i w:val="0"/>
          <w:iCs w:val="0"/>
          <w:color w:val="auto"/>
          <w:sz w:val="24"/>
          <w:szCs w:val="24"/>
        </w:rPr>
        <w:t>’</w:t>
      </w:r>
      <w:r w:rsidRPr="0097333C">
        <w:rPr>
          <w:rFonts w:ascii="Times New Roman" w:hAnsi="Times New Roman"/>
          <w:b/>
          <w:i w:val="0"/>
          <w:iCs w:val="0"/>
          <w:color w:val="auto"/>
          <w:sz w:val="24"/>
          <w:szCs w:val="24"/>
        </w:rPr>
        <w:t>accès aux zones de production agricole, la construction de marchés locaux, etc.)</w:t>
      </w:r>
    </w:p>
    <w:p w:rsidR="00242A77" w:rsidRPr="00A05698" w:rsidRDefault="00242A77" w:rsidP="00157035">
      <w:pPr>
        <w:pStyle w:val="Cabealho3"/>
        <w:keepLines/>
        <w:numPr>
          <w:ilvl w:val="0"/>
          <w:numId w:val="107"/>
        </w:numPr>
        <w:spacing w:before="120" w:after="120"/>
        <w:jc w:val="both"/>
        <w:rPr>
          <w:rFonts w:ascii="Times New Roman" w:hAnsi="Times New Roman"/>
        </w:rPr>
      </w:pPr>
      <w:r w:rsidRPr="00A05698">
        <w:rPr>
          <w:rFonts w:ascii="Times New Roman" w:hAnsi="Times New Roman"/>
        </w:rPr>
        <w:t xml:space="preserve">Les impacts négatifs du projet </w:t>
      </w:r>
      <w:bookmarkEnd w:id="244"/>
      <w:bookmarkEnd w:id="245"/>
    </w:p>
    <w:p w:rsidR="009B655A" w:rsidRPr="00A05698" w:rsidRDefault="00242A77" w:rsidP="00843722">
      <w:pPr>
        <w:ind w:left="-284" w:right="-851"/>
        <w:jc w:val="both"/>
      </w:pPr>
      <w:r w:rsidRPr="00A05698">
        <w:t>Les impacts sur l’environnement dus à la construction</w:t>
      </w:r>
      <w:r w:rsidR="00FD6009" w:rsidRPr="00A05698">
        <w:t xml:space="preserve"> et l’exploitation</w:t>
      </w:r>
      <w:r w:rsidRPr="00A05698">
        <w:t xml:space="preserve"> des infrastructures </w:t>
      </w:r>
      <w:r w:rsidR="0055230F" w:rsidRPr="00A05698">
        <w:t>(la réhabilitation des structures de stockage, l</w:t>
      </w:r>
      <w:r w:rsidR="00A05714" w:rsidRPr="00A05698">
        <w:t>’</w:t>
      </w:r>
      <w:r w:rsidR="0055230F" w:rsidRPr="00A05698">
        <w:t>ouverture de routes d</w:t>
      </w:r>
      <w:r w:rsidR="00A05714" w:rsidRPr="00A05698">
        <w:t>’</w:t>
      </w:r>
      <w:r w:rsidR="0055230F" w:rsidRPr="00A05698">
        <w:t>accès aux zones de production agricole, la construction de marchés locaux, etc.)</w:t>
      </w:r>
      <w:r w:rsidRPr="00A05698">
        <w:t xml:space="preserve">, sont perceptibles sur le milieu physique, le milieu biologique et le milieu socio-économique. Il s’agira entre autres des impacts suivants : </w:t>
      </w:r>
    </w:p>
    <w:p w:rsidR="00E77EA5" w:rsidRPr="00A05698" w:rsidRDefault="00CF21BF" w:rsidP="00C87747">
      <w:pPr>
        <w:pStyle w:val="Primeiroavanodecorpodetexto2"/>
        <w:spacing w:after="0" w:line="240" w:lineRule="auto"/>
        <w:jc w:val="center"/>
        <w:rPr>
          <w:rFonts w:ascii="Times New Roman" w:hAnsi="Times New Roman"/>
          <w:b/>
        </w:rPr>
      </w:pPr>
      <w:bookmarkStart w:id="249" w:name="_Toc55460643"/>
      <w:bookmarkStart w:id="250" w:name="_Toc73522623"/>
      <w:r w:rsidRPr="00A05698">
        <w:rPr>
          <w:rFonts w:ascii="Times New Roman" w:hAnsi="Times New Roman"/>
          <w:b/>
        </w:rPr>
        <w:t>Ta</w:t>
      </w:r>
      <w:r w:rsidR="00242A77" w:rsidRPr="00A05698">
        <w:rPr>
          <w:rFonts w:ascii="Times New Roman" w:hAnsi="Times New Roman"/>
          <w:b/>
        </w:rPr>
        <w:t xml:space="preserve">bleau </w:t>
      </w:r>
      <w:r w:rsidR="00121744" w:rsidRPr="00A05698">
        <w:rPr>
          <w:rFonts w:ascii="Times New Roman" w:hAnsi="Times New Roman"/>
          <w:b/>
        </w:rPr>
        <w:fldChar w:fldCharType="begin"/>
      </w:r>
      <w:r w:rsidR="00121744" w:rsidRPr="00A05698">
        <w:rPr>
          <w:rFonts w:ascii="Times New Roman" w:hAnsi="Times New Roman"/>
          <w:b/>
        </w:rPr>
        <w:instrText xml:space="preserve"> </w:instrText>
      </w:r>
      <w:r w:rsidR="006C5620">
        <w:rPr>
          <w:rFonts w:ascii="Times New Roman" w:hAnsi="Times New Roman"/>
          <w:b/>
        </w:rPr>
        <w:instrText>SEQ</w:instrText>
      </w:r>
      <w:r w:rsidR="00121744" w:rsidRPr="00A05698">
        <w:rPr>
          <w:rFonts w:ascii="Times New Roman" w:hAnsi="Times New Roman"/>
          <w:b/>
        </w:rPr>
        <w:instrText xml:space="preserve"> Tableau \* ARABIC </w:instrText>
      </w:r>
      <w:r w:rsidR="00121744" w:rsidRPr="00A05698">
        <w:rPr>
          <w:rFonts w:ascii="Times New Roman" w:hAnsi="Times New Roman"/>
          <w:b/>
        </w:rPr>
        <w:fldChar w:fldCharType="separate"/>
      </w:r>
      <w:r w:rsidR="00D51AB3">
        <w:rPr>
          <w:rFonts w:ascii="Times New Roman" w:hAnsi="Times New Roman"/>
          <w:b/>
          <w:noProof/>
        </w:rPr>
        <w:t>17</w:t>
      </w:r>
      <w:r w:rsidR="00121744" w:rsidRPr="00A05698">
        <w:rPr>
          <w:rFonts w:ascii="Times New Roman" w:hAnsi="Times New Roman"/>
          <w:b/>
        </w:rPr>
        <w:fldChar w:fldCharType="end"/>
      </w:r>
      <w:r w:rsidR="00242A77" w:rsidRPr="00A05698">
        <w:rPr>
          <w:rFonts w:ascii="Times New Roman" w:hAnsi="Times New Roman"/>
          <w:b/>
        </w:rPr>
        <w:t xml:space="preserve">. </w:t>
      </w:r>
      <w:r w:rsidRPr="00A05698">
        <w:rPr>
          <w:rFonts w:ascii="Times New Roman" w:hAnsi="Times New Roman"/>
          <w:b/>
        </w:rPr>
        <w:t xml:space="preserve"> </w:t>
      </w:r>
      <w:r w:rsidR="00B2308C" w:rsidRPr="00A05698">
        <w:rPr>
          <w:rFonts w:ascii="Times New Roman" w:hAnsi="Times New Roman"/>
          <w:b/>
        </w:rPr>
        <w:t>L</w:t>
      </w:r>
      <w:r w:rsidR="00242A77" w:rsidRPr="00A05698">
        <w:rPr>
          <w:rFonts w:ascii="Times New Roman" w:hAnsi="Times New Roman"/>
          <w:b/>
        </w:rPr>
        <w:t>es</w:t>
      </w:r>
      <w:r w:rsidR="00B2308C" w:rsidRPr="00A05698">
        <w:rPr>
          <w:rFonts w:ascii="Times New Roman" w:hAnsi="Times New Roman"/>
          <w:b/>
        </w:rPr>
        <w:t xml:space="preserve"> </w:t>
      </w:r>
      <w:r w:rsidR="00242A77" w:rsidRPr="00A05698">
        <w:rPr>
          <w:rFonts w:ascii="Times New Roman" w:hAnsi="Times New Roman"/>
          <w:b/>
        </w:rPr>
        <w:t>impacts négatifs potentiels de la mise en œuvre des activités du projet</w:t>
      </w:r>
      <w:bookmarkEnd w:id="249"/>
      <w:bookmarkEnd w:id="250"/>
    </w:p>
    <w:tbl>
      <w:tblPr>
        <w:tblpPr w:leftFromText="141" w:rightFromText="141" w:vertAnchor="text" w:tblpXSpec="center" w:tblpY="1"/>
        <w:tblOverlap w:val="never"/>
        <w:tblW w:w="1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19"/>
        <w:gridCol w:w="9573"/>
      </w:tblGrid>
      <w:tr w:rsidR="00E77EA5" w:rsidRPr="00843722" w:rsidTr="00A57DCB">
        <w:trPr>
          <w:trHeight w:val="326"/>
          <w:tblHeader/>
        </w:trPr>
        <w:tc>
          <w:tcPr>
            <w:tcW w:w="1619" w:type="dxa"/>
            <w:tcBorders>
              <w:top w:val="single" w:sz="4" w:space="0" w:color="auto"/>
            </w:tcBorders>
            <w:shd w:val="clear" w:color="auto" w:fill="DEEAF6" w:themeFill="accent1" w:themeFillTint="33"/>
            <w:vAlign w:val="center"/>
          </w:tcPr>
          <w:p w:rsidR="00E77EA5" w:rsidRPr="00843722" w:rsidRDefault="00E77EA5" w:rsidP="004C4F3D">
            <w:pPr>
              <w:jc w:val="center"/>
              <w:rPr>
                <w:rFonts w:eastAsia="Calibri"/>
                <w:b/>
                <w:bCs/>
                <w:sz w:val="21"/>
                <w:szCs w:val="21"/>
              </w:rPr>
            </w:pPr>
            <w:r w:rsidRPr="00843722">
              <w:rPr>
                <w:rFonts w:eastAsia="Calibri"/>
                <w:b/>
                <w:bCs/>
                <w:color w:val="000000"/>
                <w:sz w:val="21"/>
                <w:szCs w:val="21"/>
              </w:rPr>
              <w:t>Activités</w:t>
            </w:r>
          </w:p>
        </w:tc>
        <w:tc>
          <w:tcPr>
            <w:tcW w:w="9573" w:type="dxa"/>
            <w:tcBorders>
              <w:top w:val="single" w:sz="4" w:space="0" w:color="auto"/>
            </w:tcBorders>
            <w:shd w:val="clear" w:color="auto" w:fill="DEEAF6" w:themeFill="accent1" w:themeFillTint="33"/>
            <w:vAlign w:val="center"/>
          </w:tcPr>
          <w:p w:rsidR="00E77EA5" w:rsidRPr="00843722" w:rsidRDefault="00E77EA5" w:rsidP="004C4F3D">
            <w:pPr>
              <w:jc w:val="center"/>
              <w:rPr>
                <w:rFonts w:eastAsia="Calibri"/>
                <w:b/>
                <w:bCs/>
                <w:sz w:val="21"/>
                <w:szCs w:val="21"/>
              </w:rPr>
            </w:pPr>
            <w:r w:rsidRPr="00843722">
              <w:rPr>
                <w:rFonts w:eastAsia="Calibri"/>
                <w:b/>
                <w:bCs/>
                <w:color w:val="000000"/>
                <w:sz w:val="21"/>
                <w:szCs w:val="21"/>
              </w:rPr>
              <w:t>Impacts négatifs majeurs du projet</w:t>
            </w:r>
          </w:p>
        </w:tc>
      </w:tr>
      <w:tr w:rsidR="00E77EA5" w:rsidRPr="00843722" w:rsidTr="00A57DCB">
        <w:trPr>
          <w:trHeight w:val="326"/>
          <w:tblHeader/>
        </w:trPr>
        <w:tc>
          <w:tcPr>
            <w:tcW w:w="1619" w:type="dxa"/>
            <w:tcBorders>
              <w:top w:val="single" w:sz="4" w:space="0" w:color="auto"/>
            </w:tcBorders>
            <w:shd w:val="clear" w:color="auto" w:fill="EDEDED" w:themeFill="accent3" w:themeFillTint="33"/>
            <w:vAlign w:val="center"/>
          </w:tcPr>
          <w:p w:rsidR="00E77EA5" w:rsidRPr="00843722" w:rsidRDefault="00E77EA5" w:rsidP="002155D9">
            <w:pPr>
              <w:jc w:val="center"/>
              <w:rPr>
                <w:rFonts w:eastAsia="Calibri"/>
                <w:b/>
                <w:bCs/>
                <w:color w:val="000000"/>
                <w:sz w:val="21"/>
                <w:szCs w:val="21"/>
              </w:rPr>
            </w:pPr>
          </w:p>
        </w:tc>
        <w:tc>
          <w:tcPr>
            <w:tcW w:w="9573" w:type="dxa"/>
            <w:tcBorders>
              <w:top w:val="single" w:sz="4" w:space="0" w:color="auto"/>
            </w:tcBorders>
            <w:shd w:val="clear" w:color="auto" w:fill="FFFFFF" w:themeFill="background1"/>
            <w:vAlign w:val="center"/>
          </w:tcPr>
          <w:p w:rsidR="00E77EA5" w:rsidRPr="00345951" w:rsidRDefault="00E77EA5" w:rsidP="002155D9">
            <w:pPr>
              <w:jc w:val="center"/>
              <w:rPr>
                <w:rFonts w:eastAsia="Calibri"/>
                <w:b/>
                <w:bCs/>
                <w:color w:val="000000"/>
                <w:sz w:val="28"/>
                <w:szCs w:val="28"/>
              </w:rPr>
            </w:pPr>
            <w:r w:rsidRPr="00345951">
              <w:rPr>
                <w:rFonts w:eastAsia="Calibri"/>
                <w:b/>
                <w:bCs/>
                <w:color w:val="000000"/>
                <w:sz w:val="28"/>
                <w:szCs w:val="28"/>
              </w:rPr>
              <w:t>En phase</w:t>
            </w:r>
            <w:r w:rsidR="002155D9" w:rsidRPr="00345951">
              <w:rPr>
                <w:rFonts w:eastAsia="Calibri"/>
                <w:b/>
                <w:bCs/>
                <w:color w:val="000000"/>
                <w:sz w:val="28"/>
                <w:szCs w:val="28"/>
              </w:rPr>
              <w:t xml:space="preserve"> </w:t>
            </w:r>
            <w:r w:rsidR="002155D9" w:rsidRPr="00345951">
              <w:rPr>
                <w:b/>
                <w:sz w:val="28"/>
                <w:szCs w:val="28"/>
              </w:rPr>
              <w:t>travaux</w:t>
            </w:r>
          </w:p>
        </w:tc>
      </w:tr>
      <w:tr w:rsidR="005E5934" w:rsidRPr="00843722" w:rsidTr="00A57DCB">
        <w:trPr>
          <w:trHeight w:val="326"/>
          <w:tblHeader/>
        </w:trPr>
        <w:tc>
          <w:tcPr>
            <w:tcW w:w="1619" w:type="dxa"/>
            <w:shd w:val="clear" w:color="auto" w:fill="EDEDED" w:themeFill="accent3" w:themeFillTint="33"/>
            <w:vAlign w:val="center"/>
          </w:tcPr>
          <w:p w:rsidR="00A57DCB" w:rsidRDefault="00A57DCB" w:rsidP="00A57DCB">
            <w:pPr>
              <w:jc w:val="center"/>
              <w:rPr>
                <w:b/>
                <w:sz w:val="21"/>
                <w:szCs w:val="21"/>
              </w:rPr>
            </w:pPr>
            <w:r w:rsidRPr="00843722">
              <w:rPr>
                <w:b/>
                <w:sz w:val="21"/>
                <w:szCs w:val="21"/>
              </w:rPr>
              <w:t>Soutien aux Filets de Sécurité communautaires</w:t>
            </w:r>
          </w:p>
          <w:p w:rsidR="005E5934" w:rsidRPr="00843722" w:rsidRDefault="00A57DCB" w:rsidP="00A57DCB">
            <w:pPr>
              <w:jc w:val="center"/>
              <w:rPr>
                <w:b/>
                <w:sz w:val="21"/>
                <w:szCs w:val="21"/>
              </w:rPr>
            </w:pPr>
            <w:r>
              <w:rPr>
                <w:b/>
                <w:sz w:val="21"/>
                <w:szCs w:val="21"/>
              </w:rPr>
              <w:t xml:space="preserve"> (</w:t>
            </w:r>
            <w:r>
              <w:rPr>
                <w:b/>
              </w:rPr>
              <w:t xml:space="preserve"> C</w:t>
            </w:r>
            <w:r w:rsidRPr="005857A6">
              <w:rPr>
                <w:b/>
              </w:rPr>
              <w:t>ommuns aux différents travaux</w:t>
            </w:r>
            <w:r>
              <w:rPr>
                <w:b/>
              </w:rPr>
              <w:t>)</w:t>
            </w:r>
          </w:p>
        </w:tc>
        <w:tc>
          <w:tcPr>
            <w:tcW w:w="9573" w:type="dxa"/>
            <w:tcBorders>
              <w:top w:val="single" w:sz="4" w:space="0" w:color="auto"/>
            </w:tcBorders>
            <w:shd w:val="clear" w:color="auto" w:fill="FFFFFF" w:themeFill="background1"/>
            <w:vAlign w:val="center"/>
          </w:tcPr>
          <w:p w:rsidR="005E5934" w:rsidRPr="00843722" w:rsidRDefault="005E5934" w:rsidP="005E5934">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 d’émission de poussières ; </w:t>
            </w:r>
          </w:p>
          <w:p w:rsidR="005E5934" w:rsidRPr="00843722" w:rsidRDefault="005E5934" w:rsidP="005E5934">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d’émissions de gaz d’échappement</w:t>
            </w:r>
          </w:p>
          <w:p w:rsidR="005E5934" w:rsidRPr="00843722" w:rsidRDefault="005E5934" w:rsidP="005E5934">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 de pollution des sols dû aux déversements accidentels d’huiles ou d’hydrocarbures </w:t>
            </w:r>
          </w:p>
          <w:p w:rsidR="005E5934" w:rsidRDefault="005E5934" w:rsidP="00345951">
            <w:pPr>
              <w:pStyle w:val="PargrafodaLista"/>
              <w:numPr>
                <w:ilvl w:val="0"/>
                <w:numId w:val="60"/>
              </w:numPr>
              <w:spacing w:line="240" w:lineRule="auto"/>
              <w:ind w:left="151" w:hanging="142"/>
              <w:jc w:val="both"/>
              <w:rPr>
                <w:color w:val="000000" w:themeColor="text1"/>
                <w:sz w:val="21"/>
                <w:szCs w:val="21"/>
                <w:lang w:val="fr-CA"/>
              </w:rPr>
            </w:pPr>
            <w:r w:rsidRPr="00843722">
              <w:rPr>
                <w:rFonts w:ascii="Times New Roman" w:hAnsi="Times New Roman"/>
                <w:color w:val="000000" w:themeColor="text1"/>
                <w:sz w:val="21"/>
                <w:szCs w:val="21"/>
                <w:lang w:val="fr-CA"/>
              </w:rPr>
              <w:t>Risque de perte de végétation et de la faune dans les zones d’intervention du projet</w:t>
            </w:r>
          </w:p>
          <w:p w:rsidR="005E5934" w:rsidRPr="00843722" w:rsidRDefault="005E5934" w:rsidP="005E5934">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pollution des eaux de surface liée aux déversements accidentels de produits d’hydrocarbures</w:t>
            </w:r>
          </w:p>
          <w:p w:rsidR="005E5934" w:rsidRPr="00843722" w:rsidRDefault="005E5934" w:rsidP="005E5934">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modification de l’aspect du paysage ;</w:t>
            </w:r>
          </w:p>
          <w:p w:rsidR="002279DE" w:rsidRPr="00843722" w:rsidRDefault="002279DE" w:rsidP="002279DE">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pollution visuelle ;</w:t>
            </w:r>
          </w:p>
          <w:p w:rsidR="002279DE" w:rsidRPr="00843722" w:rsidRDefault="002279DE" w:rsidP="002279DE">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frustrations au niveau local (non utilisation de la main d’œuvre résidente)</w:t>
            </w:r>
          </w:p>
          <w:p w:rsidR="005E5934" w:rsidRDefault="002279DE" w:rsidP="00345951">
            <w:pPr>
              <w:pStyle w:val="PargrafodaLista"/>
              <w:numPr>
                <w:ilvl w:val="0"/>
                <w:numId w:val="60"/>
              </w:numPr>
              <w:spacing w:line="240" w:lineRule="auto"/>
              <w:ind w:left="151" w:hanging="142"/>
              <w:jc w:val="both"/>
              <w:rPr>
                <w:color w:val="000000" w:themeColor="text1"/>
                <w:sz w:val="21"/>
                <w:szCs w:val="21"/>
                <w:lang w:val="fr-CA"/>
              </w:rPr>
            </w:pPr>
            <w:r w:rsidRPr="00843722">
              <w:rPr>
                <w:rFonts w:ascii="Times New Roman" w:hAnsi="Times New Roman"/>
                <w:color w:val="000000" w:themeColor="text1"/>
                <w:sz w:val="21"/>
                <w:szCs w:val="21"/>
                <w:lang w:val="fr-CA"/>
              </w:rPr>
              <w:t>Risques de production de bruit (émissions sonores),</w:t>
            </w:r>
          </w:p>
          <w:p w:rsidR="00CB1D1C" w:rsidRPr="00843722" w:rsidRDefault="00CB1D1C" w:rsidP="00CB1D1C">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maladies professionnelles consécutives à des efforts physiques, des écrasements, des chocs, des gestes répétitifs, des mauvaises postures, etc.</w:t>
            </w:r>
          </w:p>
          <w:p w:rsidR="00CB1D1C" w:rsidRPr="00843722" w:rsidRDefault="00CB1D1C" w:rsidP="00CB1D1C">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d’expansion du SIDA et des maladies sexuellement transmissibles ;</w:t>
            </w:r>
          </w:p>
          <w:p w:rsidR="00CB1D1C" w:rsidRPr="00843722" w:rsidRDefault="00CB1D1C" w:rsidP="00CB1D1C">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sz w:val="21"/>
                <w:szCs w:val="21"/>
              </w:rPr>
              <w:t>Risque de sécurité des travailleurs au travail ;</w:t>
            </w:r>
          </w:p>
          <w:p w:rsidR="00CB1D1C" w:rsidRPr="00843722" w:rsidRDefault="00CB1D1C" w:rsidP="00CB1D1C">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propagation de la COVID 19 ;</w:t>
            </w:r>
          </w:p>
          <w:p w:rsidR="00CB1D1C" w:rsidRPr="00843722" w:rsidRDefault="00CB1D1C" w:rsidP="00CB1D1C">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d’incendie au niveau des chantiers ;</w:t>
            </w:r>
          </w:p>
          <w:p w:rsidR="00CB1D1C" w:rsidRPr="00843722" w:rsidRDefault="00CB1D1C" w:rsidP="00CB1D1C">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d’accidents dus à la circulation des véhicules et camion de chantier ;</w:t>
            </w:r>
          </w:p>
          <w:p w:rsidR="00CB1D1C" w:rsidRPr="00843722" w:rsidRDefault="00CB1D1C" w:rsidP="00CB1D1C">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Risques de production de déchets solides et liquides durant la construction des </w:t>
            </w:r>
            <w:r w:rsidR="005857A6" w:rsidRPr="00843722">
              <w:rPr>
                <w:rFonts w:ascii="Times New Roman" w:hAnsi="Times New Roman"/>
                <w:color w:val="000000" w:themeColor="text1"/>
                <w:sz w:val="21"/>
                <w:szCs w:val="21"/>
                <w:lang w:val="fr-CA"/>
              </w:rPr>
              <w:t>infrastructures ;</w:t>
            </w:r>
          </w:p>
          <w:p w:rsidR="00CB1D1C" w:rsidRPr="00A57DCB" w:rsidRDefault="00CB1D1C" w:rsidP="00CB1D1C">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A57DCB">
              <w:rPr>
                <w:rFonts w:ascii="Times New Roman" w:hAnsi="Times New Roman"/>
                <w:color w:val="000000" w:themeColor="text1"/>
                <w:sz w:val="21"/>
                <w:szCs w:val="21"/>
              </w:rPr>
              <w:t>Risque d’augmentation des exploitations et des abus sexuels, y compris chez les moins de 18 ans dans les zone d’intervention ;</w:t>
            </w:r>
          </w:p>
          <w:p w:rsidR="00CB1D1C" w:rsidRPr="004A3B1A" w:rsidRDefault="00CB1D1C" w:rsidP="00CB1D1C">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4A3B1A">
              <w:rPr>
                <w:rFonts w:ascii="Times New Roman" w:hAnsi="Times New Roman"/>
                <w:color w:val="000000" w:themeColor="text1"/>
                <w:sz w:val="21"/>
                <w:szCs w:val="21"/>
              </w:rPr>
              <w:t>Risque d’augmentation de VBG et en particulier d'EAS ;</w:t>
            </w:r>
            <w:r w:rsidRPr="004A3B1A">
              <w:rPr>
                <w:rFonts w:ascii="Times New Roman" w:hAnsi="Times New Roman"/>
                <w:sz w:val="21"/>
                <w:szCs w:val="21"/>
              </w:rPr>
              <w:t xml:space="preserve"> </w:t>
            </w:r>
          </w:p>
          <w:p w:rsidR="00CB1D1C" w:rsidRPr="00345951" w:rsidRDefault="00CB1D1C" w:rsidP="00345951">
            <w:pPr>
              <w:pStyle w:val="PargrafodaLista"/>
              <w:numPr>
                <w:ilvl w:val="0"/>
                <w:numId w:val="60"/>
              </w:numPr>
              <w:spacing w:line="240" w:lineRule="auto"/>
              <w:ind w:left="151" w:hanging="142"/>
              <w:jc w:val="both"/>
              <w:rPr>
                <w:color w:val="000000" w:themeColor="text1"/>
                <w:sz w:val="21"/>
                <w:szCs w:val="21"/>
                <w:lang w:val="fr-CA"/>
              </w:rPr>
            </w:pPr>
            <w:r w:rsidRPr="004A3B1A">
              <w:rPr>
                <w:rFonts w:ascii="Times New Roman" w:hAnsi="Times New Roman"/>
                <w:sz w:val="21"/>
                <w:szCs w:val="21"/>
              </w:rPr>
              <w:t>Risque au niveau de la santé et de la sécurité des communautés ;</w:t>
            </w:r>
          </w:p>
          <w:p w:rsidR="002B1101" w:rsidRPr="00345951" w:rsidRDefault="002B1101" w:rsidP="00345951">
            <w:pPr>
              <w:pStyle w:val="PargrafodaLista"/>
              <w:numPr>
                <w:ilvl w:val="0"/>
                <w:numId w:val="60"/>
              </w:numPr>
              <w:spacing w:line="240" w:lineRule="auto"/>
              <w:ind w:left="151" w:hanging="142"/>
              <w:jc w:val="both"/>
              <w:rPr>
                <w:color w:val="000000" w:themeColor="text1"/>
                <w:sz w:val="21"/>
                <w:szCs w:val="21"/>
                <w:lang w:val="fr-CA"/>
              </w:rPr>
            </w:pPr>
            <w:r>
              <w:rPr>
                <w:rFonts w:ascii="Times New Roman" w:hAnsi="Times New Roman"/>
                <w:color w:val="000000" w:themeColor="text1"/>
                <w:sz w:val="21"/>
                <w:szCs w:val="21"/>
                <w:lang w:val="fr-CA"/>
              </w:rPr>
              <w:t>R</w:t>
            </w:r>
            <w:r w:rsidRPr="00C65144">
              <w:rPr>
                <w:rFonts w:ascii="Times New Roman" w:hAnsi="Times New Roman"/>
                <w:color w:val="000000" w:themeColor="text1"/>
                <w:sz w:val="21"/>
                <w:szCs w:val="21"/>
              </w:rPr>
              <w:t xml:space="preserve">isque de découvertes fortuites du patrimoine </w:t>
            </w:r>
            <w:r w:rsidRPr="005857A6">
              <w:rPr>
                <w:rFonts w:ascii="Times New Roman" w:hAnsi="Times New Roman"/>
                <w:color w:val="000000" w:themeColor="text1"/>
                <w:sz w:val="21"/>
                <w:szCs w:val="21"/>
              </w:rPr>
              <w:t>archéologique</w:t>
            </w:r>
            <w:r w:rsidRPr="00C65144">
              <w:rPr>
                <w:rFonts w:ascii="Times New Roman" w:hAnsi="Times New Roman"/>
                <w:color w:val="000000" w:themeColor="text1"/>
                <w:sz w:val="21"/>
                <w:szCs w:val="21"/>
              </w:rPr>
              <w:t xml:space="preserve"> lors des travaux de construction</w:t>
            </w:r>
          </w:p>
        </w:tc>
      </w:tr>
      <w:tr w:rsidR="005857A6" w:rsidRPr="00843722" w:rsidTr="00A57DCB">
        <w:trPr>
          <w:trHeight w:val="326"/>
          <w:tblHeader/>
        </w:trPr>
        <w:tc>
          <w:tcPr>
            <w:tcW w:w="1619" w:type="dxa"/>
            <w:shd w:val="clear" w:color="auto" w:fill="EDEDED" w:themeFill="accent3" w:themeFillTint="33"/>
            <w:vAlign w:val="center"/>
          </w:tcPr>
          <w:p w:rsidR="005857A6" w:rsidRPr="00843722" w:rsidRDefault="005857A6" w:rsidP="002155D9">
            <w:pPr>
              <w:jc w:val="center"/>
              <w:rPr>
                <w:b/>
                <w:sz w:val="21"/>
                <w:szCs w:val="21"/>
              </w:rPr>
            </w:pPr>
            <w:r>
              <w:rPr>
                <w:b/>
                <w:sz w:val="21"/>
                <w:szCs w:val="21"/>
              </w:rPr>
              <w:t>O</w:t>
            </w:r>
            <w:r w:rsidRPr="00843722">
              <w:rPr>
                <w:b/>
                <w:sz w:val="21"/>
                <w:szCs w:val="21"/>
              </w:rPr>
              <w:t>uverture de routes d’accès aux zones de production agricole</w:t>
            </w:r>
          </w:p>
        </w:tc>
        <w:tc>
          <w:tcPr>
            <w:tcW w:w="9573" w:type="dxa"/>
            <w:tcBorders>
              <w:top w:val="single" w:sz="4" w:space="0" w:color="auto"/>
            </w:tcBorders>
            <w:shd w:val="clear" w:color="auto" w:fill="FFFFFF" w:themeFill="background1"/>
            <w:vAlign w:val="center"/>
          </w:tcPr>
          <w:p w:rsidR="005857A6" w:rsidRPr="00345951" w:rsidRDefault="005857A6" w:rsidP="005857A6">
            <w:pPr>
              <w:pStyle w:val="PargrafodaLista"/>
              <w:numPr>
                <w:ilvl w:val="0"/>
                <w:numId w:val="60"/>
              </w:numPr>
              <w:tabs>
                <w:tab w:val="left" w:pos="74"/>
              </w:tabs>
              <w:autoSpaceDE w:val="0"/>
              <w:autoSpaceDN w:val="0"/>
              <w:adjustRightInd w:val="0"/>
              <w:ind w:left="183" w:hanging="283"/>
              <w:jc w:val="both"/>
              <w:rPr>
                <w:rFonts w:ascii="Times New Roman" w:hAnsi="Times New Roman"/>
                <w:sz w:val="21"/>
                <w:szCs w:val="21"/>
                <w:lang w:val="fr-CA"/>
              </w:rPr>
            </w:pPr>
            <w:r w:rsidRPr="00345951">
              <w:rPr>
                <w:rFonts w:ascii="Times New Roman" w:hAnsi="Times New Roman"/>
                <w:sz w:val="21"/>
                <w:szCs w:val="21"/>
                <w:lang w:val="fr-CA"/>
              </w:rPr>
              <w:t>Risque d’abattage des arbres lors de la</w:t>
            </w:r>
            <w:r w:rsidRPr="005857A6">
              <w:rPr>
                <w:rFonts w:ascii="Times New Roman" w:hAnsi="Times New Roman"/>
                <w:sz w:val="21"/>
                <w:szCs w:val="21"/>
                <w:lang w:val="fr-CA"/>
              </w:rPr>
              <w:t xml:space="preserve"> réalisation des voies d</w:t>
            </w:r>
            <w:r>
              <w:rPr>
                <w:rFonts w:ascii="Times New Roman" w:hAnsi="Times New Roman"/>
                <w:sz w:val="21"/>
                <w:szCs w:val="21"/>
                <w:lang w:val="fr-CA"/>
              </w:rPr>
              <w:t>’accès</w:t>
            </w:r>
          </w:p>
          <w:p w:rsidR="005857A6" w:rsidRPr="005857A6" w:rsidRDefault="005857A6" w:rsidP="005857A6">
            <w:pPr>
              <w:pStyle w:val="PargrafodaLista"/>
              <w:numPr>
                <w:ilvl w:val="0"/>
                <w:numId w:val="60"/>
              </w:numPr>
              <w:tabs>
                <w:tab w:val="left" w:pos="74"/>
              </w:tabs>
              <w:autoSpaceDE w:val="0"/>
              <w:autoSpaceDN w:val="0"/>
              <w:adjustRightInd w:val="0"/>
              <w:ind w:left="183" w:hanging="283"/>
              <w:jc w:val="both"/>
              <w:rPr>
                <w:rFonts w:ascii="Times New Roman" w:hAnsi="Times New Roman"/>
                <w:sz w:val="21"/>
                <w:szCs w:val="21"/>
                <w:lang w:val="fr-CA"/>
              </w:rPr>
            </w:pPr>
            <w:r w:rsidRPr="005857A6">
              <w:rPr>
                <w:rFonts w:ascii="Times New Roman" w:hAnsi="Times New Roman"/>
                <w:sz w:val="21"/>
                <w:szCs w:val="21"/>
                <w:lang w:val="fr-CA"/>
              </w:rPr>
              <w:t xml:space="preserve">Risque de perturbation de l’équilibre fonctionnel des écosystèmes naturels </w:t>
            </w:r>
          </w:p>
          <w:p w:rsidR="005857A6" w:rsidRPr="00345951" w:rsidRDefault="005857A6" w:rsidP="005857A6">
            <w:pPr>
              <w:pStyle w:val="PargrafodaLista"/>
              <w:numPr>
                <w:ilvl w:val="0"/>
                <w:numId w:val="60"/>
              </w:numPr>
              <w:tabs>
                <w:tab w:val="left" w:pos="74"/>
              </w:tabs>
              <w:autoSpaceDE w:val="0"/>
              <w:autoSpaceDN w:val="0"/>
              <w:adjustRightInd w:val="0"/>
              <w:ind w:left="183" w:hanging="283"/>
              <w:jc w:val="both"/>
              <w:rPr>
                <w:rFonts w:ascii="Times New Roman" w:hAnsi="Times New Roman"/>
                <w:sz w:val="21"/>
                <w:szCs w:val="21"/>
                <w:lang w:val="fr-CA"/>
              </w:rPr>
            </w:pPr>
            <w:r w:rsidRPr="00345951">
              <w:rPr>
                <w:rFonts w:ascii="Times New Roman" w:hAnsi="Times New Roman"/>
                <w:sz w:val="21"/>
                <w:szCs w:val="21"/>
                <w:lang w:val="fr-CA"/>
              </w:rPr>
              <w:t>Risque de détérioration irréversible des habitats et de la flore dans les zones d’emprunt</w:t>
            </w:r>
          </w:p>
          <w:p w:rsidR="005857A6" w:rsidRPr="00345951" w:rsidRDefault="005857A6" w:rsidP="005857A6">
            <w:pPr>
              <w:pStyle w:val="PargrafodaLista"/>
              <w:numPr>
                <w:ilvl w:val="0"/>
                <w:numId w:val="60"/>
              </w:numPr>
              <w:tabs>
                <w:tab w:val="left" w:pos="74"/>
              </w:tabs>
              <w:autoSpaceDE w:val="0"/>
              <w:autoSpaceDN w:val="0"/>
              <w:adjustRightInd w:val="0"/>
              <w:ind w:left="183" w:hanging="283"/>
              <w:jc w:val="both"/>
              <w:rPr>
                <w:rFonts w:ascii="Times New Roman" w:hAnsi="Times New Roman"/>
                <w:sz w:val="21"/>
                <w:szCs w:val="21"/>
                <w:lang w:val="fr-CA"/>
              </w:rPr>
            </w:pPr>
            <w:r w:rsidRPr="00345951">
              <w:rPr>
                <w:rFonts w:ascii="Times New Roman" w:hAnsi="Times New Roman"/>
                <w:sz w:val="21"/>
                <w:szCs w:val="21"/>
                <w:lang w:val="fr-CA"/>
              </w:rPr>
              <w:t>Risques d’accidents pendant le déplacement des engins et au cours des travaux ;</w:t>
            </w:r>
          </w:p>
          <w:p w:rsidR="005857A6" w:rsidRPr="005857A6" w:rsidRDefault="005857A6" w:rsidP="005857A6">
            <w:pPr>
              <w:pStyle w:val="PargrafodaLista"/>
              <w:numPr>
                <w:ilvl w:val="0"/>
                <w:numId w:val="60"/>
              </w:numPr>
              <w:tabs>
                <w:tab w:val="left" w:pos="74"/>
              </w:tabs>
              <w:autoSpaceDE w:val="0"/>
              <w:autoSpaceDN w:val="0"/>
              <w:adjustRightInd w:val="0"/>
              <w:ind w:left="183" w:hanging="283"/>
              <w:jc w:val="both"/>
              <w:rPr>
                <w:rFonts w:ascii="Times New Roman" w:hAnsi="Times New Roman"/>
                <w:sz w:val="21"/>
                <w:szCs w:val="21"/>
                <w:lang w:val="fr-CA"/>
              </w:rPr>
            </w:pPr>
            <w:r w:rsidRPr="005857A6">
              <w:rPr>
                <w:rFonts w:ascii="Times New Roman" w:hAnsi="Times New Roman"/>
                <w:sz w:val="21"/>
                <w:szCs w:val="21"/>
                <w:lang w:val="fr-CA"/>
              </w:rPr>
              <w:t>Risque de pollution du sol et des eaux ;</w:t>
            </w:r>
          </w:p>
          <w:p w:rsidR="005857A6" w:rsidRPr="00CA77F4" w:rsidRDefault="005857A6" w:rsidP="005857A6">
            <w:pPr>
              <w:pStyle w:val="PargrafodaLista"/>
              <w:numPr>
                <w:ilvl w:val="0"/>
                <w:numId w:val="60"/>
              </w:numPr>
              <w:tabs>
                <w:tab w:val="left" w:pos="74"/>
              </w:tabs>
              <w:autoSpaceDE w:val="0"/>
              <w:autoSpaceDN w:val="0"/>
              <w:adjustRightInd w:val="0"/>
              <w:ind w:left="183" w:hanging="283"/>
              <w:jc w:val="both"/>
              <w:rPr>
                <w:rFonts w:ascii="Times New Roman" w:hAnsi="Times New Roman"/>
                <w:sz w:val="21"/>
                <w:szCs w:val="21"/>
                <w:lang w:eastAsia="en-US"/>
              </w:rPr>
            </w:pPr>
            <w:r w:rsidRPr="00CA77F4">
              <w:rPr>
                <w:rFonts w:ascii="Times New Roman" w:hAnsi="Times New Roman"/>
                <w:sz w:val="21"/>
                <w:szCs w:val="21"/>
                <w:lang w:val="fr-CA"/>
              </w:rPr>
              <w:t>Risque de déstructuration du sol</w:t>
            </w:r>
            <w:r w:rsidRPr="00CA77F4">
              <w:rPr>
                <w:sz w:val="21"/>
                <w:szCs w:val="21"/>
              </w:rPr>
              <w:t> ;</w:t>
            </w:r>
          </w:p>
          <w:p w:rsidR="005857A6" w:rsidRPr="00345951" w:rsidRDefault="005857A6" w:rsidP="005857A6">
            <w:pPr>
              <w:pStyle w:val="PargrafodaLista"/>
              <w:numPr>
                <w:ilvl w:val="0"/>
                <w:numId w:val="60"/>
              </w:numPr>
              <w:tabs>
                <w:tab w:val="left" w:pos="74"/>
              </w:tabs>
              <w:autoSpaceDE w:val="0"/>
              <w:autoSpaceDN w:val="0"/>
              <w:adjustRightInd w:val="0"/>
              <w:ind w:left="183" w:hanging="283"/>
              <w:jc w:val="both"/>
              <w:rPr>
                <w:rFonts w:ascii="Times New Roman" w:hAnsi="Times New Roman"/>
                <w:sz w:val="21"/>
                <w:szCs w:val="21"/>
                <w:lang w:eastAsia="en-US"/>
              </w:rPr>
            </w:pPr>
            <w:r w:rsidRPr="00345951">
              <w:rPr>
                <w:rFonts w:ascii="Times New Roman" w:hAnsi="Times New Roman"/>
                <w:sz w:val="21"/>
                <w:szCs w:val="21"/>
                <w:lang w:val="fr-CA"/>
              </w:rPr>
              <w:t>Risque de perturbation des activités économiques dans les zones de travaux</w:t>
            </w:r>
          </w:p>
          <w:p w:rsidR="005857A6" w:rsidRPr="00345951" w:rsidRDefault="005857A6" w:rsidP="005857A6">
            <w:pPr>
              <w:pStyle w:val="PargrafodaLista"/>
              <w:numPr>
                <w:ilvl w:val="0"/>
                <w:numId w:val="60"/>
              </w:numPr>
              <w:tabs>
                <w:tab w:val="left" w:pos="74"/>
              </w:tabs>
              <w:autoSpaceDE w:val="0"/>
              <w:autoSpaceDN w:val="0"/>
              <w:adjustRightInd w:val="0"/>
              <w:ind w:left="183" w:hanging="283"/>
              <w:jc w:val="both"/>
              <w:rPr>
                <w:rFonts w:ascii="Times New Roman" w:hAnsi="Times New Roman"/>
                <w:sz w:val="21"/>
                <w:szCs w:val="21"/>
                <w:lang w:eastAsia="en-US"/>
              </w:rPr>
            </w:pPr>
            <w:r w:rsidRPr="00345951">
              <w:rPr>
                <w:rFonts w:ascii="Times New Roman" w:hAnsi="Times New Roman"/>
                <w:sz w:val="21"/>
                <w:szCs w:val="21"/>
                <w:lang w:val="fr-CA"/>
              </w:rPr>
              <w:t>Risque de c</w:t>
            </w:r>
            <w:r w:rsidRPr="00345951">
              <w:rPr>
                <w:rFonts w:ascii="Times New Roman" w:hAnsi="Times New Roman"/>
                <w:sz w:val="21"/>
                <w:szCs w:val="21"/>
                <w:lang w:eastAsia="en-US"/>
              </w:rPr>
              <w:t>conflits sociaux liés au recrutement de la main d’œuvre locale</w:t>
            </w:r>
          </w:p>
          <w:p w:rsidR="005857A6" w:rsidRPr="00345951" w:rsidRDefault="005857A6" w:rsidP="005857A6">
            <w:pPr>
              <w:pStyle w:val="PargrafodaLista"/>
              <w:numPr>
                <w:ilvl w:val="0"/>
                <w:numId w:val="60"/>
              </w:numPr>
              <w:tabs>
                <w:tab w:val="left" w:pos="74"/>
              </w:tabs>
              <w:autoSpaceDE w:val="0"/>
              <w:autoSpaceDN w:val="0"/>
              <w:adjustRightInd w:val="0"/>
              <w:ind w:left="183" w:hanging="283"/>
              <w:jc w:val="both"/>
              <w:rPr>
                <w:rFonts w:ascii="Times New Roman" w:hAnsi="Times New Roman"/>
                <w:sz w:val="21"/>
                <w:szCs w:val="21"/>
                <w:lang w:val="fr-CA"/>
              </w:rPr>
            </w:pPr>
            <w:r w:rsidRPr="00345951">
              <w:rPr>
                <w:rFonts w:ascii="Times New Roman" w:hAnsi="Times New Roman"/>
                <w:sz w:val="21"/>
                <w:szCs w:val="21"/>
                <w:lang w:val="fr-CA"/>
              </w:rPr>
              <w:t xml:space="preserve">Risques d’accidents pour la faune, le cheptel et les hommes liés au passage des véhicules </w:t>
            </w:r>
          </w:p>
          <w:p w:rsidR="005857A6" w:rsidRPr="00345951" w:rsidRDefault="005857A6" w:rsidP="005857A6">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5857A6">
              <w:rPr>
                <w:rFonts w:ascii="Times New Roman" w:hAnsi="Times New Roman"/>
                <w:sz w:val="21"/>
                <w:szCs w:val="21"/>
                <w:lang w:val="fr-CA"/>
              </w:rPr>
              <w:t>Recrudescence des maladies respiratoires</w:t>
            </w:r>
          </w:p>
          <w:p w:rsidR="002B1101" w:rsidRDefault="002B1101" w:rsidP="002B1101">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d’altérer la qualité de la ressource due aux prélèvements dans les points d’eau avoisinants</w:t>
            </w:r>
          </w:p>
          <w:p w:rsidR="00E01DB2" w:rsidRDefault="00E01DB2" w:rsidP="009F5E01">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 d’obstruction des couloirs de transhumance du bétail ou bien empiéter sur les espaces pastoraux ou bien empiéter sur espaces forestiers. </w:t>
            </w:r>
          </w:p>
          <w:p w:rsidR="0066398A" w:rsidRPr="00345951" w:rsidRDefault="0066398A" w:rsidP="009F5E01">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Pr>
                <w:sz w:val="18"/>
                <w:szCs w:val="18"/>
              </w:rPr>
              <w:t>-</w:t>
            </w:r>
            <w:r>
              <w:rPr>
                <w:rFonts w:ascii="Times New Roman" w:hAnsi="Times New Roman"/>
                <w:sz w:val="18"/>
                <w:szCs w:val="18"/>
              </w:rPr>
              <w:t>Risque d’incendie ou de feu de brousse ;</w:t>
            </w:r>
          </w:p>
        </w:tc>
      </w:tr>
      <w:tr w:rsidR="00E77EA5" w:rsidRPr="00843722" w:rsidTr="00A57DCB">
        <w:trPr>
          <w:trHeight w:val="340"/>
          <w:tblHeader/>
        </w:trPr>
        <w:tc>
          <w:tcPr>
            <w:tcW w:w="1619" w:type="dxa"/>
            <w:shd w:val="clear" w:color="auto" w:fill="EDEDED" w:themeFill="accent3" w:themeFillTint="33"/>
            <w:vAlign w:val="center"/>
          </w:tcPr>
          <w:p w:rsidR="00E77EA5" w:rsidRPr="00843722" w:rsidRDefault="00063E9E" w:rsidP="005857A6">
            <w:pPr>
              <w:jc w:val="center"/>
              <w:rPr>
                <w:rFonts w:eastAsia="Calibri"/>
                <w:b/>
                <w:bCs/>
                <w:color w:val="000000"/>
                <w:sz w:val="21"/>
                <w:szCs w:val="21"/>
              </w:rPr>
            </w:pPr>
            <w:r>
              <w:rPr>
                <w:b/>
                <w:sz w:val="21"/>
                <w:szCs w:val="21"/>
              </w:rPr>
              <w:t>L</w:t>
            </w:r>
            <w:r w:rsidR="002155D9" w:rsidRPr="00843722">
              <w:rPr>
                <w:b/>
                <w:sz w:val="21"/>
                <w:szCs w:val="21"/>
              </w:rPr>
              <w:t>a réhabilitat</w:t>
            </w:r>
            <w:r w:rsidR="005857A6">
              <w:rPr>
                <w:b/>
                <w:sz w:val="21"/>
                <w:szCs w:val="21"/>
              </w:rPr>
              <w:t>ion des structures de stockage,</w:t>
            </w:r>
            <w:r w:rsidR="002155D9" w:rsidRPr="00843722">
              <w:rPr>
                <w:b/>
                <w:sz w:val="21"/>
                <w:szCs w:val="21"/>
              </w:rPr>
              <w:t xml:space="preserve"> la construction de marchés locaux, etc.)</w:t>
            </w:r>
          </w:p>
        </w:tc>
        <w:tc>
          <w:tcPr>
            <w:tcW w:w="9573" w:type="dxa"/>
            <w:tcBorders>
              <w:top w:val="single" w:sz="4" w:space="0" w:color="auto"/>
            </w:tcBorders>
            <w:shd w:val="clear" w:color="auto" w:fill="FFFFFF" w:themeFill="background1"/>
            <w:vAlign w:val="center"/>
          </w:tcPr>
          <w:p w:rsidR="00E77EA5" w:rsidRPr="00843722" w:rsidRDefault="00E77EA5"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perturbation du système de drainage naturel des eaux</w:t>
            </w:r>
          </w:p>
          <w:p w:rsidR="00E77EA5" w:rsidRPr="00843722" w:rsidRDefault="00E77EA5"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conflits sociaux liés à des mouvements de revendication au sein de la communauté, si le choix des sites pour l’implantation des infrastructures n’est pas fait sur une base consensuelle ;</w:t>
            </w:r>
          </w:p>
          <w:p w:rsidR="00E77EA5" w:rsidRPr="00843722" w:rsidRDefault="00E77EA5"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perte de terres au niveau des secteurs concernés pour la réalisation des marchés et d</w:t>
            </w:r>
            <w:r w:rsidR="008D4CD7">
              <w:rPr>
                <w:rFonts w:ascii="Times New Roman" w:hAnsi="Times New Roman"/>
                <w:color w:val="000000" w:themeColor="text1"/>
                <w:sz w:val="21"/>
                <w:szCs w:val="21"/>
                <w:lang w:val="fr-CA"/>
              </w:rPr>
              <w:t>es structures de stockage</w:t>
            </w:r>
            <w:r w:rsidRPr="00843722">
              <w:rPr>
                <w:rFonts w:ascii="Times New Roman" w:hAnsi="Times New Roman"/>
                <w:color w:val="000000" w:themeColor="text1"/>
                <w:sz w:val="21"/>
                <w:szCs w:val="21"/>
                <w:lang w:val="fr-CA"/>
              </w:rPr>
              <w:t> ;</w:t>
            </w:r>
          </w:p>
          <w:p w:rsidR="00E77EA5" w:rsidRDefault="00E77EA5"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gènes et de perturbations de la circulation des véhicules ;</w:t>
            </w:r>
          </w:p>
          <w:p w:rsidR="008D4CD7" w:rsidRDefault="00CA77F4"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Risque perturbation des activités économiques des zones concernées ;</w:t>
            </w:r>
          </w:p>
          <w:p w:rsidR="00CA77F4" w:rsidRDefault="00CA77F4"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 xml:space="preserve">Risque d’accident professionnelle au niveau des chantiers due à la </w:t>
            </w:r>
            <w:r w:rsidR="00A96465">
              <w:rPr>
                <w:rFonts w:ascii="Times New Roman" w:hAnsi="Times New Roman"/>
                <w:color w:val="000000" w:themeColor="text1"/>
                <w:sz w:val="21"/>
                <w:szCs w:val="21"/>
                <w:lang w:val="fr-CA"/>
              </w:rPr>
              <w:t>présence</w:t>
            </w:r>
            <w:r>
              <w:rPr>
                <w:rFonts w:ascii="Times New Roman" w:hAnsi="Times New Roman"/>
                <w:color w:val="000000" w:themeColor="text1"/>
                <w:sz w:val="21"/>
                <w:szCs w:val="21"/>
                <w:lang w:val="fr-CA"/>
              </w:rPr>
              <w:t xml:space="preserve"> des travailleurs et des engins</w:t>
            </w:r>
          </w:p>
          <w:p w:rsidR="00E01DB2" w:rsidRDefault="00A96465"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Risque d’incendie due aux installations électriques</w:t>
            </w:r>
            <w:r w:rsidR="00E01DB2">
              <w:rPr>
                <w:rFonts w:ascii="Times New Roman" w:hAnsi="Times New Roman"/>
                <w:color w:val="000000" w:themeColor="text1"/>
                <w:sz w:val="21"/>
                <w:szCs w:val="21"/>
                <w:lang w:val="fr-CA"/>
              </w:rPr>
              <w:t xml:space="preserve"> au niveau du chantier</w:t>
            </w:r>
          </w:p>
          <w:p w:rsidR="00E01DB2" w:rsidRDefault="00E01DB2"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Risque de production en quantité des déchets de chantier due à la réhabilitation des structures stockages</w:t>
            </w:r>
          </w:p>
          <w:p w:rsidR="00A96465" w:rsidRPr="00843722" w:rsidRDefault="00A96465" w:rsidP="00345951">
            <w:pPr>
              <w:pStyle w:val="PargrafodaLista"/>
              <w:spacing w:line="240" w:lineRule="auto"/>
              <w:ind w:left="151"/>
              <w:jc w:val="both"/>
              <w:rPr>
                <w:rFonts w:ascii="Times New Roman" w:hAnsi="Times New Roman"/>
                <w:color w:val="000000" w:themeColor="text1"/>
                <w:sz w:val="21"/>
                <w:szCs w:val="21"/>
                <w:lang w:val="fr-CA"/>
              </w:rPr>
            </w:pPr>
          </w:p>
          <w:p w:rsidR="00E77EA5" w:rsidRPr="00843722" w:rsidRDefault="00E77EA5"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 </w:t>
            </w:r>
          </w:p>
          <w:p w:rsidR="00E77EA5" w:rsidRPr="004A3B1A" w:rsidRDefault="00E77EA5" w:rsidP="00157035">
            <w:pPr>
              <w:pStyle w:val="PargrafodaLista"/>
              <w:numPr>
                <w:ilvl w:val="0"/>
                <w:numId w:val="60"/>
              </w:numPr>
              <w:spacing w:after="0" w:line="240" w:lineRule="auto"/>
              <w:ind w:left="151" w:hanging="142"/>
              <w:jc w:val="both"/>
              <w:rPr>
                <w:color w:val="000000" w:themeColor="text1"/>
                <w:sz w:val="21"/>
                <w:szCs w:val="21"/>
              </w:rPr>
            </w:pPr>
          </w:p>
        </w:tc>
      </w:tr>
      <w:tr w:rsidR="00E77EA5" w:rsidRPr="00843722" w:rsidTr="00A57DCB">
        <w:trPr>
          <w:trHeight w:val="340"/>
          <w:tblHeader/>
        </w:trPr>
        <w:tc>
          <w:tcPr>
            <w:tcW w:w="1619" w:type="dxa"/>
            <w:shd w:val="clear" w:color="auto" w:fill="EDEDED" w:themeFill="accent3" w:themeFillTint="33"/>
            <w:vAlign w:val="center"/>
          </w:tcPr>
          <w:p w:rsidR="00E77EA5" w:rsidRPr="00843722" w:rsidRDefault="00E77EA5" w:rsidP="004C4F3D">
            <w:pPr>
              <w:jc w:val="center"/>
              <w:rPr>
                <w:b/>
                <w:sz w:val="21"/>
                <w:szCs w:val="21"/>
              </w:rPr>
            </w:pPr>
          </w:p>
        </w:tc>
        <w:tc>
          <w:tcPr>
            <w:tcW w:w="9573" w:type="dxa"/>
            <w:tcBorders>
              <w:top w:val="single" w:sz="4" w:space="0" w:color="auto"/>
            </w:tcBorders>
            <w:shd w:val="clear" w:color="auto" w:fill="FFFFFF" w:themeFill="background1"/>
            <w:vAlign w:val="center"/>
          </w:tcPr>
          <w:p w:rsidR="00E77EA5" w:rsidRPr="00843722" w:rsidRDefault="00E77EA5" w:rsidP="004C4F3D">
            <w:pPr>
              <w:jc w:val="center"/>
              <w:rPr>
                <w:rFonts w:eastAsia="Calibri"/>
                <w:b/>
                <w:bCs/>
                <w:color w:val="000000"/>
                <w:sz w:val="21"/>
                <w:szCs w:val="21"/>
              </w:rPr>
            </w:pPr>
            <w:r w:rsidRPr="00843722">
              <w:rPr>
                <w:rFonts w:eastAsia="Calibri"/>
                <w:b/>
                <w:bCs/>
                <w:color w:val="000000"/>
                <w:sz w:val="21"/>
                <w:szCs w:val="21"/>
              </w:rPr>
              <w:t>En phase d’exploitation</w:t>
            </w:r>
          </w:p>
        </w:tc>
      </w:tr>
      <w:tr w:rsidR="00E77EA5" w:rsidRPr="00843722" w:rsidTr="00A57DCB">
        <w:trPr>
          <w:trHeight w:val="1525"/>
        </w:trPr>
        <w:tc>
          <w:tcPr>
            <w:tcW w:w="1619" w:type="dxa"/>
            <w:shd w:val="clear" w:color="auto" w:fill="EDEDED" w:themeFill="accent3" w:themeFillTint="33"/>
            <w:vAlign w:val="center"/>
          </w:tcPr>
          <w:p w:rsidR="00E77EA5" w:rsidRPr="00843722" w:rsidRDefault="00E01DB2" w:rsidP="004C4F3D">
            <w:pPr>
              <w:jc w:val="center"/>
              <w:rPr>
                <w:rFonts w:eastAsia="Calibri"/>
                <w:sz w:val="21"/>
                <w:szCs w:val="21"/>
              </w:rPr>
            </w:pPr>
            <w:r>
              <w:rPr>
                <w:b/>
                <w:sz w:val="21"/>
                <w:szCs w:val="21"/>
              </w:rPr>
              <w:t>L</w:t>
            </w:r>
            <w:r w:rsidRPr="00843722">
              <w:rPr>
                <w:b/>
                <w:sz w:val="21"/>
                <w:szCs w:val="21"/>
              </w:rPr>
              <w:t>a réhabilitat</w:t>
            </w:r>
            <w:r>
              <w:rPr>
                <w:b/>
                <w:sz w:val="21"/>
                <w:szCs w:val="21"/>
              </w:rPr>
              <w:t>ion des structures de stockage,</w:t>
            </w:r>
            <w:r w:rsidRPr="00843722">
              <w:rPr>
                <w:b/>
                <w:sz w:val="21"/>
                <w:szCs w:val="21"/>
              </w:rPr>
              <w:t xml:space="preserve"> la construction de marchés locaux, etc.)</w:t>
            </w:r>
          </w:p>
        </w:tc>
        <w:tc>
          <w:tcPr>
            <w:tcW w:w="9573" w:type="dxa"/>
            <w:vAlign w:val="center"/>
          </w:tcPr>
          <w:p w:rsidR="00201B0C" w:rsidRPr="00345951" w:rsidRDefault="00201B0C" w:rsidP="00345951">
            <w:pPr>
              <w:pStyle w:val="PargrafodaLista"/>
              <w:numPr>
                <w:ilvl w:val="0"/>
                <w:numId w:val="60"/>
              </w:numPr>
              <w:spacing w:line="240" w:lineRule="auto"/>
              <w:ind w:left="151" w:hanging="142"/>
              <w:jc w:val="both"/>
              <w:rPr>
                <w:color w:val="000000" w:themeColor="text1"/>
                <w:sz w:val="21"/>
                <w:szCs w:val="21"/>
                <w:lang w:val="fr-CA"/>
              </w:rPr>
            </w:pPr>
            <w:r w:rsidRPr="00345951">
              <w:rPr>
                <w:rFonts w:ascii="Times New Roman" w:hAnsi="Times New Roman"/>
                <w:color w:val="000000" w:themeColor="text1"/>
                <w:sz w:val="21"/>
                <w:szCs w:val="21"/>
                <w:lang w:val="fr-CA"/>
              </w:rPr>
              <w:t xml:space="preserve">Risques de contaminants de la qualité́ de l’air intérieur </w:t>
            </w:r>
            <w:r w:rsidR="00B74C05" w:rsidRPr="00B74C05">
              <w:rPr>
                <w:rFonts w:ascii="Times New Roman" w:hAnsi="Times New Roman"/>
                <w:color w:val="000000" w:themeColor="text1"/>
                <w:sz w:val="21"/>
                <w:szCs w:val="21"/>
                <w:lang w:val="fr-CA"/>
              </w:rPr>
              <w:t>des infrastructure</w:t>
            </w:r>
            <w:r w:rsidR="00B74C05">
              <w:rPr>
                <w:rFonts w:ascii="Times New Roman" w:hAnsi="Times New Roman"/>
                <w:color w:val="000000" w:themeColor="text1"/>
                <w:sz w:val="21"/>
                <w:szCs w:val="21"/>
                <w:lang w:val="fr-CA"/>
              </w:rPr>
              <w:t>s</w:t>
            </w:r>
          </w:p>
          <w:p w:rsidR="00201B0C" w:rsidRDefault="00201B0C" w:rsidP="00345951">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345951">
              <w:rPr>
                <w:rFonts w:ascii="Times New Roman" w:hAnsi="Times New Roman"/>
                <w:color w:val="000000" w:themeColor="text1"/>
                <w:sz w:val="21"/>
                <w:szCs w:val="21"/>
                <w:lang w:val="fr-CA"/>
              </w:rPr>
              <w:t>Risque d’infections respiratoires dont l’asthme, les allergies respiratoires, les maux de tête et les nausées</w:t>
            </w:r>
          </w:p>
          <w:p w:rsidR="00E77EA5" w:rsidRPr="00843722" w:rsidRDefault="00E77EA5" w:rsidP="00345951">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d’émission de nuisance due à la présence des personnes au niveau des marchés locaux</w:t>
            </w:r>
            <w:r w:rsidR="00E01DB2">
              <w:rPr>
                <w:rFonts w:ascii="Times New Roman" w:hAnsi="Times New Roman"/>
                <w:color w:val="000000" w:themeColor="text1"/>
                <w:sz w:val="21"/>
                <w:szCs w:val="21"/>
                <w:lang w:val="fr-CA"/>
              </w:rPr>
              <w:t xml:space="preserve"> et des </w:t>
            </w:r>
            <w:r w:rsidR="00A57DCB">
              <w:rPr>
                <w:rFonts w:ascii="Times New Roman" w:hAnsi="Times New Roman"/>
                <w:color w:val="000000" w:themeColor="text1"/>
                <w:sz w:val="21"/>
                <w:szCs w:val="21"/>
                <w:lang w:val="fr-CA"/>
              </w:rPr>
              <w:t>structures stockages</w:t>
            </w:r>
            <w:r w:rsidRPr="00843722">
              <w:rPr>
                <w:rFonts w:ascii="Times New Roman" w:hAnsi="Times New Roman"/>
                <w:color w:val="000000" w:themeColor="text1"/>
                <w:sz w:val="21"/>
                <w:szCs w:val="21"/>
                <w:lang w:val="fr-CA"/>
              </w:rPr>
              <w:t xml:space="preserve"> </w:t>
            </w:r>
            <w:r w:rsidR="00E01DB2">
              <w:rPr>
                <w:rFonts w:ascii="Times New Roman" w:hAnsi="Times New Roman"/>
                <w:color w:val="000000" w:themeColor="text1"/>
                <w:sz w:val="21"/>
                <w:szCs w:val="21"/>
                <w:lang w:val="fr-CA"/>
              </w:rPr>
              <w:t>mais aussi,</w:t>
            </w:r>
            <w:r w:rsidRPr="00843722">
              <w:rPr>
                <w:rFonts w:ascii="Times New Roman" w:hAnsi="Times New Roman"/>
                <w:color w:val="000000" w:themeColor="text1"/>
                <w:sz w:val="21"/>
                <w:szCs w:val="21"/>
                <w:lang w:val="fr-CA"/>
              </w:rPr>
              <w:t xml:space="preserve"> la circulation des biens et personnes ;  </w:t>
            </w:r>
          </w:p>
          <w:p w:rsidR="00E77EA5" w:rsidRPr="00843722" w:rsidRDefault="00E77EA5" w:rsidP="00345951">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 de génération des déchets au niveau des marchés </w:t>
            </w:r>
            <w:r w:rsidR="00E01DB2" w:rsidRPr="00843722">
              <w:rPr>
                <w:rFonts w:ascii="Times New Roman" w:hAnsi="Times New Roman"/>
                <w:color w:val="000000" w:themeColor="text1"/>
                <w:sz w:val="21"/>
                <w:szCs w:val="21"/>
                <w:lang w:val="fr-CA"/>
              </w:rPr>
              <w:t>locaux ;</w:t>
            </w:r>
          </w:p>
          <w:p w:rsidR="00E77EA5" w:rsidRPr="00843722" w:rsidRDefault="00E77EA5" w:rsidP="00345951">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d’incendie au niveau des infrastructures de stockage et des marchés locaux ;</w:t>
            </w:r>
          </w:p>
          <w:p w:rsidR="00580E61" w:rsidRPr="00345951" w:rsidRDefault="00064C53" w:rsidP="00345951">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345951">
              <w:rPr>
                <w:rFonts w:ascii="Times New Roman" w:hAnsi="Times New Roman"/>
                <w:color w:val="000000" w:themeColor="text1"/>
                <w:sz w:val="21"/>
                <w:szCs w:val="21"/>
                <w:lang w:val="fr-CA"/>
              </w:rPr>
              <w:t>Risque d’apparition de maladies animales transfrontalières ;</w:t>
            </w:r>
          </w:p>
          <w:p w:rsidR="00064C53" w:rsidRPr="00A57DCB" w:rsidRDefault="00580E61" w:rsidP="00A57DCB">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345951">
              <w:rPr>
                <w:rFonts w:ascii="Times New Roman" w:hAnsi="Times New Roman"/>
                <w:color w:val="000000" w:themeColor="text1"/>
                <w:sz w:val="21"/>
                <w:szCs w:val="21"/>
                <w:lang w:val="fr-CA"/>
              </w:rPr>
              <w:t xml:space="preserve">Risque d’exposition à des agents pathogènes contenus dans les déchets organiques et autres zoonoses </w:t>
            </w:r>
          </w:p>
        </w:tc>
      </w:tr>
      <w:tr w:rsidR="00E01DB2" w:rsidRPr="00843722" w:rsidTr="00A57DCB">
        <w:trPr>
          <w:trHeight w:val="2127"/>
        </w:trPr>
        <w:tc>
          <w:tcPr>
            <w:tcW w:w="1619" w:type="dxa"/>
            <w:shd w:val="clear" w:color="auto" w:fill="EDEDED" w:themeFill="accent3" w:themeFillTint="33"/>
            <w:vAlign w:val="center"/>
          </w:tcPr>
          <w:p w:rsidR="00E01DB2" w:rsidRDefault="00E01DB2" w:rsidP="004C4F3D">
            <w:pPr>
              <w:jc w:val="center"/>
              <w:rPr>
                <w:b/>
                <w:sz w:val="21"/>
                <w:szCs w:val="21"/>
              </w:rPr>
            </w:pPr>
            <w:r>
              <w:rPr>
                <w:b/>
                <w:sz w:val="21"/>
                <w:szCs w:val="21"/>
              </w:rPr>
              <w:t>O</w:t>
            </w:r>
            <w:r w:rsidRPr="00843722">
              <w:rPr>
                <w:b/>
                <w:sz w:val="21"/>
                <w:szCs w:val="21"/>
              </w:rPr>
              <w:t>uverture de routes d’accès aux zones de production agricole</w:t>
            </w:r>
          </w:p>
        </w:tc>
        <w:tc>
          <w:tcPr>
            <w:tcW w:w="9573" w:type="dxa"/>
            <w:vAlign w:val="center"/>
          </w:tcPr>
          <w:p w:rsidR="000E1D86" w:rsidRDefault="00CA1906" w:rsidP="00E01DB2">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 xml:space="preserve">Risque d’accident de circulation entre les piétons et </w:t>
            </w:r>
            <w:r w:rsidR="00C14882">
              <w:rPr>
                <w:rFonts w:ascii="Times New Roman" w:hAnsi="Times New Roman"/>
                <w:color w:val="000000" w:themeColor="text1"/>
                <w:sz w:val="21"/>
                <w:szCs w:val="21"/>
                <w:lang w:val="fr-CA"/>
              </w:rPr>
              <w:t>automobilistes</w:t>
            </w:r>
            <w:r>
              <w:rPr>
                <w:rFonts w:ascii="Times New Roman" w:hAnsi="Times New Roman"/>
                <w:color w:val="000000" w:themeColor="text1"/>
                <w:sz w:val="21"/>
                <w:szCs w:val="21"/>
                <w:lang w:val="fr-CA"/>
              </w:rPr>
              <w:t xml:space="preserve"> ou entre les </w:t>
            </w:r>
            <w:r w:rsidR="00C14882">
              <w:rPr>
                <w:rFonts w:ascii="Times New Roman" w:hAnsi="Times New Roman"/>
                <w:color w:val="000000" w:themeColor="text1"/>
                <w:sz w:val="21"/>
                <w:szCs w:val="21"/>
                <w:lang w:val="fr-CA"/>
              </w:rPr>
              <w:t>automobilistes</w:t>
            </w:r>
            <w:r>
              <w:rPr>
                <w:rFonts w:ascii="Times New Roman" w:hAnsi="Times New Roman"/>
                <w:color w:val="000000" w:themeColor="text1"/>
                <w:sz w:val="21"/>
                <w:szCs w:val="21"/>
                <w:lang w:val="fr-CA"/>
              </w:rPr>
              <w:t xml:space="preserve"> et les motos </w:t>
            </w:r>
            <w:r w:rsidR="00A57DCB">
              <w:rPr>
                <w:rFonts w:ascii="Times New Roman" w:hAnsi="Times New Roman"/>
                <w:color w:val="000000" w:themeColor="text1"/>
                <w:sz w:val="21"/>
                <w:szCs w:val="21"/>
                <w:lang w:val="fr-CA"/>
              </w:rPr>
              <w:t xml:space="preserve">taxis </w:t>
            </w:r>
          </w:p>
          <w:p w:rsidR="00E01DB2" w:rsidRPr="00843722" w:rsidRDefault="00E01DB2" w:rsidP="00E01DB2">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d’accidents au niveau des cheptels et les hommes liés au passage des véhicules ;</w:t>
            </w:r>
          </w:p>
          <w:p w:rsidR="00E01DB2" w:rsidRPr="00843722" w:rsidRDefault="00E01DB2" w:rsidP="00E01DB2">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d’inondation due aux manques ouvrages de traverser des eaux pluviales au niveau des pistes ;</w:t>
            </w:r>
          </w:p>
          <w:p w:rsidR="00E01DB2" w:rsidRPr="00843722" w:rsidRDefault="00E01DB2" w:rsidP="00E01DB2">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Recrudescence des maladies respiratoires liés au passage des </w:t>
            </w:r>
            <w:r w:rsidR="00B74C05" w:rsidRPr="00843722">
              <w:rPr>
                <w:rFonts w:ascii="Times New Roman" w:hAnsi="Times New Roman"/>
                <w:color w:val="000000" w:themeColor="text1"/>
                <w:sz w:val="21"/>
                <w:szCs w:val="21"/>
                <w:lang w:val="fr-CA"/>
              </w:rPr>
              <w:t>véhicules ;</w:t>
            </w:r>
          </w:p>
          <w:p w:rsidR="00C93DAB" w:rsidRDefault="00C93DAB" w:rsidP="00C93DAB">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345951">
              <w:rPr>
                <w:rFonts w:ascii="Times New Roman" w:hAnsi="Times New Roman"/>
                <w:color w:val="000000" w:themeColor="text1"/>
                <w:sz w:val="21"/>
                <w:szCs w:val="21"/>
                <w:lang w:val="fr-CA"/>
              </w:rPr>
              <w:t>Risque d’augmentation de la pression sur les parcours naturels (surpâturage) ;</w:t>
            </w:r>
          </w:p>
          <w:p w:rsidR="00CA1906" w:rsidRPr="00345951" w:rsidRDefault="00CA1906" w:rsidP="00C93DAB">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 xml:space="preserve">Risque de perturbation de la </w:t>
            </w:r>
            <w:r w:rsidR="00C14882">
              <w:rPr>
                <w:rFonts w:ascii="Times New Roman" w:hAnsi="Times New Roman"/>
                <w:color w:val="000000" w:themeColor="text1"/>
                <w:sz w:val="21"/>
                <w:szCs w:val="21"/>
                <w:lang w:val="fr-CA"/>
              </w:rPr>
              <w:t>tranquillité de la population due à l’augmentation du trafic</w:t>
            </w:r>
          </w:p>
          <w:p w:rsidR="00E01DB2" w:rsidRPr="00843722" w:rsidRDefault="00AF5072" w:rsidP="00157035">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Risque de dégradation rapide des routes d’accès si les charges à l’essieu ne seront pas respecté pas les camionneurs</w:t>
            </w:r>
          </w:p>
        </w:tc>
      </w:tr>
      <w:tr w:rsidR="00E01DB2" w:rsidRPr="00843722" w:rsidTr="00A57DCB">
        <w:trPr>
          <w:trHeight w:val="1623"/>
        </w:trPr>
        <w:tc>
          <w:tcPr>
            <w:tcW w:w="1619" w:type="dxa"/>
            <w:shd w:val="clear" w:color="auto" w:fill="EDEDED" w:themeFill="accent3" w:themeFillTint="33"/>
            <w:vAlign w:val="center"/>
          </w:tcPr>
          <w:p w:rsidR="00AF5072" w:rsidRDefault="00AF5072" w:rsidP="00AF5072">
            <w:pPr>
              <w:jc w:val="center"/>
              <w:rPr>
                <w:b/>
                <w:sz w:val="21"/>
                <w:szCs w:val="21"/>
              </w:rPr>
            </w:pPr>
            <w:r w:rsidRPr="00843722">
              <w:rPr>
                <w:b/>
                <w:sz w:val="21"/>
                <w:szCs w:val="21"/>
              </w:rPr>
              <w:t>Soutien aux Filets de Sécurité communautaires</w:t>
            </w:r>
          </w:p>
          <w:p w:rsidR="00E01DB2" w:rsidRPr="00345951" w:rsidRDefault="00AF5072" w:rsidP="00AF5072">
            <w:pPr>
              <w:jc w:val="center"/>
              <w:rPr>
                <w:b/>
                <w:sz w:val="21"/>
                <w:szCs w:val="21"/>
                <w:lang w:val="fr-CA"/>
              </w:rPr>
            </w:pPr>
            <w:r>
              <w:rPr>
                <w:b/>
                <w:sz w:val="21"/>
                <w:szCs w:val="21"/>
              </w:rPr>
              <w:t xml:space="preserve"> (</w:t>
            </w:r>
            <w:r>
              <w:rPr>
                <w:b/>
              </w:rPr>
              <w:t xml:space="preserve"> C</w:t>
            </w:r>
            <w:r w:rsidRPr="005857A6">
              <w:rPr>
                <w:b/>
              </w:rPr>
              <w:t>ommuns aux différents travaux</w:t>
            </w:r>
            <w:r>
              <w:rPr>
                <w:b/>
              </w:rPr>
              <w:t>)</w:t>
            </w:r>
          </w:p>
        </w:tc>
        <w:tc>
          <w:tcPr>
            <w:tcW w:w="9573" w:type="dxa"/>
            <w:vAlign w:val="center"/>
          </w:tcPr>
          <w:p w:rsidR="00E01DB2" w:rsidRPr="00843722" w:rsidRDefault="00E01DB2" w:rsidP="00E01DB2">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Recrudescence des maladies respiratoires liés au passage des </w:t>
            </w:r>
            <w:r w:rsidR="000E1D86" w:rsidRPr="00843722">
              <w:rPr>
                <w:rFonts w:ascii="Times New Roman" w:hAnsi="Times New Roman"/>
                <w:color w:val="000000" w:themeColor="text1"/>
                <w:sz w:val="21"/>
                <w:szCs w:val="21"/>
                <w:lang w:val="fr-CA"/>
              </w:rPr>
              <w:t>véhicules ;</w:t>
            </w:r>
          </w:p>
          <w:p w:rsidR="00E01DB2" w:rsidRPr="00843722" w:rsidRDefault="00E01DB2" w:rsidP="00E01DB2">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pollution des eaux de surface due aux productions de déchets solides et liquides ;</w:t>
            </w:r>
          </w:p>
          <w:p w:rsidR="00106110" w:rsidRDefault="00106110" w:rsidP="00106110">
            <w:pPr>
              <w:pStyle w:val="PargrafodaLista"/>
              <w:numPr>
                <w:ilvl w:val="0"/>
                <w:numId w:val="60"/>
              </w:numPr>
              <w:spacing w:line="240" w:lineRule="auto"/>
              <w:ind w:left="151" w:hanging="142"/>
              <w:jc w:val="both"/>
              <w:rPr>
                <w:rFonts w:ascii="Times New Roman" w:hAnsi="Times New Roman"/>
                <w:color w:val="000000" w:themeColor="text1"/>
                <w:sz w:val="21"/>
                <w:szCs w:val="21"/>
              </w:rPr>
            </w:pPr>
            <w:r w:rsidRPr="00843722">
              <w:rPr>
                <w:rFonts w:ascii="Times New Roman" w:hAnsi="Times New Roman"/>
                <w:color w:val="000000" w:themeColor="text1"/>
                <w:sz w:val="21"/>
                <w:szCs w:val="21"/>
              </w:rPr>
              <w:t>Risque la violence basée sur le Genre, abus et exploitation sexuelle</w:t>
            </w:r>
          </w:p>
          <w:p w:rsidR="00AF5072" w:rsidRPr="00843722" w:rsidRDefault="00AF5072" w:rsidP="00AF5072">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d’expansion du SIDA et des maladies sexuellement transmissibles ;</w:t>
            </w:r>
          </w:p>
          <w:p w:rsidR="00AF5072" w:rsidRPr="00843722" w:rsidRDefault="00AF5072" w:rsidP="00AF5072">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sz w:val="21"/>
                <w:szCs w:val="21"/>
              </w:rPr>
              <w:t>Risque de sécurité des travailleurs au travail ;</w:t>
            </w:r>
          </w:p>
          <w:p w:rsidR="00AF5072" w:rsidRPr="00345951" w:rsidRDefault="00AF5072" w:rsidP="008D1B47">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propagation de la COVID 19 ;</w:t>
            </w:r>
          </w:p>
          <w:p w:rsidR="00E01DB2" w:rsidRPr="00345951" w:rsidRDefault="00E01DB2" w:rsidP="00345951">
            <w:pPr>
              <w:jc w:val="both"/>
              <w:rPr>
                <w:color w:val="000000" w:themeColor="text1"/>
                <w:sz w:val="21"/>
                <w:szCs w:val="21"/>
                <w:lang w:val="fr-CA"/>
              </w:rPr>
            </w:pPr>
          </w:p>
        </w:tc>
      </w:tr>
    </w:tbl>
    <w:p w:rsidR="00242A77" w:rsidRPr="00A05698" w:rsidRDefault="00242A77" w:rsidP="00157035">
      <w:pPr>
        <w:pStyle w:val="PargrafodaLista"/>
        <w:numPr>
          <w:ilvl w:val="1"/>
          <w:numId w:val="99"/>
        </w:numPr>
        <w:spacing w:after="120" w:line="240" w:lineRule="auto"/>
        <w:outlineLvl w:val="1"/>
        <w:rPr>
          <w:rFonts w:ascii="Times New Roman" w:hAnsi="Times New Roman"/>
          <w:b/>
          <w:bCs/>
          <w:sz w:val="24"/>
          <w:szCs w:val="24"/>
        </w:rPr>
      </w:pPr>
      <w:bookmarkStart w:id="251" w:name="_Toc55460157"/>
      <w:bookmarkStart w:id="252" w:name="_Toc55465550"/>
      <w:bookmarkStart w:id="253" w:name="_Toc73459747"/>
      <w:r w:rsidRPr="00A05698">
        <w:rPr>
          <w:rFonts w:ascii="Times New Roman" w:hAnsi="Times New Roman"/>
          <w:b/>
          <w:bCs/>
          <w:sz w:val="24"/>
          <w:szCs w:val="24"/>
        </w:rPr>
        <w:t>Atténuation et/ou évitement des impacts négatifs du projet</w:t>
      </w:r>
      <w:bookmarkEnd w:id="251"/>
      <w:bookmarkEnd w:id="252"/>
      <w:bookmarkEnd w:id="253"/>
    </w:p>
    <w:p w:rsidR="00242A77" w:rsidRPr="00A05698" w:rsidRDefault="00EF2F13" w:rsidP="0070386B">
      <w:pPr>
        <w:ind w:left="-284" w:right="-851"/>
        <w:jc w:val="both"/>
      </w:pPr>
      <w:r w:rsidRPr="00A05698">
        <w:t xml:space="preserve">Pour procéder à </w:t>
      </w:r>
      <w:r w:rsidR="00242A77" w:rsidRPr="00A05698">
        <w:t xml:space="preserve">une bonne gestion des impacts négatifs du projet </w:t>
      </w:r>
      <w:r w:rsidR="00E408CB" w:rsidRPr="00A05698">
        <w:t xml:space="preserve">d’urgence de </w:t>
      </w:r>
      <w:r w:rsidR="008B0C0B" w:rsidRPr="00A05698">
        <w:t>la sécurité alim</w:t>
      </w:r>
      <w:r w:rsidR="00242A77" w:rsidRPr="00A05698">
        <w:t>en</w:t>
      </w:r>
      <w:r w:rsidR="008B0C0B" w:rsidRPr="00A05698">
        <w:t xml:space="preserve">taire </w:t>
      </w:r>
      <w:r w:rsidR="001D477B" w:rsidRPr="00A05698">
        <w:t xml:space="preserve">dans toute les phases </w:t>
      </w:r>
      <w:r w:rsidR="00DD1CDA" w:rsidRPr="00A05698">
        <w:t>d’</w:t>
      </w:r>
      <w:r w:rsidR="009D28BD" w:rsidRPr="00A05698">
        <w:t>exécution</w:t>
      </w:r>
      <w:r w:rsidR="002D6354" w:rsidRPr="00A05698">
        <w:t>s</w:t>
      </w:r>
      <w:r w:rsidR="009D28BD" w:rsidRPr="00A05698">
        <w:t xml:space="preserve"> et d’exploitation </w:t>
      </w:r>
      <w:r w:rsidR="00242A77" w:rsidRPr="00A05698">
        <w:t>des</w:t>
      </w:r>
      <w:r w:rsidR="002D6354" w:rsidRPr="00A05698">
        <w:t xml:space="preserve"> </w:t>
      </w:r>
      <w:r w:rsidR="0036057A" w:rsidRPr="00A05698">
        <w:t>activités</w:t>
      </w:r>
      <w:r w:rsidR="002D6354" w:rsidRPr="00A05698">
        <w:t xml:space="preserve"> </w:t>
      </w:r>
      <w:r w:rsidR="00AA4B8A" w:rsidRPr="00A05698">
        <w:t xml:space="preserve">prévues </w:t>
      </w:r>
      <w:r w:rsidR="000458A8" w:rsidRPr="00A05698">
        <w:t xml:space="preserve">dans chacune des </w:t>
      </w:r>
      <w:r w:rsidR="0036057A" w:rsidRPr="00A05698">
        <w:t>composantes</w:t>
      </w:r>
      <w:r w:rsidR="00242A77" w:rsidRPr="00A05698">
        <w:t>, les mesures suivantes sont prévues :</w:t>
      </w:r>
    </w:p>
    <w:p w:rsidR="0070386B" w:rsidRPr="0097333C" w:rsidRDefault="0036057A" w:rsidP="00157035">
      <w:pPr>
        <w:pStyle w:val="Cabealho6"/>
        <w:numPr>
          <w:ilvl w:val="5"/>
          <w:numId w:val="109"/>
        </w:numPr>
        <w:spacing w:line="240" w:lineRule="auto"/>
        <w:ind w:right="-847"/>
        <w:jc w:val="both"/>
        <w:rPr>
          <w:rFonts w:ascii="Times New Roman" w:hAnsi="Times New Roman"/>
          <w:b/>
          <w:i w:val="0"/>
          <w:iCs w:val="0"/>
          <w:sz w:val="24"/>
          <w:szCs w:val="24"/>
        </w:rPr>
      </w:pPr>
      <w:r w:rsidRPr="0097333C">
        <w:rPr>
          <w:rFonts w:ascii="Times New Roman" w:hAnsi="Times New Roman"/>
          <w:b/>
          <w:i w:val="0"/>
          <w:iCs w:val="0"/>
          <w:color w:val="auto"/>
          <w:sz w:val="24"/>
          <w:szCs w:val="24"/>
        </w:rPr>
        <w:t>Soutien à la production agricole</w:t>
      </w:r>
    </w:p>
    <w:p w:rsidR="0070386B" w:rsidRPr="00A05698" w:rsidRDefault="00111B0E" w:rsidP="00371AC7">
      <w:pPr>
        <w:ind w:left="-284" w:right="-851"/>
        <w:jc w:val="both"/>
      </w:pPr>
      <w:r w:rsidRPr="00A05698">
        <w:t>Pour atteindre les ob</w:t>
      </w:r>
      <w:r w:rsidR="00003562" w:rsidRPr="00A05698">
        <w:t xml:space="preserve">jectifs de la composante 1, </w:t>
      </w:r>
      <w:r w:rsidR="008240D5" w:rsidRPr="00A05698">
        <w:t>ces mesures</w:t>
      </w:r>
      <w:r w:rsidR="00E15683" w:rsidRPr="00A05698">
        <w:t xml:space="preserve"> ci-dessous ont été </w:t>
      </w:r>
      <w:r w:rsidR="005E67DC" w:rsidRPr="00A05698">
        <w:t>proposées</w:t>
      </w:r>
      <w:r w:rsidR="008240D5" w:rsidRPr="00A05698">
        <w:t xml:space="preserve"> pour </w:t>
      </w:r>
      <w:r w:rsidR="003F2213" w:rsidRPr="00A05698">
        <w:t>atténuer</w:t>
      </w:r>
      <w:r w:rsidR="008240D5" w:rsidRPr="00A05698">
        <w:t xml:space="preserve"> </w:t>
      </w:r>
      <w:r w:rsidR="004657F5" w:rsidRPr="00A05698">
        <w:t>les différents impacts</w:t>
      </w:r>
      <w:r w:rsidR="005C1162" w:rsidRPr="00A05698">
        <w:t xml:space="preserve"> lister ci-dess</w:t>
      </w:r>
      <w:r w:rsidR="0097333C">
        <w:t>o</w:t>
      </w:r>
      <w:r w:rsidR="005C1162" w:rsidRPr="00A05698">
        <w:t>us</w:t>
      </w:r>
      <w:r w:rsidR="004657F5" w:rsidRPr="00A05698">
        <w:t> :</w:t>
      </w:r>
    </w:p>
    <w:tbl>
      <w:tblPr>
        <w:tblStyle w:val="TableauGrille1Clair-Accentuation61"/>
        <w:tblW w:w="11192" w:type="dxa"/>
        <w:jc w:val="center"/>
        <w:tblLook w:val="04A0" w:firstRow="1" w:lastRow="0" w:firstColumn="1" w:lastColumn="0" w:noHBand="0" w:noVBand="1"/>
      </w:tblPr>
      <w:tblGrid>
        <w:gridCol w:w="1425"/>
        <w:gridCol w:w="3673"/>
        <w:gridCol w:w="6094"/>
      </w:tblGrid>
      <w:tr w:rsidR="00773C01" w:rsidRPr="00371AC7" w:rsidTr="00A57DCB">
        <w:trPr>
          <w:cnfStyle w:val="100000000000" w:firstRow="1" w:lastRow="0" w:firstColumn="0" w:lastColumn="0" w:oddVBand="0" w:evenVBand="0" w:oddHBand="0"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1425" w:type="dxa"/>
            <w:shd w:val="clear" w:color="auto" w:fill="E2EFD9" w:themeFill="accent6" w:themeFillTint="33"/>
            <w:vAlign w:val="center"/>
          </w:tcPr>
          <w:p w:rsidR="00773C01" w:rsidRPr="00371AC7" w:rsidRDefault="00773C01" w:rsidP="00106911">
            <w:pPr>
              <w:autoSpaceDE w:val="0"/>
              <w:autoSpaceDN w:val="0"/>
              <w:adjustRightInd w:val="0"/>
              <w:jc w:val="center"/>
              <w:rPr>
                <w:color w:val="000000" w:themeColor="text1"/>
                <w:sz w:val="21"/>
                <w:szCs w:val="21"/>
              </w:rPr>
            </w:pPr>
            <w:r w:rsidRPr="00371AC7">
              <w:rPr>
                <w:color w:val="000000" w:themeColor="text1"/>
                <w:sz w:val="21"/>
                <w:szCs w:val="21"/>
              </w:rPr>
              <w:t>Activités</w:t>
            </w:r>
          </w:p>
        </w:tc>
        <w:tc>
          <w:tcPr>
            <w:tcW w:w="3673" w:type="dxa"/>
            <w:shd w:val="clear" w:color="auto" w:fill="E2EFD9" w:themeFill="accent6" w:themeFillTint="33"/>
            <w:vAlign w:val="center"/>
          </w:tcPr>
          <w:p w:rsidR="00773C01" w:rsidRPr="00371AC7" w:rsidRDefault="00773C01" w:rsidP="00DA75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371AC7">
              <w:rPr>
                <w:color w:val="000000" w:themeColor="text1"/>
                <w:sz w:val="21"/>
                <w:szCs w:val="21"/>
              </w:rPr>
              <w:t xml:space="preserve">Impacts négatifs potentiels </w:t>
            </w:r>
          </w:p>
        </w:tc>
        <w:tc>
          <w:tcPr>
            <w:tcW w:w="6094" w:type="dxa"/>
            <w:shd w:val="clear" w:color="auto" w:fill="E2EFD9" w:themeFill="accent6" w:themeFillTint="33"/>
            <w:vAlign w:val="center"/>
          </w:tcPr>
          <w:p w:rsidR="00773C01" w:rsidRPr="00371AC7" w:rsidRDefault="00106911" w:rsidP="0010691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371AC7">
              <w:rPr>
                <w:color w:val="000000" w:themeColor="text1"/>
                <w:sz w:val="21"/>
                <w:szCs w:val="21"/>
              </w:rPr>
              <w:t>Atténuation et/ou évitement</w:t>
            </w:r>
          </w:p>
        </w:tc>
      </w:tr>
      <w:tr w:rsidR="00DA7577" w:rsidRPr="00371AC7" w:rsidTr="00A57DCB">
        <w:trPr>
          <w:trHeight w:val="53"/>
          <w:jc w:val="center"/>
        </w:trPr>
        <w:tc>
          <w:tcPr>
            <w:cnfStyle w:val="001000000000" w:firstRow="0" w:lastRow="0" w:firstColumn="1" w:lastColumn="0" w:oddVBand="0" w:evenVBand="0" w:oddHBand="0" w:evenHBand="0" w:firstRowFirstColumn="0" w:firstRowLastColumn="0" w:lastRowFirstColumn="0" w:lastRowLastColumn="0"/>
            <w:tcW w:w="1425" w:type="dxa"/>
            <w:vMerge w:val="restart"/>
            <w:shd w:val="clear" w:color="auto" w:fill="E2EFD9" w:themeFill="accent6" w:themeFillTint="33"/>
            <w:vAlign w:val="center"/>
          </w:tcPr>
          <w:p w:rsidR="004E0DC2" w:rsidRPr="00371AC7" w:rsidRDefault="004E0DC2" w:rsidP="00083B97">
            <w:pPr>
              <w:pStyle w:val="Cabealho6"/>
              <w:numPr>
                <w:ilvl w:val="0"/>
                <w:numId w:val="0"/>
              </w:numPr>
              <w:spacing w:line="240" w:lineRule="auto"/>
              <w:ind w:right="217"/>
              <w:jc w:val="both"/>
              <w:outlineLvl w:val="5"/>
              <w:rPr>
                <w:rFonts w:ascii="Times New Roman" w:hAnsi="Times New Roman"/>
                <w:i w:val="0"/>
                <w:iCs w:val="0"/>
                <w:sz w:val="21"/>
                <w:szCs w:val="21"/>
              </w:rPr>
            </w:pPr>
            <w:r w:rsidRPr="00371AC7">
              <w:rPr>
                <w:rFonts w:ascii="Times New Roman" w:hAnsi="Times New Roman"/>
                <w:i w:val="0"/>
                <w:iCs w:val="0"/>
                <w:color w:val="auto"/>
                <w:sz w:val="21"/>
                <w:szCs w:val="21"/>
              </w:rPr>
              <w:t>Soutien à la production agricole</w:t>
            </w:r>
          </w:p>
          <w:p w:rsidR="00DA7577" w:rsidRPr="00371AC7" w:rsidRDefault="00DA7577" w:rsidP="00106911">
            <w:pPr>
              <w:spacing w:before="60" w:after="60"/>
              <w:jc w:val="center"/>
              <w:rPr>
                <w:color w:val="000000" w:themeColor="text1"/>
                <w:sz w:val="21"/>
                <w:szCs w:val="21"/>
              </w:rPr>
            </w:pPr>
          </w:p>
        </w:tc>
        <w:tc>
          <w:tcPr>
            <w:tcW w:w="9767" w:type="dxa"/>
            <w:gridSpan w:val="2"/>
            <w:shd w:val="clear" w:color="auto" w:fill="DEEAF6" w:themeFill="accent1" w:themeFillTint="33"/>
            <w:vAlign w:val="center"/>
          </w:tcPr>
          <w:p w:rsidR="00DA7577" w:rsidRPr="00371AC7" w:rsidRDefault="00D50484" w:rsidP="0010691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71AC7">
              <w:rPr>
                <w:b/>
                <w:color w:val="000000" w:themeColor="text1"/>
                <w:sz w:val="21"/>
                <w:szCs w:val="21"/>
              </w:rPr>
              <w:t>E</w:t>
            </w:r>
            <w:r w:rsidR="00DA7577" w:rsidRPr="00371AC7">
              <w:rPr>
                <w:b/>
                <w:color w:val="000000" w:themeColor="text1"/>
                <w:sz w:val="21"/>
                <w:szCs w:val="21"/>
              </w:rPr>
              <w:t xml:space="preserve">n phase </w:t>
            </w:r>
            <w:r w:rsidR="004D44D7">
              <w:rPr>
                <w:b/>
                <w:color w:val="000000" w:themeColor="text1"/>
                <w:sz w:val="21"/>
                <w:szCs w:val="21"/>
              </w:rPr>
              <w:t>travaux</w:t>
            </w:r>
          </w:p>
        </w:tc>
      </w:tr>
      <w:tr w:rsidR="002B2401" w:rsidRPr="00371AC7" w:rsidTr="00A57DCB">
        <w:trPr>
          <w:trHeight w:val="1278"/>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DA7577" w:rsidRPr="00371AC7" w:rsidRDefault="00DA7577" w:rsidP="00106911">
            <w:pPr>
              <w:spacing w:before="60" w:after="60"/>
              <w:jc w:val="center"/>
              <w:rPr>
                <w:sz w:val="21"/>
                <w:szCs w:val="21"/>
              </w:rPr>
            </w:pPr>
          </w:p>
        </w:tc>
        <w:tc>
          <w:tcPr>
            <w:tcW w:w="3673" w:type="dxa"/>
            <w:shd w:val="clear" w:color="auto" w:fill="auto"/>
          </w:tcPr>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Risque de mauvais ciblages des acteurs concernés par ce projet ;</w:t>
            </w:r>
          </w:p>
        </w:tc>
        <w:tc>
          <w:tcPr>
            <w:tcW w:w="6094" w:type="dxa"/>
            <w:vMerge w:val="restart"/>
          </w:tcPr>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 xml:space="preserve">Impliquer les acteurs concernés (Services techniques, autorités, chefs de village, associations) par le projet PUSA dans les processus de ciblages des </w:t>
            </w:r>
            <w:r w:rsidR="00A57DCB" w:rsidRPr="00371AC7">
              <w:rPr>
                <w:rFonts w:ascii="Times New Roman" w:hAnsi="Times New Roman"/>
                <w:color w:val="000000" w:themeColor="text1"/>
                <w:sz w:val="21"/>
                <w:szCs w:val="21"/>
                <w:lang w:val="fr-CA"/>
              </w:rPr>
              <w:t>bénéficiers ;</w:t>
            </w:r>
          </w:p>
          <w:p w:rsidR="004D44D7" w:rsidRDefault="00DA7577" w:rsidP="00345951">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 xml:space="preserve">Éviter de politiser les activités du projet au niveau de </w:t>
            </w:r>
            <w:r w:rsidR="00A57DCB">
              <w:rPr>
                <w:rFonts w:ascii="Times New Roman" w:hAnsi="Times New Roman"/>
                <w:color w:val="000000" w:themeColor="text1"/>
                <w:sz w:val="21"/>
                <w:szCs w:val="21"/>
                <w:lang w:val="fr-CA"/>
              </w:rPr>
              <w:t xml:space="preserve">l’État </w:t>
            </w:r>
          </w:p>
          <w:p w:rsidR="004D44D7" w:rsidRPr="00345951" w:rsidRDefault="004D44D7" w:rsidP="00345951">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 xml:space="preserve">Mettre en place et respecter </w:t>
            </w:r>
            <w:r w:rsidRPr="004D44D7">
              <w:rPr>
                <w:rFonts w:ascii="Times New Roman" w:hAnsi="Times New Roman"/>
                <w:color w:val="000000" w:themeColor="text1"/>
                <w:sz w:val="21"/>
                <w:szCs w:val="21"/>
                <w:lang w:val="fr-CA"/>
              </w:rPr>
              <w:t>l</w:t>
            </w:r>
            <w:r w:rsidRPr="00345951">
              <w:rPr>
                <w:rFonts w:ascii="Times New Roman" w:hAnsi="Times New Roman"/>
                <w:color w:val="000000" w:themeColor="text1"/>
                <w:sz w:val="21"/>
                <w:szCs w:val="21"/>
                <w:lang w:val="fr-CA"/>
              </w:rPr>
              <w:t>es critères de ciblages et de proposer des mesures de vérification transparente du respect des critères</w:t>
            </w:r>
          </w:p>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Organiser des journées d’information et de sensibilisation des acteurs surtout au niveau local,</w:t>
            </w:r>
          </w:p>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 xml:space="preserve">Procéder à une meilleure cible des zones et des populations les plus </w:t>
            </w:r>
            <w:r w:rsidR="00A57DCB" w:rsidRPr="00371AC7">
              <w:rPr>
                <w:rFonts w:ascii="Times New Roman" w:hAnsi="Times New Roman"/>
                <w:color w:val="000000" w:themeColor="text1"/>
                <w:sz w:val="21"/>
                <w:szCs w:val="21"/>
                <w:lang w:val="fr-CA"/>
              </w:rPr>
              <w:t>vulnérables ;</w:t>
            </w:r>
          </w:p>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Impliquer les femmes dans les procédures de cibles,</w:t>
            </w:r>
          </w:p>
        </w:tc>
      </w:tr>
      <w:tr w:rsidR="002B2401" w:rsidRPr="00371AC7" w:rsidTr="00A57DCB">
        <w:trPr>
          <w:trHeight w:val="1256"/>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DA7577" w:rsidRPr="00371AC7" w:rsidRDefault="00DA7577" w:rsidP="00106911">
            <w:pPr>
              <w:spacing w:before="60" w:after="60"/>
              <w:jc w:val="center"/>
              <w:rPr>
                <w:sz w:val="21"/>
                <w:szCs w:val="21"/>
              </w:rPr>
            </w:pPr>
          </w:p>
        </w:tc>
        <w:tc>
          <w:tcPr>
            <w:tcW w:w="3673" w:type="dxa"/>
            <w:shd w:val="clear" w:color="auto" w:fill="auto"/>
          </w:tcPr>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Le risque d’absence d’équité et de transparence, ainsi que la discrimination dans la procédure d’allocation et d’appui aux bénéficiaires pourraient entraîner des conflits sociaux pouvant compromettre l’atteinte des résultats escomptés par le projet </w:t>
            </w:r>
          </w:p>
        </w:tc>
        <w:tc>
          <w:tcPr>
            <w:tcW w:w="6094" w:type="dxa"/>
            <w:vMerge/>
          </w:tcPr>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p>
        </w:tc>
      </w:tr>
      <w:tr w:rsidR="002B2401" w:rsidRPr="00371AC7" w:rsidTr="00A57DCB">
        <w:trPr>
          <w:trHeight w:val="460"/>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DA7577" w:rsidRPr="00371AC7" w:rsidRDefault="00DA7577" w:rsidP="00106911">
            <w:pPr>
              <w:spacing w:before="60" w:after="60"/>
              <w:jc w:val="center"/>
              <w:rPr>
                <w:sz w:val="21"/>
                <w:szCs w:val="21"/>
              </w:rPr>
            </w:pPr>
          </w:p>
        </w:tc>
        <w:tc>
          <w:tcPr>
            <w:tcW w:w="3673" w:type="dxa"/>
            <w:shd w:val="clear" w:color="auto" w:fill="auto"/>
          </w:tcPr>
          <w:p w:rsidR="00DA7577" w:rsidRPr="00371AC7" w:rsidRDefault="00DA7577"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Risque de conflit entre les différents acteurs concernés par les soutiens du projet ;</w:t>
            </w:r>
          </w:p>
        </w:tc>
        <w:tc>
          <w:tcPr>
            <w:tcW w:w="6094" w:type="dxa"/>
          </w:tcPr>
          <w:p w:rsidR="00DA7577" w:rsidRPr="00371AC7" w:rsidRDefault="00DA7577"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 xml:space="preserve">Veiller à une bonne gestion du projet </w:t>
            </w:r>
            <w:r w:rsidR="004D44D7">
              <w:rPr>
                <w:rFonts w:ascii="Times New Roman" w:hAnsi="Times New Roman"/>
                <w:color w:val="000000" w:themeColor="text1"/>
                <w:sz w:val="21"/>
                <w:szCs w:val="21"/>
                <w:lang w:val="fr-CA"/>
              </w:rPr>
              <w:t>en impliquant l’ensembles des acteurs concernés sans discrimination et de favoriser la transmission des informations entre eux</w:t>
            </w:r>
          </w:p>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 xml:space="preserve">Éviter autant que possible les phénomènes de frustration au niveau des bénéficiaires </w:t>
            </w:r>
            <w:r w:rsidR="0030414A">
              <w:rPr>
                <w:rFonts w:ascii="Times New Roman" w:hAnsi="Times New Roman"/>
                <w:color w:val="000000" w:themeColor="text1"/>
                <w:sz w:val="21"/>
                <w:szCs w:val="21"/>
                <w:lang w:val="fr-CA"/>
              </w:rPr>
              <w:t xml:space="preserve">en impliquant l’ensembles des autorités au niveau locale et de tenir informer les bénéficiaires </w:t>
            </w:r>
            <w:r w:rsidRPr="00371AC7">
              <w:rPr>
                <w:rFonts w:ascii="Times New Roman" w:hAnsi="Times New Roman"/>
                <w:color w:val="000000" w:themeColor="text1"/>
                <w:sz w:val="21"/>
                <w:szCs w:val="21"/>
                <w:lang w:val="fr-CA"/>
              </w:rPr>
              <w:t>;</w:t>
            </w:r>
          </w:p>
        </w:tc>
      </w:tr>
      <w:tr w:rsidR="002B2401" w:rsidRPr="00371AC7" w:rsidTr="00A57DCB">
        <w:trPr>
          <w:trHeight w:val="1201"/>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DA7577" w:rsidRPr="00371AC7" w:rsidRDefault="00DA7577" w:rsidP="00106911">
            <w:pPr>
              <w:spacing w:before="60" w:after="60"/>
              <w:jc w:val="center"/>
              <w:rPr>
                <w:sz w:val="21"/>
                <w:szCs w:val="21"/>
              </w:rPr>
            </w:pPr>
          </w:p>
        </w:tc>
        <w:tc>
          <w:tcPr>
            <w:tcW w:w="3673" w:type="dxa"/>
            <w:shd w:val="clear" w:color="auto" w:fill="auto"/>
          </w:tcPr>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Risque de distribution de mauvais semence ou d’engrais ou de matériel ;</w:t>
            </w:r>
          </w:p>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Risque de retard de la mise en œuvre des distributions des semence et d’engrais ;</w:t>
            </w:r>
          </w:p>
        </w:tc>
        <w:tc>
          <w:tcPr>
            <w:tcW w:w="6094" w:type="dxa"/>
          </w:tcPr>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Veiller à la qualité des semences certifiés de même que les pesticides et engrais ;</w:t>
            </w:r>
          </w:p>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Impliquer les services de l’agriculture ;</w:t>
            </w:r>
          </w:p>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Distribuer des semences adapter à la zone d’intervention du projet ;</w:t>
            </w:r>
          </w:p>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Veiller à la qualité des matériels à distribuer;</w:t>
            </w:r>
          </w:p>
        </w:tc>
      </w:tr>
      <w:tr w:rsidR="002B2401" w:rsidRPr="00371AC7" w:rsidTr="00A57DCB">
        <w:trPr>
          <w:trHeight w:val="715"/>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DA7577" w:rsidRPr="00371AC7" w:rsidRDefault="00DA7577" w:rsidP="00106911">
            <w:pPr>
              <w:spacing w:before="60" w:after="60"/>
              <w:jc w:val="center"/>
              <w:rPr>
                <w:sz w:val="21"/>
                <w:szCs w:val="21"/>
              </w:rPr>
            </w:pPr>
          </w:p>
        </w:tc>
        <w:tc>
          <w:tcPr>
            <w:tcW w:w="3673" w:type="dxa"/>
            <w:shd w:val="clear" w:color="auto" w:fill="auto"/>
          </w:tcPr>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Risque de détournement des objectifs du projet ;</w:t>
            </w:r>
          </w:p>
          <w:p w:rsidR="00DA7577" w:rsidRPr="00371AC7" w:rsidRDefault="00DA7577" w:rsidP="00E5366B">
            <w:pPr>
              <w:pStyle w:val="PargrafodaLista"/>
              <w:spacing w:line="240" w:lineRule="auto"/>
              <w:ind w:left="151"/>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p>
        </w:tc>
        <w:tc>
          <w:tcPr>
            <w:tcW w:w="6094" w:type="dxa"/>
          </w:tcPr>
          <w:p w:rsidR="00DA7577" w:rsidRPr="00371AC7" w:rsidRDefault="00DA7577"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Veiller à la revalorisation du secteur de production, et de la commercialisation de la noix de cajou surtout en se période de la pandémie de la Covid 19</w:t>
            </w:r>
            <w:r w:rsidR="00371AC7">
              <w:rPr>
                <w:rFonts w:ascii="Times New Roman" w:hAnsi="Times New Roman"/>
                <w:color w:val="000000" w:themeColor="text1"/>
                <w:sz w:val="21"/>
                <w:szCs w:val="21"/>
                <w:lang w:val="fr-CA"/>
              </w:rPr>
              <w:t xml:space="preserve"> </w:t>
            </w:r>
          </w:p>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Organiser des journées d’information et de sensibilisation des acteurs surtout au niveau local,</w:t>
            </w:r>
          </w:p>
        </w:tc>
      </w:tr>
      <w:tr w:rsidR="002B2401" w:rsidRPr="00371AC7" w:rsidTr="00A57DCB">
        <w:trPr>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DA7577" w:rsidRPr="00371AC7" w:rsidRDefault="00DA7577" w:rsidP="00106911">
            <w:pPr>
              <w:spacing w:before="60" w:after="60"/>
              <w:jc w:val="center"/>
              <w:rPr>
                <w:sz w:val="21"/>
                <w:szCs w:val="21"/>
              </w:rPr>
            </w:pPr>
          </w:p>
        </w:tc>
        <w:tc>
          <w:tcPr>
            <w:tcW w:w="3673" w:type="dxa"/>
            <w:shd w:val="clear" w:color="auto" w:fill="auto"/>
          </w:tcPr>
          <w:p w:rsidR="00DA7577" w:rsidRPr="00371AC7" w:rsidRDefault="00DA7577"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 xml:space="preserve">Risque d’abandon des cultures vivrières en faveur l’exploitation de l’anacardier ; </w:t>
            </w:r>
          </w:p>
          <w:p w:rsidR="00DA7577" w:rsidRPr="00371AC7" w:rsidRDefault="00DA7577" w:rsidP="00E5366B">
            <w:pPr>
              <w:pStyle w:val="PargrafodaLista"/>
              <w:spacing w:line="240" w:lineRule="auto"/>
              <w:ind w:left="151"/>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p>
        </w:tc>
        <w:tc>
          <w:tcPr>
            <w:tcW w:w="6094" w:type="dxa"/>
          </w:tcPr>
          <w:p w:rsidR="00DA7577" w:rsidRPr="00371AC7" w:rsidRDefault="00DA7577" w:rsidP="00753F9E">
            <w:pPr>
              <w:jc w:val="both"/>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fr-CA"/>
              </w:rPr>
            </w:pPr>
            <w:r w:rsidRPr="00371AC7">
              <w:rPr>
                <w:color w:val="000000" w:themeColor="text1"/>
                <w:sz w:val="21"/>
                <w:szCs w:val="21"/>
                <w:lang w:val="fr-CA"/>
              </w:rPr>
              <w:t>- Booster la production des produits céréaliers dans les zones à forte taux d’insécurité alimentaire et/ou cette vulnérabilité,</w:t>
            </w:r>
          </w:p>
          <w:p w:rsidR="00DA7577" w:rsidRPr="00371AC7" w:rsidRDefault="00DA7577" w:rsidP="00753F9E">
            <w:pPr>
              <w:jc w:val="both"/>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fr-CA"/>
              </w:rPr>
            </w:pPr>
            <w:r w:rsidRPr="00371AC7">
              <w:rPr>
                <w:color w:val="000000" w:themeColor="text1"/>
                <w:sz w:val="21"/>
                <w:szCs w:val="21"/>
                <w:lang w:val="fr-CA"/>
              </w:rPr>
              <w:t>-Revaloriser les cultures vivrières à l’aider des renforcements et d’appuis en matériel et d’aménagement hydro agricole ;</w:t>
            </w:r>
          </w:p>
        </w:tc>
      </w:tr>
      <w:tr w:rsidR="002B2401" w:rsidRPr="00371AC7" w:rsidTr="00A57DCB">
        <w:trPr>
          <w:trHeight w:val="1909"/>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DA7577" w:rsidRPr="00371AC7" w:rsidRDefault="00DA7577" w:rsidP="00106911">
            <w:pPr>
              <w:spacing w:before="60" w:after="60"/>
              <w:jc w:val="center"/>
              <w:rPr>
                <w:sz w:val="21"/>
                <w:szCs w:val="21"/>
              </w:rPr>
            </w:pPr>
          </w:p>
        </w:tc>
        <w:tc>
          <w:tcPr>
            <w:tcW w:w="3673" w:type="dxa"/>
            <w:shd w:val="clear" w:color="auto" w:fill="auto"/>
          </w:tcPr>
          <w:p w:rsidR="00DA7577" w:rsidRPr="00371AC7" w:rsidRDefault="00DA7577"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Risque de propagation de la pandémie de la Covid-19 ;</w:t>
            </w:r>
          </w:p>
          <w:p w:rsidR="00DA7577" w:rsidRPr="00371AC7" w:rsidRDefault="00DA7577" w:rsidP="00FF0A9A">
            <w:pPr>
              <w:pStyle w:val="PargrafodaLista"/>
              <w:spacing w:after="0" w:line="240" w:lineRule="auto"/>
              <w:ind w:left="151"/>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p>
        </w:tc>
        <w:tc>
          <w:tcPr>
            <w:tcW w:w="6094" w:type="dxa"/>
          </w:tcPr>
          <w:p w:rsidR="00DA7577" w:rsidRPr="00371AC7" w:rsidRDefault="00DA7577" w:rsidP="007834FD">
            <w:pPr>
              <w:spacing w:line="271" w:lineRule="auto"/>
              <w:cnfStyle w:val="000000000000" w:firstRow="0" w:lastRow="0" w:firstColumn="0" w:lastColumn="0" w:oddVBand="0" w:evenVBand="0" w:oddHBand="0" w:evenHBand="0" w:firstRowFirstColumn="0" w:firstRowLastColumn="0" w:lastRowFirstColumn="0" w:lastRowLastColumn="0"/>
              <w:rPr>
                <w:sz w:val="21"/>
                <w:szCs w:val="21"/>
              </w:rPr>
            </w:pPr>
            <w:r w:rsidRPr="00371AC7">
              <w:rPr>
                <w:sz w:val="21"/>
                <w:szCs w:val="21"/>
              </w:rPr>
              <w:t>- Organiser des campagnes de sensibilisation contre la COVID 19 ;</w:t>
            </w:r>
          </w:p>
          <w:p w:rsidR="00DA7577" w:rsidRPr="00371AC7" w:rsidRDefault="00DA7577" w:rsidP="00753F9E">
            <w:pPr>
              <w:spacing w:line="271" w:lineRule="auto"/>
              <w:cnfStyle w:val="000000000000" w:firstRow="0" w:lastRow="0" w:firstColumn="0" w:lastColumn="0" w:oddVBand="0" w:evenVBand="0" w:oddHBand="0" w:evenHBand="0" w:firstRowFirstColumn="0" w:firstRowLastColumn="0" w:lastRowFirstColumn="0" w:lastRowLastColumn="0"/>
              <w:rPr>
                <w:sz w:val="21"/>
                <w:szCs w:val="21"/>
              </w:rPr>
            </w:pPr>
            <w:r w:rsidRPr="00371AC7">
              <w:rPr>
                <w:sz w:val="21"/>
                <w:szCs w:val="21"/>
              </w:rPr>
              <w:t>- Exiger le port de masque obligatoire ;</w:t>
            </w:r>
          </w:p>
          <w:p w:rsidR="00DA7577" w:rsidRPr="00371AC7" w:rsidRDefault="00DA7577" w:rsidP="00753F9E">
            <w:pPr>
              <w:spacing w:line="271" w:lineRule="auto"/>
              <w:cnfStyle w:val="000000000000" w:firstRow="0" w:lastRow="0" w:firstColumn="0" w:lastColumn="0" w:oddVBand="0" w:evenVBand="0" w:oddHBand="0" w:evenHBand="0" w:firstRowFirstColumn="0" w:firstRowLastColumn="0" w:lastRowFirstColumn="0" w:lastRowLastColumn="0"/>
              <w:rPr>
                <w:sz w:val="21"/>
                <w:szCs w:val="21"/>
              </w:rPr>
            </w:pPr>
            <w:r w:rsidRPr="00371AC7">
              <w:rPr>
                <w:sz w:val="21"/>
                <w:szCs w:val="21"/>
              </w:rPr>
              <w:t>- Distribuer des masques de protection et des gels antiseptiques ;</w:t>
            </w:r>
          </w:p>
          <w:p w:rsidR="00DA7577" w:rsidRPr="00371AC7" w:rsidRDefault="00DA7577" w:rsidP="00753F9E">
            <w:pPr>
              <w:spacing w:line="271" w:lineRule="auto"/>
              <w:cnfStyle w:val="000000000000" w:firstRow="0" w:lastRow="0" w:firstColumn="0" w:lastColumn="0" w:oddVBand="0" w:evenVBand="0" w:oddHBand="0" w:evenHBand="0" w:firstRowFirstColumn="0" w:firstRowLastColumn="0" w:lastRowFirstColumn="0" w:lastRowLastColumn="0"/>
              <w:rPr>
                <w:sz w:val="21"/>
                <w:szCs w:val="21"/>
              </w:rPr>
            </w:pPr>
            <w:r w:rsidRPr="00371AC7">
              <w:rPr>
                <w:sz w:val="21"/>
                <w:szCs w:val="21"/>
              </w:rPr>
              <w:t>-Mettre en place des pictogrammes de sensibilisation contre la Covid 19 ;</w:t>
            </w:r>
          </w:p>
        </w:tc>
      </w:tr>
      <w:tr w:rsidR="00AE3DE8" w:rsidRPr="00371AC7" w:rsidTr="00A57DCB">
        <w:trPr>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AE3DE8" w:rsidRPr="00371AC7" w:rsidRDefault="00AE3DE8" w:rsidP="004F4212">
            <w:pPr>
              <w:pStyle w:val="PargrafodaLista"/>
              <w:spacing w:line="240" w:lineRule="auto"/>
              <w:jc w:val="center"/>
              <w:rPr>
                <w:rFonts w:ascii="Times New Roman" w:hAnsi="Times New Roman"/>
                <w:color w:val="000000" w:themeColor="text1"/>
                <w:sz w:val="21"/>
                <w:szCs w:val="21"/>
              </w:rPr>
            </w:pPr>
          </w:p>
        </w:tc>
        <w:tc>
          <w:tcPr>
            <w:tcW w:w="9767" w:type="dxa"/>
            <w:gridSpan w:val="2"/>
            <w:shd w:val="clear" w:color="auto" w:fill="DEEAF6" w:themeFill="accent1" w:themeFillTint="33"/>
          </w:tcPr>
          <w:p w:rsidR="00AE3DE8" w:rsidRPr="00371AC7" w:rsidRDefault="00AE3D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71AC7">
              <w:rPr>
                <w:b/>
                <w:color w:val="000000" w:themeColor="text1"/>
                <w:sz w:val="21"/>
                <w:szCs w:val="21"/>
              </w:rPr>
              <w:t xml:space="preserve">En phase d’exploitation </w:t>
            </w:r>
          </w:p>
        </w:tc>
      </w:tr>
      <w:tr w:rsidR="003D66BE" w:rsidRPr="00371AC7" w:rsidTr="00A57DCB">
        <w:trPr>
          <w:trHeight w:val="200"/>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D66BE" w:rsidRPr="00371AC7" w:rsidRDefault="003D66BE" w:rsidP="004F4212">
            <w:pPr>
              <w:pStyle w:val="PargrafodaLista"/>
              <w:spacing w:line="240" w:lineRule="auto"/>
              <w:jc w:val="center"/>
              <w:rPr>
                <w:rFonts w:ascii="Times New Roman" w:hAnsi="Times New Roman"/>
                <w:color w:val="000000" w:themeColor="text1"/>
                <w:sz w:val="21"/>
                <w:szCs w:val="21"/>
              </w:rPr>
            </w:pPr>
          </w:p>
        </w:tc>
        <w:tc>
          <w:tcPr>
            <w:tcW w:w="3673" w:type="dxa"/>
            <w:shd w:val="clear" w:color="auto" w:fill="FFFFFF" w:themeFill="background1"/>
          </w:tcPr>
          <w:p w:rsidR="003D66BE" w:rsidRPr="00371AC7" w:rsidRDefault="003D66BE"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rPr>
              <w:t>Risque de pollution des eaux dans les zones d’intervention du projet pourrait être noter à cause des utilisations irrationnelle d’engrais et pesticides.</w:t>
            </w:r>
          </w:p>
        </w:tc>
        <w:tc>
          <w:tcPr>
            <w:tcW w:w="6094" w:type="dxa"/>
            <w:vMerge w:val="restart"/>
            <w:shd w:val="clear" w:color="auto" w:fill="FFFFFF" w:themeFill="background1"/>
            <w:vAlign w:val="center"/>
          </w:tcPr>
          <w:p w:rsidR="003D66BE" w:rsidRDefault="003D66BE" w:rsidP="00EE7F0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371AC7">
              <w:rPr>
                <w:color w:val="000000" w:themeColor="text1"/>
                <w:sz w:val="21"/>
                <w:szCs w:val="21"/>
              </w:rPr>
              <w:t>- Sensibiliser les populations sur les risques d'accidents et les risques sanitaires due à l’utilisation des pesticides ;</w:t>
            </w:r>
          </w:p>
          <w:p w:rsidR="002A470E" w:rsidRPr="002A470E" w:rsidRDefault="002A470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2A470E">
              <w:rPr>
                <w:rFonts w:ascii="Times New Roman" w:hAnsi="Times New Roman"/>
                <w:color w:val="000000" w:themeColor="text1"/>
                <w:sz w:val="21"/>
                <w:szCs w:val="21"/>
              </w:rPr>
              <w:t>Mettre en place un plan de gestion intégrée des nuisibles</w:t>
            </w:r>
          </w:p>
          <w:p w:rsidR="003D66BE" w:rsidRPr="00371AC7" w:rsidRDefault="003D66B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2A470E">
              <w:rPr>
                <w:rFonts w:ascii="Times New Roman" w:hAnsi="Times New Roman"/>
                <w:color w:val="000000" w:themeColor="text1"/>
                <w:sz w:val="21"/>
                <w:szCs w:val="21"/>
              </w:rPr>
              <w:t xml:space="preserve">- </w:t>
            </w:r>
            <w:r w:rsidRPr="00371AC7">
              <w:rPr>
                <w:rFonts w:ascii="Times New Roman" w:hAnsi="Times New Roman"/>
                <w:color w:val="000000" w:themeColor="text1"/>
                <w:sz w:val="21"/>
                <w:szCs w:val="21"/>
              </w:rPr>
              <w:t>Elimination des pesticides obsolètes ;</w:t>
            </w:r>
          </w:p>
          <w:p w:rsidR="003D66BE" w:rsidRPr="00371AC7" w:rsidRDefault="003D66B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Organiser des journées de sensibilisation contre les risques ou danger avec l’utilisation des pesticides et des engrais ;</w:t>
            </w:r>
          </w:p>
          <w:p w:rsidR="003D66BE" w:rsidRPr="00371AC7" w:rsidRDefault="003D66B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Formation en gestion intégrée des pesticides ;</w:t>
            </w:r>
          </w:p>
          <w:p w:rsidR="003D66BE" w:rsidRPr="00371AC7" w:rsidRDefault="003D66B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Respecter des doses de pesticides prescrites ;</w:t>
            </w:r>
          </w:p>
          <w:p w:rsidR="003D66BE" w:rsidRPr="00371AC7" w:rsidRDefault="003D66B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Promotion de l’usage de la fumure organique ;</w:t>
            </w:r>
          </w:p>
          <w:p w:rsidR="003D66BE" w:rsidRPr="00371AC7" w:rsidRDefault="003D66B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Mettre en place un bon système de drainage des eaux au niveau des rizières ;</w:t>
            </w:r>
          </w:p>
          <w:p w:rsidR="003D66BE" w:rsidRPr="00371AC7" w:rsidRDefault="003D66B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Renforcer en EPI aux agricultures ;</w:t>
            </w:r>
          </w:p>
          <w:p w:rsidR="003D66BE" w:rsidRPr="00371AC7" w:rsidRDefault="003D66B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Veiller à la santé des agricultures dans </w:t>
            </w:r>
            <w:r w:rsidR="001B6BD8" w:rsidRPr="00371AC7">
              <w:rPr>
                <w:rFonts w:ascii="Times New Roman" w:hAnsi="Times New Roman"/>
                <w:color w:val="000000" w:themeColor="text1"/>
                <w:sz w:val="21"/>
                <w:szCs w:val="21"/>
              </w:rPr>
              <w:t>les zones concernées</w:t>
            </w:r>
            <w:r w:rsidRPr="00371AC7">
              <w:rPr>
                <w:rFonts w:ascii="Times New Roman" w:hAnsi="Times New Roman"/>
                <w:color w:val="000000" w:themeColor="text1"/>
                <w:sz w:val="21"/>
                <w:szCs w:val="21"/>
              </w:rPr>
              <w:t xml:space="preserve"> par le projet ;</w:t>
            </w:r>
          </w:p>
          <w:p w:rsidR="001B6BD8" w:rsidRPr="00371AC7" w:rsidRDefault="001B6BD8"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Veiller à l’utilisation des pesticides et d’engrais </w:t>
            </w:r>
            <w:r w:rsidR="00ED5393" w:rsidRPr="00371AC7">
              <w:rPr>
                <w:rFonts w:ascii="Times New Roman" w:hAnsi="Times New Roman"/>
                <w:color w:val="000000" w:themeColor="text1"/>
                <w:sz w:val="21"/>
                <w:szCs w:val="21"/>
              </w:rPr>
              <w:t>certifiés et homologué ;</w:t>
            </w:r>
          </w:p>
        </w:tc>
      </w:tr>
      <w:tr w:rsidR="003D66BE" w:rsidRPr="00371AC7" w:rsidTr="00A57DCB">
        <w:trPr>
          <w:trHeight w:val="694"/>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D66BE" w:rsidRPr="00371AC7" w:rsidRDefault="003D66BE" w:rsidP="004F4212">
            <w:pPr>
              <w:pStyle w:val="PargrafodaLista"/>
              <w:spacing w:line="240" w:lineRule="auto"/>
              <w:jc w:val="center"/>
              <w:rPr>
                <w:rFonts w:ascii="Times New Roman" w:hAnsi="Times New Roman"/>
                <w:color w:val="000000" w:themeColor="text1"/>
                <w:sz w:val="21"/>
                <w:szCs w:val="21"/>
              </w:rPr>
            </w:pPr>
          </w:p>
        </w:tc>
        <w:tc>
          <w:tcPr>
            <w:tcW w:w="3673" w:type="dxa"/>
            <w:shd w:val="clear" w:color="auto" w:fill="FFFFFF" w:themeFill="background1"/>
          </w:tcPr>
          <w:p w:rsidR="003D66BE" w:rsidRPr="00371AC7" w:rsidRDefault="003D66B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Ces utilisations des engrais et pesticides pourraient engendrer des dégâts sur l’environnement (</w:t>
            </w:r>
            <w:r w:rsidRPr="00371AC7">
              <w:rPr>
                <w:rFonts w:ascii="Times New Roman" w:hAnsi="Times New Roman"/>
                <w:color w:val="000000" w:themeColor="text1"/>
                <w:sz w:val="21"/>
                <w:szCs w:val="21"/>
              </w:rPr>
              <w:t xml:space="preserve">dégradation de la fertilité des sols) </w:t>
            </w:r>
            <w:r w:rsidRPr="00371AC7">
              <w:rPr>
                <w:rFonts w:ascii="Times New Roman" w:hAnsi="Times New Roman"/>
                <w:color w:val="000000" w:themeColor="text1"/>
                <w:sz w:val="21"/>
                <w:szCs w:val="21"/>
                <w:lang w:val="fr-CA"/>
              </w:rPr>
              <w:t xml:space="preserve">et la santé des populations. </w:t>
            </w:r>
          </w:p>
          <w:p w:rsidR="00ED5393" w:rsidRPr="00371AC7" w:rsidRDefault="00ED5393"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rPr>
              <w:t xml:space="preserve">Intensification culturale pourrait entraîner une augmentation de l’utilisation des pesticides d’où le </w:t>
            </w:r>
            <w:r w:rsidRPr="00371AC7">
              <w:rPr>
                <w:rFonts w:ascii="Times New Roman" w:hAnsi="Times New Roman"/>
                <w:color w:val="000000" w:themeColor="text1"/>
                <w:sz w:val="21"/>
                <w:szCs w:val="21"/>
                <w:lang w:val="fr-CA"/>
              </w:rPr>
              <w:t>risque de développement de maladies liées à l’eau (Paludisme, Bilharziose, maladies diarrhéiques, dermatoses, etc.) ;</w:t>
            </w:r>
          </w:p>
          <w:p w:rsidR="003D66BE" w:rsidRPr="00371AC7" w:rsidRDefault="00852843"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lang w:val="fr-CA"/>
              </w:rPr>
              <w:t xml:space="preserve">Risque d’apparition et/ou prolifération de plantes aquatiques envahissantes (typhas, riz sauvage, etc.) modifiant l’hydraulicité des cours d’eau </w:t>
            </w:r>
            <w:r w:rsidRPr="00371AC7">
              <w:rPr>
                <w:rFonts w:ascii="Times New Roman" w:hAnsi="Times New Roman"/>
                <w:color w:val="000000" w:themeColor="text1"/>
                <w:sz w:val="21"/>
                <w:szCs w:val="21"/>
              </w:rPr>
              <w:t>à cause des utilisations irrationnelle d’engrais et pesticides.</w:t>
            </w:r>
          </w:p>
          <w:p w:rsidR="00511A8C" w:rsidRPr="00371AC7" w:rsidRDefault="00511A8C"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Risque de pollution du sol, des eaux de surface et de la nappe phréatique par les pestes et pesticides ;</w:t>
            </w:r>
          </w:p>
        </w:tc>
        <w:tc>
          <w:tcPr>
            <w:tcW w:w="6094" w:type="dxa"/>
            <w:vMerge/>
            <w:shd w:val="clear" w:color="auto" w:fill="FFFFFF" w:themeFill="background1"/>
            <w:vAlign w:val="center"/>
          </w:tcPr>
          <w:p w:rsidR="003D66BE" w:rsidRPr="00371AC7" w:rsidRDefault="003D66BE" w:rsidP="001A1F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p>
        </w:tc>
      </w:tr>
      <w:tr w:rsidR="000C7C31" w:rsidRPr="00371AC7" w:rsidTr="00A57DCB">
        <w:trPr>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0C7C31" w:rsidRPr="00371AC7" w:rsidRDefault="000C7C31" w:rsidP="004F4212">
            <w:pPr>
              <w:pStyle w:val="PargrafodaLista"/>
              <w:spacing w:line="240" w:lineRule="auto"/>
              <w:jc w:val="center"/>
              <w:rPr>
                <w:rFonts w:ascii="Times New Roman" w:hAnsi="Times New Roman"/>
                <w:color w:val="000000" w:themeColor="text1"/>
                <w:sz w:val="21"/>
                <w:szCs w:val="21"/>
              </w:rPr>
            </w:pPr>
          </w:p>
        </w:tc>
        <w:tc>
          <w:tcPr>
            <w:tcW w:w="3673" w:type="dxa"/>
            <w:shd w:val="clear" w:color="auto" w:fill="FFFFFF" w:themeFill="background1"/>
          </w:tcPr>
          <w:p w:rsidR="000C7C31" w:rsidRPr="00371AC7" w:rsidRDefault="006A54D9"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lang w:val="fr-CA"/>
              </w:rPr>
              <w:t>Les risques d’abattage des arbres lors des travaux d’aménagement des périmètres (agricoles ou des rizières)</w:t>
            </w:r>
            <w:r w:rsidRPr="00371AC7">
              <w:rPr>
                <w:rFonts w:ascii="Times New Roman" w:hAnsi="Times New Roman"/>
                <w:color w:val="000000" w:themeColor="text1"/>
                <w:sz w:val="21"/>
                <w:szCs w:val="21"/>
              </w:rPr>
              <w:t xml:space="preserve"> pourraient réduire les ressources forestières. </w:t>
            </w:r>
          </w:p>
          <w:p w:rsidR="002B6A1A" w:rsidRPr="00371AC7" w:rsidRDefault="002B6A1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L’intensification des cultures </w:t>
            </w:r>
            <w:r w:rsidR="006B7C2B" w:rsidRPr="00371AC7">
              <w:rPr>
                <w:rFonts w:ascii="Times New Roman" w:hAnsi="Times New Roman"/>
                <w:color w:val="000000" w:themeColor="text1"/>
                <w:sz w:val="21"/>
                <w:szCs w:val="21"/>
              </w:rPr>
              <w:t xml:space="preserve">(comme l’anacardier) pourrait </w:t>
            </w:r>
            <w:r w:rsidR="00AA7843" w:rsidRPr="00371AC7">
              <w:rPr>
                <w:rFonts w:ascii="Times New Roman" w:hAnsi="Times New Roman"/>
                <w:color w:val="000000" w:themeColor="text1"/>
                <w:sz w:val="21"/>
                <w:szCs w:val="21"/>
              </w:rPr>
              <w:t>accélère</w:t>
            </w:r>
            <w:r w:rsidR="006B7C2B" w:rsidRPr="00371AC7">
              <w:rPr>
                <w:rFonts w:ascii="Times New Roman" w:hAnsi="Times New Roman"/>
                <w:color w:val="000000" w:themeColor="text1"/>
                <w:sz w:val="21"/>
                <w:szCs w:val="21"/>
              </w:rPr>
              <w:t xml:space="preserve"> </w:t>
            </w:r>
            <w:r w:rsidR="00AA7843" w:rsidRPr="00371AC7">
              <w:rPr>
                <w:rFonts w:ascii="Times New Roman" w:hAnsi="Times New Roman"/>
                <w:color w:val="000000" w:themeColor="text1"/>
                <w:sz w:val="21"/>
                <w:szCs w:val="21"/>
              </w:rPr>
              <w:t>ce phénomène de déboisement dans les zones d’intervention du projet ;</w:t>
            </w:r>
          </w:p>
          <w:p w:rsidR="00AA7843" w:rsidRPr="00371AC7" w:rsidRDefault="00AA7843" w:rsidP="00083B97">
            <w:pPr>
              <w:pStyle w:val="PargrafodaLista"/>
              <w:spacing w:line="240" w:lineRule="auto"/>
              <w:ind w:left="151"/>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p>
        </w:tc>
        <w:tc>
          <w:tcPr>
            <w:tcW w:w="6094" w:type="dxa"/>
            <w:shd w:val="clear" w:color="auto" w:fill="FFFFFF" w:themeFill="background1"/>
            <w:vAlign w:val="center"/>
          </w:tcPr>
          <w:p w:rsidR="006A54D9" w:rsidRPr="00371AC7" w:rsidRDefault="006A54D9"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Déboiser uniquement les zones à aménager pour extension de la riziculture dans les zones d’interventions du PUSA</w:t>
            </w:r>
          </w:p>
          <w:p w:rsidR="006A54D9" w:rsidRPr="00371AC7" w:rsidRDefault="006A54D9"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 Maintenir l'équilibre des écosystèmes dans les zones rizicoles ;</w:t>
            </w:r>
          </w:p>
          <w:p w:rsidR="006A54D9" w:rsidRPr="00371AC7" w:rsidRDefault="006A54D9"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Eviter autant que possible </w:t>
            </w:r>
            <w:r w:rsidR="00AC0B3B" w:rsidRPr="00371AC7">
              <w:rPr>
                <w:rFonts w:ascii="Times New Roman" w:hAnsi="Times New Roman"/>
                <w:color w:val="000000" w:themeColor="text1"/>
                <w:sz w:val="21"/>
                <w:szCs w:val="21"/>
              </w:rPr>
              <w:t>de couper des arbres sans autorisation ;</w:t>
            </w:r>
          </w:p>
          <w:p w:rsidR="0064615B" w:rsidRPr="00371AC7" w:rsidRDefault="0064615B"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-Effectuer une demande d’autorisations spéciales auprès des Services des Eaux et Forêts ;</w:t>
            </w:r>
          </w:p>
          <w:p w:rsidR="000C7C31" w:rsidRPr="00371AC7" w:rsidRDefault="0064615B"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Etablir un protocole d’accord pour le reboisement compensatoire ;</w:t>
            </w:r>
          </w:p>
        </w:tc>
      </w:tr>
      <w:tr w:rsidR="00423FE4" w:rsidRPr="00371AC7" w:rsidTr="00A57DCB">
        <w:trPr>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423FE4" w:rsidRPr="00371AC7" w:rsidRDefault="00423FE4" w:rsidP="004F4212">
            <w:pPr>
              <w:pStyle w:val="PargrafodaLista"/>
              <w:spacing w:line="240" w:lineRule="auto"/>
              <w:jc w:val="center"/>
              <w:rPr>
                <w:rFonts w:ascii="Times New Roman" w:hAnsi="Times New Roman"/>
                <w:color w:val="000000" w:themeColor="text1"/>
                <w:sz w:val="21"/>
                <w:szCs w:val="21"/>
              </w:rPr>
            </w:pPr>
          </w:p>
        </w:tc>
        <w:tc>
          <w:tcPr>
            <w:tcW w:w="3673" w:type="dxa"/>
            <w:shd w:val="clear" w:color="auto" w:fill="FFFFFF" w:themeFill="background1"/>
          </w:tcPr>
          <w:p w:rsidR="00423FE4" w:rsidRPr="00371AC7" w:rsidRDefault="002B6A1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rPr>
              <w:t>L'aménagement des périmètres agricoles pourrait entraîner également la perte des pâturages et cela peut être à l'origine des conflits entre les éleveurs et les agriculteurs.</w:t>
            </w:r>
          </w:p>
          <w:p w:rsidR="00D430A7" w:rsidRPr="00371AC7" w:rsidRDefault="00D430A7"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rPr>
              <w:t xml:space="preserve">Risque </w:t>
            </w:r>
            <w:r w:rsidR="003B7565" w:rsidRPr="00371AC7">
              <w:rPr>
                <w:rFonts w:ascii="Times New Roman" w:hAnsi="Times New Roman"/>
                <w:color w:val="000000" w:themeColor="text1"/>
                <w:sz w:val="21"/>
                <w:szCs w:val="21"/>
              </w:rPr>
              <w:t>de dégradation</w:t>
            </w:r>
            <w:r w:rsidR="00F1582A" w:rsidRPr="00371AC7">
              <w:rPr>
                <w:rFonts w:ascii="Times New Roman" w:hAnsi="Times New Roman"/>
                <w:color w:val="000000" w:themeColor="text1"/>
                <w:sz w:val="21"/>
                <w:szCs w:val="21"/>
              </w:rPr>
              <w:t xml:space="preserve"> des couloirs de </w:t>
            </w:r>
            <w:r w:rsidR="00957382" w:rsidRPr="00371AC7">
              <w:rPr>
                <w:rFonts w:ascii="Times New Roman" w:hAnsi="Times New Roman"/>
                <w:color w:val="000000" w:themeColor="text1"/>
                <w:sz w:val="21"/>
                <w:szCs w:val="21"/>
              </w:rPr>
              <w:t>pâturages</w:t>
            </w:r>
          </w:p>
        </w:tc>
        <w:tc>
          <w:tcPr>
            <w:tcW w:w="6094" w:type="dxa"/>
            <w:shd w:val="clear" w:color="auto" w:fill="FFFFFF" w:themeFill="background1"/>
            <w:vAlign w:val="center"/>
          </w:tcPr>
          <w:p w:rsidR="00423FE4" w:rsidRPr="00371AC7" w:rsidRDefault="00D87F7F"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Organiser</w:t>
            </w:r>
            <w:r w:rsidR="00367809" w:rsidRPr="00371AC7">
              <w:rPr>
                <w:rFonts w:ascii="Times New Roman" w:hAnsi="Times New Roman"/>
                <w:color w:val="000000" w:themeColor="text1"/>
                <w:sz w:val="21"/>
                <w:szCs w:val="21"/>
              </w:rPr>
              <w:t xml:space="preserve"> des </w:t>
            </w:r>
            <w:r w:rsidR="003F0B71" w:rsidRPr="00371AC7">
              <w:rPr>
                <w:rFonts w:ascii="Times New Roman" w:hAnsi="Times New Roman"/>
                <w:color w:val="000000" w:themeColor="text1"/>
                <w:sz w:val="21"/>
                <w:szCs w:val="21"/>
              </w:rPr>
              <w:t>journées d’</w:t>
            </w:r>
            <w:r w:rsidR="00CF4BD0" w:rsidRPr="00371AC7">
              <w:rPr>
                <w:rFonts w:ascii="Times New Roman" w:hAnsi="Times New Roman"/>
                <w:color w:val="000000" w:themeColor="text1"/>
                <w:sz w:val="21"/>
                <w:szCs w:val="21"/>
              </w:rPr>
              <w:t>information</w:t>
            </w:r>
            <w:r w:rsidR="003F0B71" w:rsidRPr="00371AC7">
              <w:rPr>
                <w:rFonts w:ascii="Times New Roman" w:hAnsi="Times New Roman"/>
                <w:color w:val="000000" w:themeColor="text1"/>
                <w:sz w:val="21"/>
                <w:szCs w:val="21"/>
              </w:rPr>
              <w:t xml:space="preserve"> et de sensibilisation </w:t>
            </w:r>
            <w:r w:rsidR="00DF11A8" w:rsidRPr="00371AC7">
              <w:rPr>
                <w:rFonts w:ascii="Times New Roman" w:hAnsi="Times New Roman"/>
                <w:color w:val="000000" w:themeColor="text1"/>
                <w:sz w:val="21"/>
                <w:szCs w:val="21"/>
              </w:rPr>
              <w:t xml:space="preserve">par rapport à la nécessite </w:t>
            </w:r>
            <w:r w:rsidR="00680A26" w:rsidRPr="00371AC7">
              <w:rPr>
                <w:rFonts w:ascii="Times New Roman" w:hAnsi="Times New Roman"/>
                <w:color w:val="000000" w:themeColor="text1"/>
                <w:sz w:val="21"/>
                <w:szCs w:val="21"/>
              </w:rPr>
              <w:t xml:space="preserve">de ces </w:t>
            </w:r>
            <w:r w:rsidR="00CF4BD0" w:rsidRPr="00371AC7">
              <w:rPr>
                <w:rFonts w:ascii="Times New Roman" w:hAnsi="Times New Roman"/>
                <w:color w:val="000000" w:themeColor="text1"/>
                <w:sz w:val="21"/>
                <w:szCs w:val="21"/>
              </w:rPr>
              <w:t>aménagements</w:t>
            </w:r>
            <w:r w:rsidR="00680A26" w:rsidRPr="00371AC7">
              <w:rPr>
                <w:rFonts w:ascii="Times New Roman" w:hAnsi="Times New Roman"/>
                <w:color w:val="000000" w:themeColor="text1"/>
                <w:sz w:val="21"/>
                <w:szCs w:val="21"/>
              </w:rPr>
              <w:t xml:space="preserve"> mais aussi orienter </w:t>
            </w:r>
            <w:r w:rsidR="00CF4BD0" w:rsidRPr="00371AC7">
              <w:rPr>
                <w:rFonts w:ascii="Times New Roman" w:hAnsi="Times New Roman"/>
                <w:color w:val="000000" w:themeColor="text1"/>
                <w:sz w:val="21"/>
                <w:szCs w:val="21"/>
              </w:rPr>
              <w:t>les éleveurs</w:t>
            </w:r>
            <w:r w:rsidR="00680A26" w:rsidRPr="00371AC7">
              <w:rPr>
                <w:rFonts w:ascii="Times New Roman" w:hAnsi="Times New Roman"/>
                <w:color w:val="000000" w:themeColor="text1"/>
                <w:sz w:val="21"/>
                <w:szCs w:val="21"/>
              </w:rPr>
              <w:t xml:space="preserve"> dans les</w:t>
            </w:r>
            <w:r w:rsidRPr="00371AC7">
              <w:rPr>
                <w:rFonts w:ascii="Times New Roman" w:hAnsi="Times New Roman"/>
                <w:color w:val="000000" w:themeColor="text1"/>
                <w:sz w:val="21"/>
                <w:szCs w:val="21"/>
              </w:rPr>
              <w:t xml:space="preserve"> autres zones ;</w:t>
            </w:r>
          </w:p>
          <w:p w:rsidR="003746FD" w:rsidRPr="00371AC7" w:rsidRDefault="00D44CFA"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Per</w:t>
            </w:r>
            <w:r w:rsidR="008365A4" w:rsidRPr="00371AC7">
              <w:rPr>
                <w:rFonts w:ascii="Times New Roman" w:hAnsi="Times New Roman"/>
                <w:color w:val="000000" w:themeColor="text1"/>
                <w:sz w:val="21"/>
                <w:szCs w:val="21"/>
              </w:rPr>
              <w:t>met</w:t>
            </w:r>
            <w:r w:rsidR="007637FF" w:rsidRPr="00371AC7">
              <w:rPr>
                <w:rFonts w:ascii="Times New Roman" w:hAnsi="Times New Roman"/>
                <w:color w:val="000000" w:themeColor="text1"/>
                <w:sz w:val="21"/>
                <w:szCs w:val="21"/>
              </w:rPr>
              <w:t xml:space="preserve"> aux </w:t>
            </w:r>
            <w:r w:rsidR="008365A4" w:rsidRPr="00371AC7">
              <w:rPr>
                <w:rFonts w:ascii="Times New Roman" w:hAnsi="Times New Roman"/>
                <w:color w:val="000000" w:themeColor="text1"/>
                <w:sz w:val="21"/>
                <w:szCs w:val="21"/>
              </w:rPr>
              <w:t>électeurs</w:t>
            </w:r>
            <w:r w:rsidR="007637FF" w:rsidRPr="00371AC7">
              <w:rPr>
                <w:rFonts w:ascii="Times New Roman" w:hAnsi="Times New Roman"/>
                <w:color w:val="000000" w:themeColor="text1"/>
                <w:sz w:val="21"/>
                <w:szCs w:val="21"/>
              </w:rPr>
              <w:t xml:space="preserve"> d’</w:t>
            </w:r>
            <w:r w:rsidR="008365A4" w:rsidRPr="00371AC7">
              <w:rPr>
                <w:rFonts w:ascii="Times New Roman" w:hAnsi="Times New Roman"/>
                <w:color w:val="000000" w:themeColor="text1"/>
                <w:sz w:val="21"/>
                <w:szCs w:val="21"/>
              </w:rPr>
              <w:t xml:space="preserve">accéder au </w:t>
            </w:r>
            <w:r w:rsidR="008922DA" w:rsidRPr="00371AC7">
              <w:rPr>
                <w:rFonts w:ascii="Times New Roman" w:hAnsi="Times New Roman"/>
                <w:color w:val="000000" w:themeColor="text1"/>
                <w:sz w:val="21"/>
                <w:szCs w:val="21"/>
              </w:rPr>
              <w:t>périmètre</w:t>
            </w:r>
            <w:r w:rsidR="000B5B9E" w:rsidRPr="00371AC7">
              <w:rPr>
                <w:rFonts w:ascii="Times New Roman" w:hAnsi="Times New Roman"/>
                <w:color w:val="000000" w:themeColor="text1"/>
                <w:sz w:val="21"/>
                <w:szCs w:val="21"/>
              </w:rPr>
              <w:t xml:space="preserve"> agricole </w:t>
            </w:r>
            <w:r w:rsidR="008922DA" w:rsidRPr="00371AC7">
              <w:rPr>
                <w:rFonts w:ascii="Times New Roman" w:hAnsi="Times New Roman"/>
                <w:color w:val="000000" w:themeColor="text1"/>
                <w:sz w:val="21"/>
                <w:szCs w:val="21"/>
              </w:rPr>
              <w:t>après</w:t>
            </w:r>
            <w:r w:rsidR="000B5B9E" w:rsidRPr="00371AC7">
              <w:rPr>
                <w:rFonts w:ascii="Times New Roman" w:hAnsi="Times New Roman"/>
                <w:color w:val="000000" w:themeColor="text1"/>
                <w:sz w:val="21"/>
                <w:szCs w:val="21"/>
              </w:rPr>
              <w:t xml:space="preserve"> les récoltes</w:t>
            </w:r>
            <w:r w:rsidR="00C612B2" w:rsidRPr="00371AC7">
              <w:rPr>
                <w:rFonts w:ascii="Times New Roman" w:hAnsi="Times New Roman"/>
                <w:color w:val="000000" w:themeColor="text1"/>
                <w:sz w:val="21"/>
                <w:szCs w:val="21"/>
              </w:rPr>
              <w:t> ;</w:t>
            </w:r>
          </w:p>
          <w:p w:rsidR="00C612B2" w:rsidRPr="00371AC7" w:rsidRDefault="00C612B2"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Si possib</w:t>
            </w:r>
            <w:r w:rsidR="009A48A3" w:rsidRPr="00371AC7">
              <w:rPr>
                <w:rFonts w:ascii="Times New Roman" w:hAnsi="Times New Roman"/>
                <w:color w:val="000000" w:themeColor="text1"/>
                <w:sz w:val="21"/>
                <w:szCs w:val="21"/>
              </w:rPr>
              <w:t>le mettre en place des fermes agro pastorale ;</w:t>
            </w:r>
          </w:p>
        </w:tc>
      </w:tr>
      <w:tr w:rsidR="008922DA" w:rsidRPr="00371AC7" w:rsidTr="00A57DCB">
        <w:trPr>
          <w:trHeight w:val="600"/>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8922DA" w:rsidRPr="00371AC7" w:rsidRDefault="008922DA" w:rsidP="004F4212">
            <w:pPr>
              <w:pStyle w:val="PargrafodaLista"/>
              <w:spacing w:line="240" w:lineRule="auto"/>
              <w:jc w:val="center"/>
              <w:rPr>
                <w:rFonts w:ascii="Times New Roman" w:hAnsi="Times New Roman"/>
                <w:color w:val="000000" w:themeColor="text1"/>
                <w:sz w:val="21"/>
                <w:szCs w:val="21"/>
              </w:rPr>
            </w:pPr>
          </w:p>
        </w:tc>
        <w:tc>
          <w:tcPr>
            <w:tcW w:w="3673" w:type="dxa"/>
            <w:shd w:val="clear" w:color="auto" w:fill="FFFFFF" w:themeFill="background1"/>
          </w:tcPr>
          <w:p w:rsidR="00A12216" w:rsidRPr="00371AC7" w:rsidRDefault="00A12216"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Risque de pollution et eutrophisation des eaux (cours d’eau) et du sol par les eaux de drainage, entraînant aussi une détérioration des conditions de vie des poissons et autres espèces aquatiques ;</w:t>
            </w:r>
          </w:p>
          <w:p w:rsidR="008922DA" w:rsidRPr="00371AC7" w:rsidRDefault="00A12216"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Risque d’inondation des périmètres agricoles ;</w:t>
            </w:r>
          </w:p>
        </w:tc>
        <w:tc>
          <w:tcPr>
            <w:tcW w:w="6094" w:type="dxa"/>
            <w:shd w:val="clear" w:color="auto" w:fill="FFFFFF" w:themeFill="background1"/>
            <w:vAlign w:val="center"/>
          </w:tcPr>
          <w:p w:rsidR="00957382" w:rsidRPr="00371AC7" w:rsidRDefault="00957382"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Mettre en place un bon dispositif de drainage favoriser une transparence hydrologique ;</w:t>
            </w:r>
          </w:p>
          <w:p w:rsidR="007B0B3F" w:rsidRPr="00371AC7" w:rsidRDefault="007B0B3F"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Sensibilisation des acteurs</w:t>
            </w:r>
            <w:r w:rsidRPr="00371AC7">
              <w:rPr>
                <w:rFonts w:ascii="Times New Roman" w:eastAsia="MS Mincho" w:hAnsi="Times New Roman"/>
                <w:color w:val="000000" w:themeColor="text1"/>
                <w:sz w:val="21"/>
                <w:szCs w:val="21"/>
              </w:rPr>
              <w:t xml:space="preserve"> </w:t>
            </w:r>
            <w:r w:rsidRPr="00371AC7">
              <w:rPr>
                <w:rFonts w:ascii="Times New Roman" w:hAnsi="Times New Roman"/>
                <w:color w:val="000000" w:themeColor="text1"/>
                <w:sz w:val="21"/>
                <w:szCs w:val="21"/>
              </w:rPr>
              <w:t xml:space="preserve">Protection des points d'eau </w:t>
            </w:r>
          </w:p>
          <w:p w:rsidR="00426132" w:rsidRPr="00371AC7" w:rsidRDefault="00CB1AF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rPr>
              <w:t xml:space="preserve">Mettre des </w:t>
            </w:r>
            <w:r w:rsidR="00BA2F61" w:rsidRPr="00371AC7">
              <w:rPr>
                <w:rFonts w:ascii="Times New Roman" w:hAnsi="Times New Roman"/>
                <w:color w:val="000000" w:themeColor="text1"/>
                <w:sz w:val="21"/>
                <w:szCs w:val="21"/>
              </w:rPr>
              <w:t>digues</w:t>
            </w:r>
            <w:r w:rsidRPr="00371AC7">
              <w:rPr>
                <w:rFonts w:ascii="Times New Roman" w:hAnsi="Times New Roman"/>
                <w:color w:val="000000" w:themeColor="text1"/>
                <w:sz w:val="21"/>
                <w:szCs w:val="21"/>
              </w:rPr>
              <w:t xml:space="preserve"> de </w:t>
            </w:r>
            <w:r w:rsidR="00BA2F61" w:rsidRPr="00371AC7">
              <w:rPr>
                <w:rFonts w:ascii="Times New Roman" w:hAnsi="Times New Roman"/>
                <w:color w:val="000000" w:themeColor="text1"/>
                <w:sz w:val="21"/>
                <w:szCs w:val="21"/>
              </w:rPr>
              <w:t>rétention d’</w:t>
            </w:r>
            <w:r w:rsidR="005E7FCD" w:rsidRPr="00371AC7">
              <w:rPr>
                <w:rFonts w:ascii="Times New Roman" w:hAnsi="Times New Roman"/>
                <w:color w:val="000000" w:themeColor="text1"/>
                <w:sz w:val="21"/>
                <w:szCs w:val="21"/>
              </w:rPr>
              <w:t>eau au niveau des vallées,</w:t>
            </w:r>
            <w:r w:rsidR="00426132" w:rsidRPr="00371AC7">
              <w:rPr>
                <w:rFonts w:ascii="Times New Roman" w:hAnsi="Times New Roman"/>
                <w:color w:val="000000" w:themeColor="text1"/>
                <w:sz w:val="21"/>
                <w:szCs w:val="21"/>
                <w:lang w:val="fr-CA"/>
              </w:rPr>
              <w:t xml:space="preserve"> </w:t>
            </w:r>
          </w:p>
          <w:p w:rsidR="00426132" w:rsidRPr="00371AC7" w:rsidRDefault="00426132"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r w:rsidRPr="00371AC7">
              <w:rPr>
                <w:rFonts w:ascii="Times New Roman" w:hAnsi="Times New Roman"/>
                <w:color w:val="000000" w:themeColor="text1"/>
                <w:sz w:val="21"/>
                <w:szCs w:val="21"/>
                <w:lang w:val="fr-CA"/>
              </w:rPr>
              <w:t>Veiller à l’aménagement des rizières pour éviter les phénomènes d’inondation ;</w:t>
            </w:r>
          </w:p>
          <w:p w:rsidR="00BF05DF" w:rsidRPr="00371AC7" w:rsidRDefault="005E7FCD"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Eviter </w:t>
            </w:r>
            <w:r w:rsidR="00D128C5" w:rsidRPr="00371AC7">
              <w:rPr>
                <w:rFonts w:ascii="Times New Roman" w:hAnsi="Times New Roman"/>
                <w:color w:val="000000" w:themeColor="text1"/>
                <w:sz w:val="21"/>
                <w:szCs w:val="21"/>
              </w:rPr>
              <w:t>autant que possible que </w:t>
            </w:r>
            <w:r w:rsidR="00BF05DF" w:rsidRPr="00371AC7">
              <w:rPr>
                <w:rFonts w:ascii="Times New Roman" w:hAnsi="Times New Roman"/>
                <w:color w:val="000000" w:themeColor="text1"/>
                <w:sz w:val="21"/>
                <w:szCs w:val="21"/>
              </w:rPr>
              <w:t>les eaux chargées</w:t>
            </w:r>
            <w:r w:rsidR="00D128C5" w:rsidRPr="00371AC7">
              <w:rPr>
                <w:rFonts w:ascii="Times New Roman" w:hAnsi="Times New Roman"/>
                <w:color w:val="000000" w:themeColor="text1"/>
                <w:sz w:val="21"/>
                <w:szCs w:val="21"/>
              </w:rPr>
              <w:t xml:space="preserve"> de </w:t>
            </w:r>
            <w:r w:rsidR="004B71C0" w:rsidRPr="00371AC7">
              <w:rPr>
                <w:rFonts w:ascii="Times New Roman" w:hAnsi="Times New Roman"/>
                <w:color w:val="000000" w:themeColor="text1"/>
                <w:sz w:val="21"/>
                <w:szCs w:val="21"/>
              </w:rPr>
              <w:t xml:space="preserve">polluant </w:t>
            </w:r>
            <w:r w:rsidR="00BF05DF" w:rsidRPr="00371AC7">
              <w:rPr>
                <w:rFonts w:ascii="Times New Roman" w:hAnsi="Times New Roman"/>
                <w:color w:val="000000" w:themeColor="text1"/>
                <w:sz w:val="21"/>
                <w:szCs w:val="21"/>
              </w:rPr>
              <w:t>se retrouve</w:t>
            </w:r>
            <w:r w:rsidR="00E7007F" w:rsidRPr="00371AC7">
              <w:rPr>
                <w:rFonts w:ascii="Times New Roman" w:hAnsi="Times New Roman"/>
                <w:color w:val="000000" w:themeColor="text1"/>
                <w:sz w:val="21"/>
                <w:szCs w:val="21"/>
              </w:rPr>
              <w:t xml:space="preserve"> dans </w:t>
            </w:r>
            <w:r w:rsidR="00BF05DF" w:rsidRPr="00371AC7">
              <w:rPr>
                <w:rFonts w:ascii="Times New Roman" w:hAnsi="Times New Roman"/>
                <w:color w:val="000000" w:themeColor="text1"/>
                <w:sz w:val="21"/>
                <w:szCs w:val="21"/>
              </w:rPr>
              <w:t>les cours d’eau ou fleuve ;</w:t>
            </w:r>
          </w:p>
        </w:tc>
      </w:tr>
      <w:tr w:rsidR="00076D03" w:rsidRPr="00371AC7" w:rsidTr="00A57DCB">
        <w:trPr>
          <w:trHeight w:val="78"/>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076D03" w:rsidRPr="00371AC7" w:rsidRDefault="00076D03" w:rsidP="004F4212">
            <w:pPr>
              <w:pStyle w:val="PargrafodaLista"/>
              <w:spacing w:line="240" w:lineRule="auto"/>
              <w:jc w:val="center"/>
              <w:rPr>
                <w:rFonts w:ascii="Times New Roman" w:hAnsi="Times New Roman"/>
                <w:color w:val="000000" w:themeColor="text1"/>
                <w:sz w:val="21"/>
                <w:szCs w:val="21"/>
              </w:rPr>
            </w:pPr>
          </w:p>
        </w:tc>
        <w:tc>
          <w:tcPr>
            <w:tcW w:w="3673" w:type="dxa"/>
            <w:shd w:val="clear" w:color="auto" w:fill="FFFFFF" w:themeFill="background1"/>
          </w:tcPr>
          <w:p w:rsidR="00B73AAE" w:rsidRPr="00371AC7" w:rsidRDefault="00B73AAE" w:rsidP="00157035">
            <w:pPr>
              <w:numPr>
                <w:ilvl w:val="0"/>
                <w:numId w:val="60"/>
              </w:numPr>
              <w:ind w:left="151" w:hanging="142"/>
              <w:jc w:val="both"/>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fr-CA"/>
              </w:rPr>
            </w:pPr>
            <w:r w:rsidRPr="00371AC7">
              <w:rPr>
                <w:color w:val="000000" w:themeColor="text1"/>
                <w:sz w:val="21"/>
                <w:szCs w:val="21"/>
                <w:lang w:val="fr-CA"/>
              </w:rPr>
              <w:t>Risque de prolifération des IST/VIH SIDA et à la propagation de la Covid 19 à cause de l’</w:t>
            </w:r>
            <w:r w:rsidRPr="00371AC7">
              <w:rPr>
                <w:rFonts w:eastAsia="Calibri"/>
                <w:color w:val="000000" w:themeColor="text1"/>
                <w:sz w:val="21"/>
                <w:szCs w:val="21"/>
              </w:rPr>
              <w:t>attraction des populations étrangères ;</w:t>
            </w:r>
          </w:p>
          <w:p w:rsidR="00076D03" w:rsidRPr="00371AC7" w:rsidRDefault="00076D03"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lang w:val="fr-CA"/>
              </w:rPr>
            </w:pPr>
          </w:p>
        </w:tc>
        <w:tc>
          <w:tcPr>
            <w:tcW w:w="6094" w:type="dxa"/>
            <w:shd w:val="clear" w:color="auto" w:fill="FFFFFF" w:themeFill="background1"/>
            <w:vAlign w:val="center"/>
          </w:tcPr>
          <w:p w:rsidR="00B73AAE" w:rsidRPr="00371AC7" w:rsidRDefault="00B73AAE" w:rsidP="00157035">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Organiser des campagnes de sensibilisation contre le SIDA ;</w:t>
            </w:r>
          </w:p>
          <w:p w:rsidR="000E2036" w:rsidRPr="00371AC7" w:rsidRDefault="00B73AAE" w:rsidP="00157035">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Organiser des campagnes de sensi</w:t>
            </w:r>
            <w:r w:rsidR="000E2036" w:rsidRPr="00371AC7">
              <w:rPr>
                <w:rFonts w:ascii="Times New Roman" w:hAnsi="Times New Roman"/>
                <w:color w:val="000000" w:themeColor="text1"/>
                <w:sz w:val="21"/>
                <w:szCs w:val="21"/>
              </w:rPr>
              <w:t xml:space="preserve">bilisation contre la COVID 19 </w:t>
            </w:r>
          </w:p>
          <w:p w:rsidR="00B73AAE" w:rsidRPr="00371AC7" w:rsidRDefault="000E2036" w:rsidP="00157035">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 E</w:t>
            </w:r>
            <w:r w:rsidR="00B73AAE" w:rsidRPr="00371AC7">
              <w:rPr>
                <w:rFonts w:ascii="Times New Roman" w:hAnsi="Times New Roman"/>
                <w:color w:val="000000" w:themeColor="text1"/>
                <w:sz w:val="21"/>
                <w:szCs w:val="21"/>
              </w:rPr>
              <w:t>xiger le port de masque obligatoire ;</w:t>
            </w:r>
          </w:p>
          <w:p w:rsidR="00B73AAE" w:rsidRPr="00371AC7" w:rsidRDefault="00B73AAE" w:rsidP="00157035">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Distribuer des préservatifs ;</w:t>
            </w:r>
          </w:p>
          <w:p w:rsidR="00076D03" w:rsidRPr="00371AC7" w:rsidRDefault="00B73AAE"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Distribuer des masques de protection</w:t>
            </w:r>
            <w:r w:rsidR="000E2036" w:rsidRPr="00371AC7">
              <w:rPr>
                <w:rFonts w:ascii="Times New Roman" w:hAnsi="Times New Roman"/>
                <w:color w:val="000000" w:themeColor="text1"/>
                <w:sz w:val="21"/>
                <w:szCs w:val="21"/>
              </w:rPr>
              <w:t xml:space="preserve"> et des gels antiseptiques ;</w:t>
            </w:r>
          </w:p>
          <w:p w:rsidR="000E2036" w:rsidRPr="00371AC7" w:rsidRDefault="000E2036"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Mettre des pictogrammes pour </w:t>
            </w:r>
            <w:r w:rsidR="00CF2BFE" w:rsidRPr="00371AC7">
              <w:rPr>
                <w:rFonts w:ascii="Times New Roman" w:hAnsi="Times New Roman"/>
                <w:color w:val="000000" w:themeColor="text1"/>
                <w:sz w:val="21"/>
                <w:szCs w:val="21"/>
              </w:rPr>
              <w:t xml:space="preserve">rappeler les mesures barrières ; </w:t>
            </w:r>
          </w:p>
        </w:tc>
      </w:tr>
      <w:tr w:rsidR="007F271A" w:rsidRPr="00371AC7" w:rsidTr="00A57DCB">
        <w:trPr>
          <w:trHeight w:val="1522"/>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7F271A" w:rsidRPr="00371AC7" w:rsidRDefault="007F271A" w:rsidP="004F4212">
            <w:pPr>
              <w:pStyle w:val="PargrafodaLista"/>
              <w:spacing w:line="240" w:lineRule="auto"/>
              <w:jc w:val="center"/>
              <w:rPr>
                <w:rFonts w:ascii="Times New Roman" w:hAnsi="Times New Roman"/>
                <w:color w:val="000000" w:themeColor="text1"/>
                <w:sz w:val="21"/>
                <w:szCs w:val="21"/>
              </w:rPr>
            </w:pPr>
          </w:p>
        </w:tc>
        <w:tc>
          <w:tcPr>
            <w:tcW w:w="3673" w:type="dxa"/>
            <w:shd w:val="clear" w:color="auto" w:fill="FFFFFF" w:themeFill="background1"/>
          </w:tcPr>
          <w:p w:rsidR="0090666C" w:rsidRPr="00371AC7" w:rsidRDefault="0090666C" w:rsidP="00157035">
            <w:pPr>
              <w:numPr>
                <w:ilvl w:val="0"/>
                <w:numId w:val="60"/>
              </w:numPr>
              <w:ind w:left="151" w:hanging="142"/>
              <w:jc w:val="both"/>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fr-CA"/>
              </w:rPr>
            </w:pPr>
            <w:r w:rsidRPr="00371AC7">
              <w:rPr>
                <w:sz w:val="21"/>
                <w:szCs w:val="21"/>
              </w:rPr>
              <w:t>Risques d'EAS / HS</w:t>
            </w:r>
          </w:p>
        </w:tc>
        <w:tc>
          <w:tcPr>
            <w:tcW w:w="6094" w:type="dxa"/>
            <w:shd w:val="clear" w:color="auto" w:fill="FFFFFF" w:themeFill="background1"/>
            <w:vAlign w:val="center"/>
          </w:tcPr>
          <w:p w:rsidR="00BE0ED0" w:rsidRPr="00371AC7" w:rsidRDefault="00BE0ED0" w:rsidP="00157035">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Appuyer les programmes intégrant la mobilisation communautaire sur la VBG ; </w:t>
            </w:r>
          </w:p>
          <w:p w:rsidR="00BE0ED0" w:rsidRPr="00371AC7" w:rsidRDefault="00BE0ED0" w:rsidP="00157035">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Appuyer les activités ayant une large représentation de la communauté de base ; </w:t>
            </w:r>
          </w:p>
          <w:p w:rsidR="007F271A" w:rsidRPr="00371AC7" w:rsidRDefault="00BE0ED0" w:rsidP="00157035">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Lutter contre tous types de discrimination </w:t>
            </w:r>
            <w:r w:rsidR="00746942">
              <w:rPr>
                <w:rFonts w:ascii="Times New Roman" w:hAnsi="Times New Roman"/>
                <w:color w:val="000000" w:themeColor="text1"/>
                <w:sz w:val="21"/>
                <w:szCs w:val="21"/>
              </w:rPr>
              <w:t>envers</w:t>
            </w:r>
            <w:r w:rsidR="00683833">
              <w:rPr>
                <w:rFonts w:ascii="Times New Roman" w:hAnsi="Times New Roman"/>
                <w:color w:val="000000" w:themeColor="text1"/>
                <w:sz w:val="21"/>
                <w:szCs w:val="21"/>
              </w:rPr>
              <w:t xml:space="preserve"> les femmes ou personnes handicapés</w:t>
            </w:r>
            <w:r w:rsidRPr="00371AC7">
              <w:rPr>
                <w:rFonts w:ascii="Times New Roman" w:hAnsi="Times New Roman"/>
                <w:color w:val="000000" w:themeColor="text1"/>
                <w:sz w:val="21"/>
                <w:szCs w:val="21"/>
              </w:rPr>
              <w:t> ;</w:t>
            </w:r>
          </w:p>
          <w:p w:rsidR="0090666C" w:rsidRPr="00FF0A9A" w:rsidRDefault="00672614" w:rsidP="00157035">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371AC7">
              <w:rPr>
                <w:rFonts w:ascii="Times New Roman" w:hAnsi="Times New Roman"/>
                <w:color w:val="000000" w:themeColor="text1"/>
                <w:sz w:val="21"/>
                <w:szCs w:val="21"/>
              </w:rPr>
              <w:t>Organiser</w:t>
            </w:r>
            <w:r w:rsidR="00BE0ED0" w:rsidRPr="00371AC7">
              <w:rPr>
                <w:rFonts w:ascii="Times New Roman" w:hAnsi="Times New Roman"/>
                <w:color w:val="000000" w:themeColor="text1"/>
                <w:sz w:val="21"/>
                <w:szCs w:val="21"/>
              </w:rPr>
              <w:t xml:space="preserve"> des journées de sensibilisation et </w:t>
            </w:r>
            <w:r w:rsidR="00150F91" w:rsidRPr="00371AC7">
              <w:rPr>
                <w:rFonts w:ascii="Times New Roman" w:hAnsi="Times New Roman"/>
                <w:color w:val="000000" w:themeColor="text1"/>
                <w:sz w:val="21"/>
                <w:szCs w:val="21"/>
              </w:rPr>
              <w:t>d’information</w:t>
            </w:r>
            <w:r w:rsidR="00BE0ED0" w:rsidRPr="00371AC7">
              <w:rPr>
                <w:rFonts w:ascii="Times New Roman" w:hAnsi="Times New Roman"/>
                <w:color w:val="000000" w:themeColor="text1"/>
                <w:sz w:val="21"/>
                <w:szCs w:val="21"/>
              </w:rPr>
              <w:t xml:space="preserve"> </w:t>
            </w:r>
          </w:p>
          <w:p w:rsidR="00196F91" w:rsidRPr="00371AC7" w:rsidRDefault="00196F91" w:rsidP="00157035">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FF0A9A">
              <w:rPr>
                <w:rFonts w:ascii="Times New Roman" w:hAnsi="Times New Roman"/>
                <w:sz w:val="21"/>
                <w:szCs w:val="21"/>
              </w:rPr>
              <w:t>Sensibilisation des travailleurs et de la communauté en matière de risques de VBG, y compris EAS/HS et leurs conséquences, ainsi que les comportements interdits par les travailleurs vers la communauté, et les mécanismes de gestion de plaintes sensible à l’EAS/HS</w:t>
            </w:r>
          </w:p>
          <w:p w:rsidR="0090666C" w:rsidRPr="002B2401" w:rsidRDefault="00CA5C04" w:rsidP="00157035">
            <w:pPr>
              <w:pStyle w:val="PargrafodaLista"/>
              <w:numPr>
                <w:ilvl w:val="0"/>
                <w:numId w:val="60"/>
              </w:numPr>
              <w:spacing w:after="0"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B2401">
              <w:rPr>
                <w:rFonts w:ascii="Times New Roman" w:hAnsi="Times New Roman"/>
                <w:sz w:val="21"/>
                <w:szCs w:val="21"/>
              </w:rPr>
              <w:t>Les</w:t>
            </w:r>
            <w:r w:rsidR="0090666C" w:rsidRPr="002B2401">
              <w:rPr>
                <w:rFonts w:ascii="Times New Roman" w:hAnsi="Times New Roman"/>
                <w:sz w:val="21"/>
                <w:szCs w:val="21"/>
              </w:rPr>
              <w:t xml:space="preserve"> mesures d'atténuation comme le code de conduite interdisant l'EAS / HS (avec sanctions) pour le personnel associé au projet,</w:t>
            </w:r>
            <w:r w:rsidR="00196F91">
              <w:rPr>
                <w:rFonts w:ascii="Times New Roman" w:hAnsi="Times New Roman"/>
                <w:sz w:val="21"/>
                <w:szCs w:val="21"/>
              </w:rPr>
              <w:t xml:space="preserve"> y compris le personnel de l’UGP</w:t>
            </w:r>
            <w:r w:rsidR="0090666C" w:rsidRPr="002B2401">
              <w:rPr>
                <w:rFonts w:ascii="Times New Roman" w:hAnsi="Times New Roman"/>
                <w:sz w:val="21"/>
                <w:szCs w:val="21"/>
              </w:rPr>
              <w:t xml:space="preserve"> la sensibilisation, les MGP sensibles à l'EAS / HS</w:t>
            </w:r>
            <w:r w:rsidR="00196F91">
              <w:rPr>
                <w:rFonts w:ascii="Times New Roman" w:hAnsi="Times New Roman"/>
                <w:sz w:val="21"/>
                <w:szCs w:val="21"/>
              </w:rPr>
              <w:t xml:space="preserve"> </w:t>
            </w:r>
            <w:r w:rsidR="00196F91" w:rsidRPr="00196F91">
              <w:rPr>
                <w:rFonts w:ascii="Times New Roman" w:hAnsi="Times New Roman"/>
                <w:sz w:val="21"/>
                <w:szCs w:val="21"/>
              </w:rPr>
              <w:t>mis à disposition par le projet. Ainsi que les services de prise en charge pour les potentielles survivantes dans le cas échéant dans les zones d’intervention du projet.</w:t>
            </w:r>
          </w:p>
        </w:tc>
      </w:tr>
      <w:tr w:rsidR="00DA7577" w:rsidRPr="00371AC7" w:rsidTr="00A57DCB">
        <w:trPr>
          <w:trHeight w:val="552"/>
          <w:jc w:val="center"/>
        </w:trPr>
        <w:tc>
          <w:tcPr>
            <w:cnfStyle w:val="001000000000" w:firstRow="0" w:lastRow="0" w:firstColumn="1" w:lastColumn="0" w:oddVBand="0" w:evenVBand="0" w:oddHBand="0" w:evenHBand="0" w:firstRowFirstColumn="0" w:firstRowLastColumn="0" w:lastRowFirstColumn="0" w:lastRowLastColumn="0"/>
            <w:tcW w:w="1425" w:type="dxa"/>
            <w:vMerge/>
            <w:vAlign w:val="center"/>
          </w:tcPr>
          <w:p w:rsidR="00DA7577" w:rsidRPr="00371AC7" w:rsidRDefault="00DA7577" w:rsidP="004F4212">
            <w:pPr>
              <w:pStyle w:val="PargrafodaLista"/>
              <w:spacing w:line="240" w:lineRule="auto"/>
              <w:jc w:val="center"/>
              <w:rPr>
                <w:rFonts w:ascii="Times New Roman" w:hAnsi="Times New Roman"/>
                <w:i/>
                <w:color w:val="000000" w:themeColor="text1"/>
                <w:sz w:val="21"/>
                <w:szCs w:val="21"/>
                <w:lang w:eastAsia="en-US"/>
              </w:rPr>
            </w:pPr>
          </w:p>
        </w:tc>
        <w:tc>
          <w:tcPr>
            <w:tcW w:w="3673" w:type="dxa"/>
          </w:tcPr>
          <w:p w:rsidR="00DA7577" w:rsidRPr="00371AC7" w:rsidRDefault="00013E28"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1"/>
                <w:szCs w:val="21"/>
                <w:u w:val="single"/>
                <w:lang w:val="fr-CA"/>
              </w:rPr>
            </w:pPr>
            <w:r w:rsidRPr="00371AC7">
              <w:rPr>
                <w:rFonts w:ascii="Times New Roman" w:hAnsi="Times New Roman"/>
                <w:color w:val="000000" w:themeColor="text1"/>
                <w:sz w:val="21"/>
                <w:szCs w:val="21"/>
                <w:lang w:val="fr-CA"/>
              </w:rPr>
              <w:t xml:space="preserve">-Risque d’augmentation </w:t>
            </w:r>
            <w:r w:rsidR="00385739" w:rsidRPr="00371AC7">
              <w:rPr>
                <w:rFonts w:ascii="Times New Roman" w:hAnsi="Times New Roman"/>
                <w:color w:val="000000" w:themeColor="text1"/>
                <w:sz w:val="21"/>
                <w:szCs w:val="21"/>
                <w:lang w:val="fr-CA"/>
              </w:rPr>
              <w:t>des problèmes</w:t>
            </w:r>
            <w:r w:rsidRPr="00371AC7">
              <w:rPr>
                <w:rFonts w:ascii="Times New Roman" w:hAnsi="Times New Roman"/>
                <w:color w:val="000000" w:themeColor="text1"/>
                <w:sz w:val="21"/>
                <w:szCs w:val="21"/>
                <w:lang w:val="fr-CA"/>
              </w:rPr>
              <w:t xml:space="preserve"> de commercialisation des pro</w:t>
            </w:r>
            <w:r w:rsidR="00DB723D" w:rsidRPr="00371AC7">
              <w:rPr>
                <w:rFonts w:ascii="Times New Roman" w:hAnsi="Times New Roman"/>
                <w:color w:val="000000" w:themeColor="text1"/>
                <w:sz w:val="21"/>
                <w:szCs w:val="21"/>
                <w:lang w:val="fr-CA"/>
              </w:rPr>
              <w:t xml:space="preserve">duits agricoles </w:t>
            </w:r>
            <w:r w:rsidR="00385739" w:rsidRPr="00371AC7">
              <w:rPr>
                <w:rFonts w:ascii="Times New Roman" w:hAnsi="Times New Roman"/>
                <w:color w:val="000000" w:themeColor="text1"/>
                <w:sz w:val="21"/>
                <w:szCs w:val="21"/>
                <w:lang w:val="fr-CA"/>
              </w:rPr>
              <w:t>au niveau des marchés locaux;</w:t>
            </w:r>
          </w:p>
        </w:tc>
        <w:tc>
          <w:tcPr>
            <w:tcW w:w="6094" w:type="dxa"/>
          </w:tcPr>
          <w:p w:rsidR="00672614" w:rsidRPr="00371AC7" w:rsidRDefault="00DA7577" w:rsidP="00157035">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371AC7">
              <w:rPr>
                <w:rFonts w:ascii="Times New Roman" w:hAnsi="Times New Roman"/>
                <w:color w:val="000000" w:themeColor="text1"/>
                <w:sz w:val="21"/>
                <w:szCs w:val="21"/>
              </w:rPr>
              <w:t xml:space="preserve">Sensibilisation et formation des producteurs (de riz, de maïs, de noix de cajou, de manioc, etc.)  </w:t>
            </w:r>
            <w:r w:rsidR="000C6B55" w:rsidRPr="00371AC7">
              <w:rPr>
                <w:rFonts w:ascii="Times New Roman" w:hAnsi="Times New Roman"/>
                <w:color w:val="000000" w:themeColor="text1"/>
                <w:sz w:val="21"/>
                <w:szCs w:val="21"/>
              </w:rPr>
              <w:t xml:space="preserve">à la transformation ces produits pour faciliter son </w:t>
            </w:r>
            <w:r w:rsidR="007F271A" w:rsidRPr="00371AC7">
              <w:rPr>
                <w:rFonts w:ascii="Times New Roman" w:hAnsi="Times New Roman"/>
                <w:color w:val="000000" w:themeColor="text1"/>
                <w:sz w:val="21"/>
                <w:szCs w:val="21"/>
              </w:rPr>
              <w:t>écoulement</w:t>
            </w:r>
            <w:r w:rsidR="000C6B55" w:rsidRPr="00371AC7">
              <w:rPr>
                <w:rFonts w:ascii="Times New Roman" w:hAnsi="Times New Roman"/>
                <w:color w:val="000000" w:themeColor="text1"/>
                <w:sz w:val="21"/>
                <w:szCs w:val="21"/>
              </w:rPr>
              <w:t> ;</w:t>
            </w:r>
          </w:p>
          <w:p w:rsidR="00DA7577" w:rsidRPr="00371AC7" w:rsidRDefault="00426132" w:rsidP="00157035">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lang w:val="fr-CA"/>
              </w:rPr>
            </w:pPr>
            <w:r w:rsidRPr="00371AC7">
              <w:rPr>
                <w:rFonts w:ascii="Times New Roman" w:hAnsi="Times New Roman"/>
                <w:sz w:val="21"/>
                <w:szCs w:val="21"/>
                <w:lang w:val="fr-CA"/>
              </w:rPr>
              <w:t>Discuter avec l’ensemble des acteurs intervenant dans la commercialisation des produits agricoles pour mettre en place des mécanismes de valorisation de ces produits pour mieux facilité écoulement.</w:t>
            </w:r>
          </w:p>
        </w:tc>
      </w:tr>
    </w:tbl>
    <w:p w:rsidR="00606B84" w:rsidRDefault="00606B84" w:rsidP="00157035">
      <w:pPr>
        <w:pStyle w:val="Cabealho6"/>
        <w:numPr>
          <w:ilvl w:val="5"/>
          <w:numId w:val="109"/>
        </w:numPr>
        <w:spacing w:line="240" w:lineRule="auto"/>
        <w:ind w:left="0" w:right="-847"/>
        <w:jc w:val="center"/>
        <w:rPr>
          <w:rFonts w:ascii="Times New Roman" w:hAnsi="Times New Roman"/>
          <w:b/>
          <w:i w:val="0"/>
          <w:iCs w:val="0"/>
          <w:color w:val="auto"/>
          <w:sz w:val="24"/>
          <w:szCs w:val="24"/>
        </w:rPr>
      </w:pPr>
      <w:r w:rsidRPr="0097333C">
        <w:rPr>
          <w:rFonts w:ascii="Times New Roman" w:hAnsi="Times New Roman"/>
          <w:b/>
          <w:i w:val="0"/>
          <w:iCs w:val="0"/>
          <w:color w:val="auto"/>
          <w:sz w:val="24"/>
          <w:szCs w:val="24"/>
        </w:rPr>
        <w:t>Soutien aux Filets de Sécurité communautaires (la création d’emploi, la réhabilitation des structures de stockage, l’ouverture de routes d’accès aux zones de production agricole, la construction de marchés locaux, etc.)</w:t>
      </w:r>
    </w:p>
    <w:p w:rsidR="002B2401" w:rsidRPr="002B2401" w:rsidRDefault="002B2401" w:rsidP="002B2401"/>
    <w:p w:rsidR="00FC6E36" w:rsidRPr="00A05698" w:rsidRDefault="005816FB" w:rsidP="00EA03EB">
      <w:pPr>
        <w:ind w:left="-284" w:right="-851"/>
        <w:jc w:val="both"/>
      </w:pPr>
      <w:r w:rsidRPr="00A05698">
        <w:t>Ce</w:t>
      </w:r>
      <w:r w:rsidR="009C10C4" w:rsidRPr="00A05698">
        <w:t xml:space="preserve"> composante 2 du projet PUSA, pourrait engendre plusieurs impacts lors de sa mise en </w:t>
      </w:r>
      <w:r w:rsidR="00F57FCA" w:rsidRPr="00A05698">
        <w:t>œuvre et mise en service</w:t>
      </w:r>
      <w:r w:rsidR="002D60C4" w:rsidRPr="00A05698">
        <w:t xml:space="preserve">s </w:t>
      </w:r>
      <w:r w:rsidR="006564A0" w:rsidRPr="00A05698">
        <w:t>des différentes infrastructures</w:t>
      </w:r>
      <w:r w:rsidR="002D60C4" w:rsidRPr="00A05698">
        <w:t xml:space="preserve">. </w:t>
      </w:r>
      <w:r w:rsidR="000109BE" w:rsidRPr="00A05698">
        <w:t xml:space="preserve">Ainsi, pour </w:t>
      </w:r>
      <w:r w:rsidR="006564A0" w:rsidRPr="00A05698">
        <w:t>atténuer</w:t>
      </w:r>
      <w:r w:rsidR="000109BE" w:rsidRPr="00A05698">
        <w:t xml:space="preserve"> </w:t>
      </w:r>
      <w:r w:rsidR="000E1A4B" w:rsidRPr="00A05698">
        <w:t>ces impacts négatifs</w:t>
      </w:r>
      <w:r w:rsidR="006564A0" w:rsidRPr="00A05698">
        <w:t xml:space="preserve"> </w:t>
      </w:r>
      <w:r w:rsidR="00C37E30" w:rsidRPr="00A05698">
        <w:t xml:space="preserve">ou </w:t>
      </w:r>
      <w:r w:rsidR="006564A0" w:rsidRPr="00A05698">
        <w:t>même</w:t>
      </w:r>
      <w:r w:rsidR="00C37E30" w:rsidRPr="00A05698">
        <w:t xml:space="preserve"> les </w:t>
      </w:r>
      <w:r w:rsidR="006564A0" w:rsidRPr="00A05698">
        <w:t>éviter</w:t>
      </w:r>
      <w:r w:rsidR="00FC6E36" w:rsidRPr="00A05698">
        <w:t>, ces mesures ci-dessous ont été proposé</w:t>
      </w:r>
      <w:r w:rsidR="00C37E30" w:rsidRPr="00A05698">
        <w:t>s dans le tableau ci-dessous :</w:t>
      </w:r>
    </w:p>
    <w:tbl>
      <w:tblPr>
        <w:tblpPr w:leftFromText="141" w:rightFromText="141" w:vertAnchor="text" w:tblpXSpec="center" w:tblpY="1"/>
        <w:tblOverlap w:val="never"/>
        <w:tblW w:w="10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34"/>
        <w:gridCol w:w="3264"/>
        <w:gridCol w:w="5805"/>
      </w:tblGrid>
      <w:tr w:rsidR="00EA03EB" w:rsidRPr="002B2401" w:rsidTr="00A57DCB">
        <w:trPr>
          <w:trHeight w:val="326"/>
          <w:tblHeader/>
        </w:trPr>
        <w:tc>
          <w:tcPr>
            <w:tcW w:w="1834" w:type="dxa"/>
            <w:tcBorders>
              <w:top w:val="single" w:sz="4" w:space="0" w:color="auto"/>
            </w:tcBorders>
            <w:shd w:val="clear" w:color="auto" w:fill="E2EFD9" w:themeFill="accent6" w:themeFillTint="33"/>
            <w:vAlign w:val="center"/>
          </w:tcPr>
          <w:p w:rsidR="00EA03EB" w:rsidRPr="002B2401" w:rsidRDefault="00EA03EB" w:rsidP="002B2401">
            <w:pPr>
              <w:jc w:val="center"/>
              <w:rPr>
                <w:rFonts w:eastAsia="Calibri"/>
                <w:b/>
                <w:bCs/>
                <w:sz w:val="21"/>
                <w:szCs w:val="21"/>
              </w:rPr>
            </w:pPr>
            <w:r w:rsidRPr="002B2401">
              <w:rPr>
                <w:rFonts w:eastAsia="Calibri"/>
                <w:b/>
                <w:bCs/>
                <w:color w:val="000000"/>
                <w:sz w:val="21"/>
                <w:szCs w:val="21"/>
              </w:rPr>
              <w:t>Activités</w:t>
            </w:r>
          </w:p>
        </w:tc>
        <w:tc>
          <w:tcPr>
            <w:tcW w:w="3264" w:type="dxa"/>
            <w:tcBorders>
              <w:top w:val="single" w:sz="4" w:space="0" w:color="auto"/>
            </w:tcBorders>
            <w:shd w:val="clear" w:color="auto" w:fill="E2EFD9" w:themeFill="accent6" w:themeFillTint="33"/>
            <w:vAlign w:val="center"/>
          </w:tcPr>
          <w:p w:rsidR="00EA03EB" w:rsidRPr="002B2401" w:rsidRDefault="00EA03EB" w:rsidP="002B2401">
            <w:pPr>
              <w:jc w:val="center"/>
              <w:rPr>
                <w:rFonts w:eastAsia="Calibri"/>
                <w:b/>
                <w:bCs/>
                <w:sz w:val="21"/>
                <w:szCs w:val="21"/>
              </w:rPr>
            </w:pPr>
            <w:r w:rsidRPr="002B2401">
              <w:rPr>
                <w:b/>
                <w:color w:val="000000" w:themeColor="text1"/>
                <w:sz w:val="21"/>
                <w:szCs w:val="21"/>
              </w:rPr>
              <w:t xml:space="preserve">Impacts négatifs potentiels </w:t>
            </w:r>
          </w:p>
        </w:tc>
        <w:tc>
          <w:tcPr>
            <w:tcW w:w="5805" w:type="dxa"/>
            <w:tcBorders>
              <w:top w:val="single" w:sz="4" w:space="0" w:color="auto"/>
            </w:tcBorders>
            <w:shd w:val="clear" w:color="auto" w:fill="E2EFD9" w:themeFill="accent6" w:themeFillTint="33"/>
            <w:vAlign w:val="center"/>
          </w:tcPr>
          <w:p w:rsidR="00EA03EB" w:rsidRPr="002B2401" w:rsidRDefault="00EA03EB" w:rsidP="002B2401">
            <w:pPr>
              <w:jc w:val="center"/>
              <w:rPr>
                <w:rFonts w:eastAsia="Calibri"/>
                <w:b/>
                <w:bCs/>
                <w:color w:val="000000"/>
                <w:sz w:val="21"/>
                <w:szCs w:val="21"/>
              </w:rPr>
            </w:pPr>
            <w:r w:rsidRPr="002B2401">
              <w:rPr>
                <w:b/>
                <w:color w:val="000000" w:themeColor="text1"/>
                <w:sz w:val="21"/>
                <w:szCs w:val="21"/>
              </w:rPr>
              <w:t>Atténuation et/ou évitement</w:t>
            </w:r>
          </w:p>
        </w:tc>
      </w:tr>
      <w:tr w:rsidR="008D6540" w:rsidRPr="002B2401" w:rsidTr="00A57DCB">
        <w:trPr>
          <w:trHeight w:val="326"/>
          <w:tblHeader/>
        </w:trPr>
        <w:tc>
          <w:tcPr>
            <w:tcW w:w="1834" w:type="dxa"/>
            <w:vMerge w:val="restart"/>
            <w:tcBorders>
              <w:top w:val="single" w:sz="4" w:space="0" w:color="auto"/>
            </w:tcBorders>
            <w:shd w:val="clear" w:color="auto" w:fill="E2EFD9" w:themeFill="accent6" w:themeFillTint="33"/>
            <w:vAlign w:val="center"/>
          </w:tcPr>
          <w:p w:rsidR="008D6540" w:rsidRPr="002B2401" w:rsidRDefault="008D6540" w:rsidP="005718DF">
            <w:pPr>
              <w:jc w:val="center"/>
              <w:rPr>
                <w:rFonts w:eastAsia="Calibri"/>
                <w:b/>
                <w:bCs/>
                <w:color w:val="000000"/>
                <w:sz w:val="21"/>
                <w:szCs w:val="21"/>
              </w:rPr>
            </w:pPr>
            <w:r w:rsidRPr="00345951">
              <w:rPr>
                <w:b/>
              </w:rPr>
              <w:t>Soutien aux Filets de Sécurité communautaires</w:t>
            </w:r>
            <w:r>
              <w:rPr>
                <w:b/>
                <w:sz w:val="21"/>
                <w:szCs w:val="21"/>
              </w:rPr>
              <w:t xml:space="preserve">  (</w:t>
            </w:r>
            <w:r>
              <w:rPr>
                <w:b/>
              </w:rPr>
              <w:t xml:space="preserve"> C</w:t>
            </w:r>
            <w:r w:rsidRPr="005857A6">
              <w:rPr>
                <w:b/>
              </w:rPr>
              <w:t>ommuns aux différents travaux</w:t>
            </w:r>
            <w:r>
              <w:rPr>
                <w:b/>
              </w:rPr>
              <w:t>)</w:t>
            </w:r>
            <w:r w:rsidRPr="002B2401">
              <w:rPr>
                <w:b/>
                <w:sz w:val="21"/>
                <w:szCs w:val="21"/>
              </w:rPr>
              <w:t xml:space="preserve"> </w:t>
            </w:r>
          </w:p>
        </w:tc>
        <w:tc>
          <w:tcPr>
            <w:tcW w:w="9069" w:type="dxa"/>
            <w:gridSpan w:val="2"/>
            <w:tcBorders>
              <w:top w:val="single" w:sz="4" w:space="0" w:color="auto"/>
            </w:tcBorders>
            <w:shd w:val="clear" w:color="auto" w:fill="DEEAF6" w:themeFill="accent1" w:themeFillTint="33"/>
            <w:vAlign w:val="center"/>
          </w:tcPr>
          <w:p w:rsidR="008D6540" w:rsidRPr="002B2401" w:rsidRDefault="008D6540" w:rsidP="002B2401">
            <w:pPr>
              <w:jc w:val="center"/>
              <w:rPr>
                <w:b/>
                <w:color w:val="000000" w:themeColor="text1"/>
                <w:sz w:val="21"/>
                <w:szCs w:val="21"/>
              </w:rPr>
            </w:pPr>
            <w:r w:rsidRPr="002B2401">
              <w:rPr>
                <w:b/>
                <w:color w:val="000000" w:themeColor="text1"/>
                <w:sz w:val="21"/>
                <w:szCs w:val="21"/>
              </w:rPr>
              <w:t>En phase de</w:t>
            </w:r>
            <w:r>
              <w:rPr>
                <w:b/>
                <w:color w:val="000000" w:themeColor="text1"/>
                <w:sz w:val="21"/>
                <w:szCs w:val="21"/>
              </w:rPr>
              <w:t xml:space="preserve"> travaux</w:t>
            </w:r>
          </w:p>
        </w:tc>
      </w:tr>
      <w:tr w:rsidR="008D6540" w:rsidRPr="002B2401" w:rsidTr="00A57DCB">
        <w:trPr>
          <w:trHeight w:val="879"/>
          <w:tblHeader/>
        </w:trPr>
        <w:tc>
          <w:tcPr>
            <w:tcW w:w="1834" w:type="dxa"/>
            <w:vMerge/>
            <w:shd w:val="clear" w:color="auto" w:fill="E2EFD9" w:themeFill="accent6" w:themeFillTint="33"/>
            <w:vAlign w:val="center"/>
          </w:tcPr>
          <w:p w:rsidR="008D6540" w:rsidRPr="002B2401" w:rsidRDefault="008D6540" w:rsidP="002B2401">
            <w:pPr>
              <w:jc w:val="center"/>
              <w:rPr>
                <w:b/>
                <w:sz w:val="21"/>
                <w:szCs w:val="21"/>
              </w:rPr>
            </w:pPr>
          </w:p>
        </w:tc>
        <w:tc>
          <w:tcPr>
            <w:tcW w:w="3264"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 xml:space="preserve">Risque d’émission de poussières ;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d’émissions de gaz d’échappement</w:t>
            </w:r>
          </w:p>
          <w:p w:rsidR="008D6540" w:rsidRPr="002B2401" w:rsidRDefault="008D6540" w:rsidP="002B2401">
            <w:pPr>
              <w:pStyle w:val="PargrafodaLista"/>
              <w:spacing w:after="0" w:line="240" w:lineRule="auto"/>
              <w:ind w:left="151"/>
              <w:jc w:val="both"/>
              <w:rPr>
                <w:rFonts w:ascii="Times New Roman" w:hAnsi="Times New Roman"/>
                <w:b/>
                <w:color w:val="000000" w:themeColor="text1"/>
                <w:sz w:val="21"/>
                <w:szCs w:val="21"/>
              </w:rPr>
            </w:pPr>
          </w:p>
        </w:tc>
        <w:tc>
          <w:tcPr>
            <w:tcW w:w="5805"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Bâcher tous les camions de transport des matériaux (sable, carrière, etc.)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Informer et sensibiliser les usagers riverains des sites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Exiger la protection obligatoire du personnel par des EPI adéquats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Bien arroser le sol du chantier afin d’éviter l’envol de poussières ;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Faire l’entretien des véhicules et engins conformément aux normes en la matière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b/>
                <w:color w:val="000000" w:themeColor="text1"/>
                <w:sz w:val="21"/>
                <w:szCs w:val="21"/>
              </w:rPr>
            </w:pPr>
            <w:r w:rsidRPr="002B2401">
              <w:rPr>
                <w:rFonts w:ascii="Times New Roman" w:hAnsi="Times New Roman"/>
                <w:color w:val="000000" w:themeColor="text1"/>
                <w:sz w:val="21"/>
                <w:szCs w:val="21"/>
              </w:rPr>
              <w:t>Vérifier que les véhicules (camions) et les engins lourds sont en bon état pour réduire la production de gaz d’échappement</w:t>
            </w:r>
          </w:p>
        </w:tc>
      </w:tr>
      <w:tr w:rsidR="008D6540" w:rsidRPr="002B2401" w:rsidTr="00A57DCB">
        <w:trPr>
          <w:trHeight w:val="3477"/>
          <w:tblHeader/>
        </w:trPr>
        <w:tc>
          <w:tcPr>
            <w:tcW w:w="1834" w:type="dxa"/>
            <w:vMerge/>
            <w:shd w:val="clear" w:color="auto" w:fill="E2EFD9" w:themeFill="accent6" w:themeFillTint="33"/>
            <w:vAlign w:val="center"/>
          </w:tcPr>
          <w:p w:rsidR="008D6540" w:rsidRPr="002B2401" w:rsidRDefault="008D6540" w:rsidP="002B2401">
            <w:pPr>
              <w:jc w:val="center"/>
              <w:rPr>
                <w:b/>
                <w:sz w:val="21"/>
                <w:szCs w:val="21"/>
              </w:rPr>
            </w:pPr>
          </w:p>
        </w:tc>
        <w:tc>
          <w:tcPr>
            <w:tcW w:w="3264"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 xml:space="preserve">Risque de pollution des sols dû aux déversements accidentels d’huiles ou d’hydrocarbures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Risques de perturbation du système de drainage naturel des eaux</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pollution des eaux de surface liée aux déversements accidentels de produits d’hydrocarbures</w:t>
            </w:r>
          </w:p>
          <w:p w:rsidR="008D6540" w:rsidRPr="002B2401" w:rsidRDefault="008D6540" w:rsidP="002B2401">
            <w:pPr>
              <w:pStyle w:val="PargrafodaLista"/>
              <w:spacing w:after="0" w:line="240" w:lineRule="auto"/>
              <w:ind w:left="151"/>
              <w:jc w:val="both"/>
              <w:rPr>
                <w:rFonts w:ascii="Times New Roman" w:hAnsi="Times New Roman"/>
                <w:b/>
                <w:color w:val="000000" w:themeColor="text1"/>
                <w:sz w:val="21"/>
                <w:szCs w:val="21"/>
              </w:rPr>
            </w:pPr>
          </w:p>
        </w:tc>
        <w:tc>
          <w:tcPr>
            <w:tcW w:w="5805"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Veiller à la collecte et l’enlèvement réguliers des gravats et des déchets issus du chantier ;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Prévoir un système d’évacuation des eaux usées et des eaux de pluies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Assurer une gestion écologique des déchets de chantier (solides et liquides)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Sensibiliser le personnel de travaux sur la gestion des déchets de chantier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Mettre en place un dallage en béton ou un bac de rétention pour stockage des huiles usées sur site. La quantité stockée ne devra pas aussi dépasser 20 litres et une durée d’une semaine au niveau du chantier.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Assainir les bases de chantier régulièrement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Stocker toutes les matières polluantes (huiles usées, peinture, etc.) dans des bacs de rétention dans un local bien étanche ;</w:t>
            </w:r>
          </w:p>
        </w:tc>
      </w:tr>
      <w:tr w:rsidR="008D6540" w:rsidRPr="002B2401" w:rsidTr="00A57DCB">
        <w:trPr>
          <w:trHeight w:val="326"/>
          <w:tblHeader/>
        </w:trPr>
        <w:tc>
          <w:tcPr>
            <w:tcW w:w="1834" w:type="dxa"/>
            <w:vMerge/>
            <w:shd w:val="clear" w:color="auto" w:fill="E2EFD9" w:themeFill="accent6" w:themeFillTint="33"/>
            <w:vAlign w:val="center"/>
          </w:tcPr>
          <w:p w:rsidR="008D6540" w:rsidRPr="002B2401" w:rsidRDefault="008D6540" w:rsidP="002B2401">
            <w:pPr>
              <w:jc w:val="center"/>
              <w:rPr>
                <w:b/>
                <w:sz w:val="21"/>
                <w:szCs w:val="21"/>
              </w:rPr>
            </w:pPr>
          </w:p>
        </w:tc>
        <w:tc>
          <w:tcPr>
            <w:tcW w:w="3264"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de perte relativement faible de végétation et de la faune</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de modification de l’aspect du paysage ;</w:t>
            </w:r>
          </w:p>
        </w:tc>
        <w:tc>
          <w:tcPr>
            <w:tcW w:w="5805"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Effectuer une demande d’autorisations spéciales auprès des Services des Eaux et Forêts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Etablir un protocole d’accord pour le reboisement compensatoire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Adopter une configuration intégrant son environnement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Clôturer les sites de chantier</w:t>
            </w:r>
          </w:p>
        </w:tc>
      </w:tr>
      <w:tr w:rsidR="008D6540" w:rsidRPr="002B2401" w:rsidTr="00A57DCB">
        <w:trPr>
          <w:trHeight w:val="1772"/>
          <w:tblHeader/>
        </w:trPr>
        <w:tc>
          <w:tcPr>
            <w:tcW w:w="1834" w:type="dxa"/>
            <w:vMerge/>
            <w:shd w:val="clear" w:color="auto" w:fill="E2EFD9" w:themeFill="accent6" w:themeFillTint="33"/>
            <w:vAlign w:val="center"/>
          </w:tcPr>
          <w:p w:rsidR="008D6540" w:rsidRPr="002B2401" w:rsidRDefault="008D6540" w:rsidP="002B2401">
            <w:pPr>
              <w:jc w:val="center"/>
              <w:rPr>
                <w:b/>
                <w:sz w:val="21"/>
                <w:szCs w:val="21"/>
              </w:rPr>
            </w:pPr>
          </w:p>
        </w:tc>
        <w:tc>
          <w:tcPr>
            <w:tcW w:w="3264"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de conflits sociaux liés à des mouvements de revendication au sein de la communauté, si le choix des sites pour l’implantation des infrastructures n’est pas fait sur une base consensuelle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Risques de frustrations au niveau local (non utilisation de la main d’œuvre résidente)</w:t>
            </w:r>
          </w:p>
          <w:p w:rsidR="008D6540" w:rsidRPr="002B2401" w:rsidRDefault="008D6540" w:rsidP="002B2401">
            <w:pPr>
              <w:ind w:left="9"/>
              <w:jc w:val="both"/>
              <w:rPr>
                <w:color w:val="000000" w:themeColor="text1"/>
                <w:sz w:val="21"/>
                <w:szCs w:val="21"/>
                <w:lang w:val="fr-CA"/>
              </w:rPr>
            </w:pPr>
          </w:p>
        </w:tc>
        <w:tc>
          <w:tcPr>
            <w:tcW w:w="5805"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Impliquer et sensibiliser les autorités locales, les chefs de village sur tout le déroulement des activités.</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Respecter les avis et les recommandations des autorités locales et des populations.</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Respecter les engagements pris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Appuyer les programmes intégrant la mobilisation communautaire sur la VBG ;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Recruter en priorité les populations riveraines pour les postes temporaires.</w:t>
            </w:r>
          </w:p>
        </w:tc>
      </w:tr>
      <w:tr w:rsidR="008D6540" w:rsidRPr="002B2401" w:rsidTr="00A57DCB">
        <w:trPr>
          <w:trHeight w:val="326"/>
          <w:tblHeader/>
        </w:trPr>
        <w:tc>
          <w:tcPr>
            <w:tcW w:w="1834" w:type="dxa"/>
            <w:vMerge/>
            <w:shd w:val="clear" w:color="auto" w:fill="E2EFD9" w:themeFill="accent6" w:themeFillTint="33"/>
            <w:vAlign w:val="center"/>
          </w:tcPr>
          <w:p w:rsidR="008D6540" w:rsidRPr="002B2401" w:rsidRDefault="008D6540" w:rsidP="002B2401">
            <w:pPr>
              <w:jc w:val="center"/>
              <w:rPr>
                <w:b/>
                <w:sz w:val="21"/>
                <w:szCs w:val="21"/>
              </w:rPr>
            </w:pPr>
          </w:p>
        </w:tc>
        <w:tc>
          <w:tcPr>
            <w:tcW w:w="3264"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d’accidents dus à la circulation des véhicules et camion de chantier ;</w:t>
            </w:r>
          </w:p>
          <w:p w:rsidR="008D6540" w:rsidRPr="002B2401" w:rsidRDefault="008D6540" w:rsidP="002B2401">
            <w:pPr>
              <w:jc w:val="both"/>
              <w:rPr>
                <w:color w:val="000000" w:themeColor="text1"/>
                <w:sz w:val="21"/>
                <w:szCs w:val="21"/>
                <w:lang w:val="fr-CA"/>
              </w:rPr>
            </w:pPr>
          </w:p>
        </w:tc>
        <w:tc>
          <w:tcPr>
            <w:tcW w:w="5805"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Respecter les normes techniques en vigueur concernant l’utilisation des engins lourds et des camions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Réduire la vitesse de circulation à 30 Km/h lors de la traversée d’une agglomération ;</w:t>
            </w:r>
          </w:p>
          <w:p w:rsidR="008D6540" w:rsidRPr="002B2401" w:rsidRDefault="008D6540" w:rsidP="00157035">
            <w:pPr>
              <w:pStyle w:val="PargrafodaLista"/>
              <w:numPr>
                <w:ilvl w:val="0"/>
                <w:numId w:val="60"/>
              </w:numPr>
              <w:spacing w:after="0" w:line="240" w:lineRule="auto"/>
              <w:ind w:left="151" w:hanging="142"/>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Etablir un périmètre de stationnement au niveau des différents chantiers </w:t>
            </w:r>
          </w:p>
          <w:p w:rsidR="008D6540" w:rsidRPr="002B2401" w:rsidRDefault="008D6540" w:rsidP="00157035">
            <w:pPr>
              <w:pStyle w:val="PargrafodaLista"/>
              <w:numPr>
                <w:ilvl w:val="0"/>
                <w:numId w:val="60"/>
              </w:numPr>
              <w:spacing w:after="0" w:line="240" w:lineRule="auto"/>
              <w:ind w:left="151" w:hanging="142"/>
              <w:rPr>
                <w:rFonts w:ascii="Times New Roman" w:hAnsi="Times New Roman"/>
                <w:color w:val="000000" w:themeColor="text1"/>
                <w:sz w:val="21"/>
                <w:szCs w:val="21"/>
              </w:rPr>
            </w:pPr>
            <w:r w:rsidRPr="002B2401">
              <w:rPr>
                <w:rFonts w:ascii="Times New Roman" w:hAnsi="Times New Roman"/>
                <w:color w:val="000000" w:themeColor="text1"/>
                <w:sz w:val="21"/>
                <w:szCs w:val="21"/>
              </w:rPr>
              <w:t>Installer des panneaux de circulation</w:t>
            </w:r>
          </w:p>
          <w:p w:rsidR="008D6540" w:rsidRPr="002B2401" w:rsidRDefault="008D6540" w:rsidP="00157035">
            <w:pPr>
              <w:pStyle w:val="PargrafodaLista"/>
              <w:numPr>
                <w:ilvl w:val="0"/>
                <w:numId w:val="60"/>
              </w:numPr>
              <w:spacing w:after="0" w:line="240" w:lineRule="auto"/>
              <w:ind w:left="151" w:hanging="142"/>
              <w:rPr>
                <w:rFonts w:ascii="Times New Roman" w:hAnsi="Times New Roman"/>
                <w:color w:val="000000" w:themeColor="text1"/>
                <w:sz w:val="21"/>
                <w:szCs w:val="21"/>
              </w:rPr>
            </w:pPr>
            <w:r w:rsidRPr="002B2401">
              <w:rPr>
                <w:rFonts w:ascii="Times New Roman" w:hAnsi="Times New Roman"/>
                <w:color w:val="000000" w:themeColor="text1"/>
                <w:sz w:val="21"/>
                <w:szCs w:val="21"/>
              </w:rPr>
              <w:t>Eviter le stationnement prolongé des camions au bord des voies urbaines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Sensibiliser les conducteurs sur les risques d’accidents et au respect de la charge à l’essieu ;</w:t>
            </w:r>
          </w:p>
        </w:tc>
      </w:tr>
      <w:tr w:rsidR="008D6540" w:rsidRPr="002B2401" w:rsidTr="00A57DCB">
        <w:trPr>
          <w:trHeight w:val="326"/>
          <w:tblHeader/>
        </w:trPr>
        <w:tc>
          <w:tcPr>
            <w:tcW w:w="1834" w:type="dxa"/>
            <w:vMerge/>
            <w:shd w:val="clear" w:color="auto" w:fill="E2EFD9" w:themeFill="accent6" w:themeFillTint="33"/>
            <w:vAlign w:val="center"/>
          </w:tcPr>
          <w:p w:rsidR="008D6540" w:rsidRPr="002B2401" w:rsidRDefault="008D6540" w:rsidP="002B2401">
            <w:pPr>
              <w:jc w:val="center"/>
              <w:rPr>
                <w:b/>
                <w:sz w:val="21"/>
                <w:szCs w:val="21"/>
              </w:rPr>
            </w:pPr>
          </w:p>
        </w:tc>
        <w:tc>
          <w:tcPr>
            <w:tcW w:w="3264"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de maladies professionnelles consécutives à des efforts physiques, des écrasements, des chocs, des gestes répétitifs, des mauvaises postures, etc.</w:t>
            </w:r>
          </w:p>
        </w:tc>
        <w:tc>
          <w:tcPr>
            <w:tcW w:w="5805"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Exiger le port obligatoire des EPI, etc.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Sensibiliser les Ouvriers sur les risques professionnels</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Former le personnel aux gestes de premiers secours (SST et Sécurité Incendie)</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Signer un protocole d’accord avec le centre de santé le plus proche</w:t>
            </w:r>
          </w:p>
        </w:tc>
      </w:tr>
      <w:tr w:rsidR="008D6540" w:rsidRPr="002B2401" w:rsidTr="00A57DCB">
        <w:trPr>
          <w:trHeight w:val="852"/>
          <w:tblHeader/>
        </w:trPr>
        <w:tc>
          <w:tcPr>
            <w:tcW w:w="1834" w:type="dxa"/>
            <w:vMerge/>
            <w:shd w:val="clear" w:color="auto" w:fill="E2EFD9" w:themeFill="accent6" w:themeFillTint="33"/>
            <w:vAlign w:val="center"/>
          </w:tcPr>
          <w:p w:rsidR="008D6540" w:rsidRPr="002B2401" w:rsidRDefault="008D6540" w:rsidP="002B2401">
            <w:pPr>
              <w:jc w:val="center"/>
              <w:rPr>
                <w:b/>
                <w:sz w:val="21"/>
                <w:szCs w:val="21"/>
              </w:rPr>
            </w:pPr>
          </w:p>
        </w:tc>
        <w:tc>
          <w:tcPr>
            <w:tcW w:w="3264" w:type="dxa"/>
            <w:tcBorders>
              <w:top w:val="single" w:sz="4" w:space="0" w:color="auto"/>
            </w:tcBorders>
            <w:shd w:val="clear" w:color="auto" w:fill="FFFFFF" w:themeFill="background1"/>
            <w:vAlign w:val="center"/>
          </w:tcPr>
          <w:p w:rsidR="008D6540" w:rsidRPr="002B2401" w:rsidRDefault="008D6540" w:rsidP="00157035">
            <w:pPr>
              <w:numPr>
                <w:ilvl w:val="0"/>
                <w:numId w:val="60"/>
              </w:numPr>
              <w:ind w:left="151" w:hanging="142"/>
              <w:jc w:val="both"/>
              <w:rPr>
                <w:color w:val="000000" w:themeColor="text1"/>
                <w:sz w:val="21"/>
                <w:szCs w:val="21"/>
                <w:lang w:val="fr-CA"/>
              </w:rPr>
            </w:pPr>
            <w:r w:rsidRPr="002B2401">
              <w:rPr>
                <w:color w:val="000000" w:themeColor="text1"/>
                <w:sz w:val="21"/>
                <w:szCs w:val="21"/>
                <w:lang w:val="fr-CA"/>
              </w:rPr>
              <w:t>Risque de prolifération des IST/VIH SIDA et à la propagation de la Covid 19 à cause de l’</w:t>
            </w:r>
            <w:r w:rsidRPr="002B2401">
              <w:rPr>
                <w:rFonts w:eastAsia="Calibri"/>
                <w:color w:val="000000" w:themeColor="text1"/>
                <w:sz w:val="21"/>
                <w:szCs w:val="21"/>
              </w:rPr>
              <w:t>attraction des populations étrangères et des déplacements des populations locaux;</w:t>
            </w:r>
          </w:p>
        </w:tc>
        <w:tc>
          <w:tcPr>
            <w:tcW w:w="5805" w:type="dxa"/>
            <w:tcBorders>
              <w:top w:val="single" w:sz="4" w:space="0" w:color="auto"/>
            </w:tcBorders>
            <w:shd w:val="clear" w:color="auto" w:fill="FFFFFF" w:themeFill="background1"/>
            <w:vAlign w:val="center"/>
          </w:tcPr>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Organiser des campagnes de sensibilisation contre le SIDA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Organiser des campagnes de sensibilisation contre la COVID 19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Exiger le port de masque obligatoire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Distribuer des préservatifs ;</w:t>
            </w:r>
          </w:p>
          <w:p w:rsidR="008D6540" w:rsidRPr="002B2401" w:rsidRDefault="008D6540" w:rsidP="00157035">
            <w:pPr>
              <w:pStyle w:val="PargrafodaLista"/>
              <w:numPr>
                <w:ilvl w:val="0"/>
                <w:numId w:val="60"/>
              </w:numPr>
              <w:spacing w:after="0" w:line="240" w:lineRule="auto"/>
              <w:ind w:left="151" w:hanging="142"/>
              <w:rPr>
                <w:rFonts w:ascii="Times New Roman" w:hAnsi="Times New Roman"/>
                <w:color w:val="000000" w:themeColor="text1"/>
                <w:sz w:val="21"/>
                <w:szCs w:val="21"/>
              </w:rPr>
            </w:pPr>
            <w:r w:rsidRPr="002B2401">
              <w:rPr>
                <w:rFonts w:ascii="Times New Roman" w:hAnsi="Times New Roman"/>
                <w:color w:val="000000" w:themeColor="text1"/>
                <w:sz w:val="21"/>
                <w:szCs w:val="21"/>
              </w:rPr>
              <w:t>Distribuer des masques de protection et des gels antiseptiques ;</w:t>
            </w:r>
          </w:p>
          <w:p w:rsidR="008D6540" w:rsidRPr="002B2401" w:rsidRDefault="008D6540" w:rsidP="00157035">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Mettre des pictogrammes pour rappeler les mesures barrières ;</w:t>
            </w:r>
          </w:p>
        </w:tc>
      </w:tr>
      <w:tr w:rsidR="008D6540" w:rsidRPr="002B2401" w:rsidTr="00A57DCB">
        <w:trPr>
          <w:trHeight w:val="852"/>
          <w:tblHeader/>
        </w:trPr>
        <w:tc>
          <w:tcPr>
            <w:tcW w:w="1834" w:type="dxa"/>
            <w:vMerge/>
            <w:shd w:val="clear" w:color="auto" w:fill="E2EFD9" w:themeFill="accent6" w:themeFillTint="33"/>
            <w:vAlign w:val="center"/>
          </w:tcPr>
          <w:p w:rsidR="008D6540" w:rsidRPr="002B2401" w:rsidRDefault="008D6540" w:rsidP="009F5E01">
            <w:pPr>
              <w:jc w:val="center"/>
              <w:rPr>
                <w:b/>
                <w:sz w:val="21"/>
                <w:szCs w:val="21"/>
              </w:rPr>
            </w:pPr>
          </w:p>
        </w:tc>
        <w:tc>
          <w:tcPr>
            <w:tcW w:w="3264" w:type="dxa"/>
            <w:tcBorders>
              <w:top w:val="single" w:sz="4" w:space="0" w:color="auto"/>
            </w:tcBorders>
            <w:shd w:val="clear" w:color="auto" w:fill="FFFFFF" w:themeFill="background1"/>
            <w:vAlign w:val="center"/>
          </w:tcPr>
          <w:p w:rsidR="008D6540" w:rsidRPr="002B2401" w:rsidRDefault="008D6540" w:rsidP="009F5E01">
            <w:pPr>
              <w:numPr>
                <w:ilvl w:val="0"/>
                <w:numId w:val="60"/>
              </w:numPr>
              <w:ind w:left="151" w:hanging="142"/>
              <w:jc w:val="both"/>
              <w:rPr>
                <w:color w:val="000000" w:themeColor="text1"/>
                <w:sz w:val="21"/>
                <w:szCs w:val="21"/>
                <w:lang w:val="fr-CA"/>
              </w:rPr>
            </w:pPr>
            <w:r w:rsidRPr="002B2401">
              <w:rPr>
                <w:color w:val="000000" w:themeColor="text1"/>
                <w:sz w:val="21"/>
                <w:szCs w:val="21"/>
                <w:lang w:val="fr-CA"/>
              </w:rPr>
              <w:t>Risque la violence basée sur le Genre, abus et exploitation sexuelle </w:t>
            </w:r>
            <w:r w:rsidRPr="002B2401">
              <w:rPr>
                <w:sz w:val="21"/>
                <w:szCs w:val="21"/>
              </w:rPr>
              <w:t>;</w:t>
            </w:r>
          </w:p>
        </w:tc>
        <w:tc>
          <w:tcPr>
            <w:tcW w:w="5805" w:type="dxa"/>
            <w:tcBorders>
              <w:top w:val="single" w:sz="4" w:space="0" w:color="auto"/>
            </w:tcBorders>
            <w:shd w:val="clear" w:color="auto" w:fill="FFFFFF" w:themeFill="background1"/>
            <w:vAlign w:val="center"/>
          </w:tcPr>
          <w:p w:rsidR="008D6540" w:rsidRPr="002B2401" w:rsidRDefault="008D6540" w:rsidP="009F5E01">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Respecter le règlement intérieur des chantiers</w:t>
            </w:r>
            <w:r>
              <w:rPr>
                <w:rFonts w:ascii="Times New Roman" w:hAnsi="Times New Roman"/>
                <w:color w:val="000000" w:themeColor="text1"/>
                <w:sz w:val="21"/>
                <w:szCs w:val="21"/>
              </w:rPr>
              <w:t>, ainsi que le code de conduite</w:t>
            </w:r>
          </w:p>
          <w:p w:rsidR="008D6540" w:rsidRPr="002B2401" w:rsidRDefault="008D6540" w:rsidP="009F5E01">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Appuyer les programmes intégrant la mobilisation communautaire sur la VBG ; </w:t>
            </w:r>
          </w:p>
          <w:p w:rsidR="008D6540" w:rsidRPr="002B2401" w:rsidRDefault="008D6540" w:rsidP="009F5E01">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Appuyer les activités ayant une large représentation de la communauté de base ; </w:t>
            </w:r>
          </w:p>
          <w:p w:rsidR="008D6540" w:rsidRPr="002B2401" w:rsidRDefault="008D6540" w:rsidP="009F5E01">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Lutter contre tous types de discrimination de genre ;</w:t>
            </w:r>
          </w:p>
        </w:tc>
      </w:tr>
      <w:tr w:rsidR="008D6540" w:rsidRPr="002B2401" w:rsidTr="00A57DCB">
        <w:trPr>
          <w:trHeight w:val="852"/>
          <w:tblHeader/>
        </w:trPr>
        <w:tc>
          <w:tcPr>
            <w:tcW w:w="1834" w:type="dxa"/>
            <w:vMerge w:val="restart"/>
            <w:shd w:val="clear" w:color="auto" w:fill="E2EFD9" w:themeFill="accent6" w:themeFillTint="33"/>
            <w:vAlign w:val="center"/>
          </w:tcPr>
          <w:p w:rsidR="008D6540" w:rsidRPr="002B2401" w:rsidRDefault="008D6540" w:rsidP="002B2401">
            <w:pPr>
              <w:jc w:val="center"/>
              <w:rPr>
                <w:b/>
                <w:sz w:val="21"/>
                <w:szCs w:val="21"/>
              </w:rPr>
            </w:pPr>
            <w:r>
              <w:rPr>
                <w:b/>
                <w:sz w:val="21"/>
                <w:szCs w:val="21"/>
              </w:rPr>
              <w:t>O</w:t>
            </w:r>
            <w:r w:rsidRPr="002B2401">
              <w:rPr>
                <w:b/>
                <w:sz w:val="21"/>
                <w:szCs w:val="21"/>
              </w:rPr>
              <w:t>uverture de routes d’accès aux zones de production agricole</w:t>
            </w:r>
          </w:p>
        </w:tc>
        <w:tc>
          <w:tcPr>
            <w:tcW w:w="3264" w:type="dxa"/>
            <w:tcBorders>
              <w:top w:val="single" w:sz="4" w:space="0" w:color="auto"/>
            </w:tcBorders>
            <w:shd w:val="clear" w:color="auto" w:fill="FFFFFF" w:themeFill="background1"/>
            <w:vAlign w:val="center"/>
          </w:tcPr>
          <w:p w:rsidR="008D6540" w:rsidRPr="00345951" w:rsidRDefault="008D6540" w:rsidP="00345951">
            <w:pPr>
              <w:pStyle w:val="PargrafodaLista"/>
              <w:numPr>
                <w:ilvl w:val="0"/>
                <w:numId w:val="60"/>
              </w:numPr>
              <w:spacing w:after="0" w:line="240" w:lineRule="auto"/>
              <w:ind w:left="151" w:hanging="142"/>
              <w:jc w:val="both"/>
              <w:rPr>
                <w:color w:val="000000" w:themeColor="text1"/>
                <w:sz w:val="21"/>
                <w:szCs w:val="21"/>
                <w:lang w:val="fr-CA"/>
              </w:rPr>
            </w:pPr>
            <w:r w:rsidRPr="002B2401">
              <w:rPr>
                <w:rFonts w:ascii="Times New Roman" w:hAnsi="Times New Roman"/>
                <w:color w:val="000000" w:themeColor="text1"/>
                <w:sz w:val="21"/>
                <w:szCs w:val="21"/>
                <w:lang w:val="fr-CA"/>
              </w:rPr>
              <w:t>Risques de gènes et de perturbations de la circulation des véhicules ;</w:t>
            </w:r>
          </w:p>
        </w:tc>
        <w:tc>
          <w:tcPr>
            <w:tcW w:w="5805" w:type="dxa"/>
            <w:tcBorders>
              <w:top w:val="single" w:sz="4" w:space="0" w:color="auto"/>
            </w:tcBorders>
            <w:shd w:val="clear" w:color="auto" w:fill="FFFFFF" w:themeFill="background1"/>
            <w:vAlign w:val="center"/>
          </w:tcPr>
          <w:p w:rsidR="008D6540" w:rsidRPr="002B2401" w:rsidRDefault="008D6540" w:rsidP="00F80F3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Respecter les normes techniques en vigueur concernant l’utilisation des engins lourds et des camions ;</w:t>
            </w:r>
          </w:p>
          <w:p w:rsidR="008D6540" w:rsidRPr="002B2401" w:rsidRDefault="008D6540" w:rsidP="00F80F3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Réduire la vitesse de circulation à 30 Km/h lors de la traversée d’une agglomération ;</w:t>
            </w:r>
          </w:p>
          <w:p w:rsidR="008D6540" w:rsidRPr="002B2401" w:rsidRDefault="008D6540" w:rsidP="00F80F3F">
            <w:pPr>
              <w:pStyle w:val="PargrafodaLista"/>
              <w:numPr>
                <w:ilvl w:val="0"/>
                <w:numId w:val="60"/>
              </w:numPr>
              <w:spacing w:after="0" w:line="240" w:lineRule="auto"/>
              <w:ind w:left="151" w:hanging="142"/>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Etablir un périmètre de stationnement au niveau des différents chantiers </w:t>
            </w:r>
          </w:p>
          <w:p w:rsidR="008D6540" w:rsidRPr="002B2401" w:rsidRDefault="008D6540" w:rsidP="00F80F3F">
            <w:pPr>
              <w:pStyle w:val="PargrafodaLista"/>
              <w:numPr>
                <w:ilvl w:val="0"/>
                <w:numId w:val="60"/>
              </w:numPr>
              <w:spacing w:after="0" w:line="240" w:lineRule="auto"/>
              <w:ind w:left="151" w:hanging="142"/>
              <w:rPr>
                <w:rFonts w:ascii="Times New Roman" w:hAnsi="Times New Roman"/>
                <w:color w:val="000000" w:themeColor="text1"/>
                <w:sz w:val="21"/>
                <w:szCs w:val="21"/>
              </w:rPr>
            </w:pPr>
            <w:r w:rsidRPr="002B2401">
              <w:rPr>
                <w:rFonts w:ascii="Times New Roman" w:hAnsi="Times New Roman"/>
                <w:color w:val="000000" w:themeColor="text1"/>
                <w:sz w:val="21"/>
                <w:szCs w:val="21"/>
              </w:rPr>
              <w:t>Installer des panneaux de circulation</w:t>
            </w:r>
          </w:p>
          <w:p w:rsidR="008D6540" w:rsidRPr="002B2401" w:rsidRDefault="008D6540" w:rsidP="00F80F3F">
            <w:pPr>
              <w:pStyle w:val="PargrafodaLista"/>
              <w:numPr>
                <w:ilvl w:val="0"/>
                <w:numId w:val="60"/>
              </w:numPr>
              <w:spacing w:after="0" w:line="240" w:lineRule="auto"/>
              <w:ind w:left="151" w:hanging="142"/>
              <w:rPr>
                <w:rFonts w:ascii="Times New Roman" w:hAnsi="Times New Roman"/>
                <w:color w:val="000000" w:themeColor="text1"/>
                <w:sz w:val="21"/>
                <w:szCs w:val="21"/>
              </w:rPr>
            </w:pPr>
            <w:r w:rsidRPr="002B2401">
              <w:rPr>
                <w:rFonts w:ascii="Times New Roman" w:hAnsi="Times New Roman"/>
                <w:color w:val="000000" w:themeColor="text1"/>
                <w:sz w:val="21"/>
                <w:szCs w:val="21"/>
              </w:rPr>
              <w:t>Eviter le stationnement prolongé des camions au bord des voies urbaines ;</w:t>
            </w:r>
          </w:p>
          <w:p w:rsidR="008D6540" w:rsidRPr="002B2401" w:rsidRDefault="008D6540" w:rsidP="00F80F3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Sensibiliser les conducteurs sur les risques d’accidents et au respect de la charge à l’essieu ;</w:t>
            </w:r>
          </w:p>
        </w:tc>
      </w:tr>
      <w:tr w:rsidR="008D6540" w:rsidRPr="002B2401" w:rsidTr="00A57DCB">
        <w:trPr>
          <w:trHeight w:val="852"/>
          <w:tblHeader/>
        </w:trPr>
        <w:tc>
          <w:tcPr>
            <w:tcW w:w="1834" w:type="dxa"/>
            <w:vMerge/>
            <w:shd w:val="clear" w:color="auto" w:fill="E2EFD9" w:themeFill="accent6" w:themeFillTint="33"/>
            <w:vAlign w:val="center"/>
          </w:tcPr>
          <w:p w:rsidR="008D6540" w:rsidRPr="002B2401" w:rsidRDefault="008D6540" w:rsidP="002B2401">
            <w:pPr>
              <w:jc w:val="center"/>
              <w:rPr>
                <w:b/>
                <w:sz w:val="21"/>
                <w:szCs w:val="21"/>
              </w:rPr>
            </w:pPr>
          </w:p>
        </w:tc>
        <w:tc>
          <w:tcPr>
            <w:tcW w:w="3264" w:type="dxa"/>
            <w:tcBorders>
              <w:top w:val="single" w:sz="4" w:space="0" w:color="auto"/>
            </w:tcBorders>
            <w:shd w:val="clear" w:color="auto" w:fill="FFFFFF" w:themeFill="background1"/>
            <w:vAlign w:val="center"/>
          </w:tcPr>
          <w:p w:rsidR="008D6540" w:rsidRPr="006B3294" w:rsidRDefault="008D6540" w:rsidP="00345951">
            <w:pPr>
              <w:jc w:val="both"/>
              <w:rPr>
                <w:color w:val="000000" w:themeColor="text1"/>
                <w:sz w:val="21"/>
                <w:szCs w:val="21"/>
                <w:lang w:val="fr-CA"/>
              </w:rPr>
            </w:pPr>
            <w:r w:rsidRPr="006B3294">
              <w:rPr>
                <w:color w:val="000000" w:themeColor="text1"/>
                <w:sz w:val="21"/>
                <w:szCs w:val="21"/>
                <w:lang w:val="fr-CA"/>
              </w:rPr>
              <w:t>-</w:t>
            </w:r>
            <w:r w:rsidRPr="00345951">
              <w:rPr>
                <w:color w:val="000000" w:themeColor="text1"/>
                <w:sz w:val="21"/>
                <w:szCs w:val="21"/>
                <w:lang w:val="fr-CA"/>
              </w:rPr>
              <w:t>Risque de perte relativement</w:t>
            </w:r>
          </w:p>
          <w:p w:rsidR="008D6540" w:rsidRPr="00345951" w:rsidRDefault="008D6540" w:rsidP="00345951">
            <w:pPr>
              <w:jc w:val="both"/>
              <w:rPr>
                <w:color w:val="000000" w:themeColor="text1"/>
                <w:sz w:val="21"/>
                <w:szCs w:val="21"/>
                <w:lang w:val="fr-CA"/>
              </w:rPr>
            </w:pPr>
            <w:r w:rsidRPr="006B3294">
              <w:rPr>
                <w:color w:val="000000" w:themeColor="text1"/>
                <w:sz w:val="21"/>
                <w:szCs w:val="21"/>
                <w:lang w:val="fr-CA"/>
              </w:rPr>
              <w:t>-</w:t>
            </w:r>
            <w:r w:rsidRPr="0066398A">
              <w:rPr>
                <w:color w:val="000000" w:themeColor="text1"/>
                <w:sz w:val="21"/>
                <w:szCs w:val="21"/>
                <w:lang w:val="fr-CA"/>
              </w:rPr>
              <w:t>F</w:t>
            </w:r>
            <w:r w:rsidRPr="00345951">
              <w:rPr>
                <w:color w:val="000000" w:themeColor="text1"/>
                <w:sz w:val="21"/>
                <w:szCs w:val="21"/>
                <w:lang w:val="fr-CA"/>
              </w:rPr>
              <w:t>aible de végétation et de la faune Risque de migration des espèces avifaunes.</w:t>
            </w:r>
          </w:p>
          <w:p w:rsidR="008D6540" w:rsidRPr="00345951" w:rsidRDefault="008D6540" w:rsidP="006B3294">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345951">
              <w:rPr>
                <w:rFonts w:ascii="Times New Roman" w:hAnsi="Times New Roman"/>
                <w:color w:val="000000" w:themeColor="text1"/>
                <w:sz w:val="21"/>
                <w:szCs w:val="21"/>
                <w:lang w:val="fr-CA"/>
              </w:rPr>
              <w:t>Risque de destruction des niches écologiques</w:t>
            </w:r>
          </w:p>
        </w:tc>
        <w:tc>
          <w:tcPr>
            <w:tcW w:w="5805" w:type="dxa"/>
            <w:tcBorders>
              <w:top w:val="single" w:sz="4" w:space="0" w:color="auto"/>
            </w:tcBorders>
            <w:shd w:val="clear" w:color="auto" w:fill="FFFFFF" w:themeFill="background1"/>
            <w:vAlign w:val="center"/>
          </w:tcPr>
          <w:p w:rsidR="008D6540" w:rsidRPr="002B2401" w:rsidRDefault="008D6540" w:rsidP="006D59C0">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Effectuer une demande d’autorisations spéciales auprès des Services des Eaux et Forêts ;</w:t>
            </w:r>
          </w:p>
          <w:p w:rsidR="008D6540" w:rsidRPr="002B2401" w:rsidRDefault="008D6540" w:rsidP="006D59C0">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Etablir un protocole d’accord pour le reboisement compensatoire ;</w:t>
            </w:r>
          </w:p>
          <w:p w:rsidR="008D6540" w:rsidRPr="002B2401" w:rsidRDefault="008D6540" w:rsidP="006D59C0">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Adopter une configuration intégrant son environnement ;</w:t>
            </w:r>
          </w:p>
          <w:p w:rsidR="008D6540" w:rsidRDefault="008D6540" w:rsidP="006D59C0">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Clôturer les sites de chantier</w:t>
            </w:r>
          </w:p>
          <w:p w:rsidR="008D6540" w:rsidRPr="00F75FA5" w:rsidRDefault="008D6540" w:rsidP="006B3294">
            <w:pPr>
              <w:rPr>
                <w:sz w:val="20"/>
                <w:szCs w:val="20"/>
              </w:rPr>
            </w:pPr>
            <w:r w:rsidRPr="00F75FA5">
              <w:rPr>
                <w:sz w:val="20"/>
                <w:szCs w:val="20"/>
              </w:rPr>
              <w:t>-</w:t>
            </w:r>
            <w:r>
              <w:rPr>
                <w:sz w:val="20"/>
                <w:szCs w:val="20"/>
              </w:rPr>
              <w:t xml:space="preserve"> </w:t>
            </w:r>
            <w:r w:rsidRPr="00F75FA5">
              <w:rPr>
                <w:sz w:val="20"/>
                <w:szCs w:val="20"/>
              </w:rPr>
              <w:t>Sécuriser les mares et les parcours du bétail dans la zone ;</w:t>
            </w:r>
          </w:p>
          <w:p w:rsidR="008D6540" w:rsidRPr="00F75FA5" w:rsidRDefault="008D6540" w:rsidP="006B3294">
            <w:pPr>
              <w:rPr>
                <w:sz w:val="20"/>
                <w:szCs w:val="20"/>
              </w:rPr>
            </w:pPr>
            <w:r w:rsidRPr="00F75FA5">
              <w:rPr>
                <w:sz w:val="20"/>
                <w:szCs w:val="20"/>
              </w:rPr>
              <w:t>-</w:t>
            </w:r>
            <w:r>
              <w:rPr>
                <w:sz w:val="20"/>
                <w:szCs w:val="20"/>
              </w:rPr>
              <w:t xml:space="preserve"> </w:t>
            </w:r>
            <w:r w:rsidRPr="00F75FA5">
              <w:rPr>
                <w:sz w:val="20"/>
                <w:szCs w:val="20"/>
              </w:rPr>
              <w:t>Eviter et interdire autant que possible de tuer ou de détruire l’habitat naturel ;</w:t>
            </w:r>
          </w:p>
          <w:p w:rsidR="008D6540" w:rsidRPr="00F75FA5" w:rsidRDefault="008D6540" w:rsidP="006B3294">
            <w:pPr>
              <w:rPr>
                <w:sz w:val="20"/>
                <w:szCs w:val="20"/>
              </w:rPr>
            </w:pPr>
            <w:r w:rsidRPr="00F75FA5">
              <w:rPr>
                <w:sz w:val="20"/>
                <w:szCs w:val="20"/>
              </w:rPr>
              <w:t>-</w:t>
            </w:r>
            <w:r>
              <w:rPr>
                <w:sz w:val="20"/>
                <w:szCs w:val="20"/>
              </w:rPr>
              <w:t xml:space="preserve"> </w:t>
            </w:r>
            <w:r w:rsidRPr="00F75FA5">
              <w:rPr>
                <w:sz w:val="20"/>
                <w:szCs w:val="20"/>
              </w:rPr>
              <w:t>Organiser des campagnes de sensibilisation avec les éleveurs pour éviter les risques d’accident de bétail</w:t>
            </w:r>
            <w:r>
              <w:rPr>
                <w:sz w:val="20"/>
                <w:szCs w:val="20"/>
              </w:rPr>
              <w:t>s</w:t>
            </w:r>
            <w:r w:rsidRPr="00F75FA5">
              <w:rPr>
                <w:sz w:val="20"/>
                <w:szCs w:val="20"/>
              </w:rPr>
              <w:t> ;</w:t>
            </w:r>
          </w:p>
          <w:p w:rsidR="008D6540" w:rsidRPr="00F75FA5" w:rsidRDefault="008D6540" w:rsidP="006B3294">
            <w:pPr>
              <w:rPr>
                <w:sz w:val="20"/>
                <w:szCs w:val="20"/>
              </w:rPr>
            </w:pPr>
            <w:r w:rsidRPr="00F75FA5">
              <w:rPr>
                <w:sz w:val="20"/>
                <w:szCs w:val="20"/>
              </w:rPr>
              <w:t>-</w:t>
            </w:r>
            <w:r>
              <w:rPr>
                <w:sz w:val="20"/>
                <w:szCs w:val="20"/>
              </w:rPr>
              <w:t xml:space="preserve"> </w:t>
            </w:r>
            <w:r w:rsidRPr="00F75FA5">
              <w:rPr>
                <w:sz w:val="20"/>
                <w:szCs w:val="20"/>
              </w:rPr>
              <w:t>Mettre en place des panneaux de prévention contre les accidents de bétail</w:t>
            </w:r>
            <w:r>
              <w:rPr>
                <w:sz w:val="20"/>
                <w:szCs w:val="20"/>
              </w:rPr>
              <w:t>s</w:t>
            </w:r>
            <w:r w:rsidRPr="00F75FA5">
              <w:rPr>
                <w:sz w:val="20"/>
                <w:szCs w:val="20"/>
              </w:rPr>
              <w:t xml:space="preserve"> ; </w:t>
            </w:r>
          </w:p>
          <w:p w:rsidR="008D6540" w:rsidRPr="002B2401" w:rsidRDefault="008D6540" w:rsidP="006B3294">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F75FA5">
              <w:rPr>
                <w:rFonts w:ascii="Times New Roman" w:hAnsi="Times New Roman"/>
              </w:rPr>
              <w:t>Informer et sensibiliser les conducteurs des camions et des engins par rapport à la présence des animaux sur l’axe</w:t>
            </w:r>
          </w:p>
        </w:tc>
      </w:tr>
      <w:tr w:rsidR="008D6540" w:rsidRPr="002B2401" w:rsidTr="00A57DCB">
        <w:trPr>
          <w:trHeight w:val="852"/>
          <w:tblHeader/>
        </w:trPr>
        <w:tc>
          <w:tcPr>
            <w:tcW w:w="1834" w:type="dxa"/>
            <w:vMerge/>
            <w:shd w:val="clear" w:color="auto" w:fill="E2EFD9" w:themeFill="accent6" w:themeFillTint="33"/>
            <w:vAlign w:val="center"/>
          </w:tcPr>
          <w:p w:rsidR="008D6540" w:rsidRPr="002B2401" w:rsidRDefault="008D6540" w:rsidP="002B2401">
            <w:pPr>
              <w:jc w:val="center"/>
              <w:rPr>
                <w:b/>
                <w:sz w:val="21"/>
                <w:szCs w:val="21"/>
              </w:rPr>
            </w:pPr>
          </w:p>
        </w:tc>
        <w:tc>
          <w:tcPr>
            <w:tcW w:w="3264" w:type="dxa"/>
            <w:tcBorders>
              <w:top w:val="single" w:sz="4" w:space="0" w:color="auto"/>
            </w:tcBorders>
            <w:shd w:val="clear" w:color="auto" w:fill="FFFFFF" w:themeFill="background1"/>
            <w:vAlign w:val="center"/>
          </w:tcPr>
          <w:p w:rsidR="008D6540" w:rsidRPr="00345951" w:rsidRDefault="008D6540" w:rsidP="006D59C0">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 xml:space="preserve">Risque de pollution des sols dû aux déversements accidentels d’huiles ou d’hydrocarbures </w:t>
            </w:r>
          </w:p>
        </w:tc>
        <w:tc>
          <w:tcPr>
            <w:tcW w:w="5805" w:type="dxa"/>
            <w:tcBorders>
              <w:top w:val="single" w:sz="4" w:space="0" w:color="auto"/>
            </w:tcBorders>
            <w:shd w:val="clear" w:color="auto" w:fill="FFFFFF" w:themeFill="background1"/>
            <w:vAlign w:val="center"/>
          </w:tcPr>
          <w:p w:rsidR="008D6540" w:rsidRPr="002B2401" w:rsidRDefault="008D6540" w:rsidP="006D59C0">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Sensibiliser le personnel de travaux sur la gestion des déchets de chantier </w:t>
            </w:r>
          </w:p>
          <w:p w:rsidR="008D6540" w:rsidRPr="00345951" w:rsidRDefault="008D6540" w:rsidP="006D59C0">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Mettre en place un dallage en béton ou un bac de rétention pour stockage des huiles usées sur site. La quantité stockée ne devra pas aussi dépasser 20 litres et une durée d’une semaine au niveau du chantier. </w:t>
            </w:r>
          </w:p>
        </w:tc>
      </w:tr>
      <w:tr w:rsidR="008D6540" w:rsidRPr="002B2401" w:rsidTr="00A57DCB">
        <w:trPr>
          <w:trHeight w:val="852"/>
          <w:tblHeader/>
        </w:trPr>
        <w:tc>
          <w:tcPr>
            <w:tcW w:w="1834" w:type="dxa"/>
            <w:vMerge/>
            <w:shd w:val="clear" w:color="auto" w:fill="E2EFD9" w:themeFill="accent6" w:themeFillTint="33"/>
            <w:vAlign w:val="center"/>
          </w:tcPr>
          <w:p w:rsidR="008D6540" w:rsidRPr="002B2401" w:rsidRDefault="008D6540" w:rsidP="0066398A">
            <w:pPr>
              <w:jc w:val="center"/>
              <w:rPr>
                <w:b/>
                <w:sz w:val="21"/>
                <w:szCs w:val="21"/>
              </w:rPr>
            </w:pPr>
          </w:p>
        </w:tc>
        <w:tc>
          <w:tcPr>
            <w:tcW w:w="3264" w:type="dxa"/>
            <w:tcBorders>
              <w:top w:val="single" w:sz="4" w:space="0" w:color="auto"/>
            </w:tcBorders>
            <w:shd w:val="clear" w:color="auto" w:fill="FFFFFF" w:themeFill="background1"/>
            <w:vAlign w:val="center"/>
          </w:tcPr>
          <w:p w:rsidR="008D6540" w:rsidRPr="002B2401" w:rsidRDefault="008D6540" w:rsidP="00345951">
            <w:pPr>
              <w:rPr>
                <w:color w:val="000000" w:themeColor="text1"/>
                <w:sz w:val="21"/>
                <w:szCs w:val="21"/>
                <w:lang w:val="fr-CA"/>
              </w:rPr>
            </w:pPr>
            <w:r>
              <w:rPr>
                <w:rFonts w:eastAsia="Calibri"/>
                <w:sz w:val="18"/>
                <w:szCs w:val="18"/>
              </w:rPr>
              <w:t>-</w:t>
            </w:r>
            <w:r w:rsidRPr="00B75963">
              <w:rPr>
                <w:rFonts w:eastAsia="Calibri"/>
                <w:sz w:val="18"/>
                <w:szCs w:val="18"/>
              </w:rPr>
              <w:t>Nuisances sonores</w:t>
            </w:r>
          </w:p>
        </w:tc>
        <w:tc>
          <w:tcPr>
            <w:tcW w:w="5805" w:type="dxa"/>
            <w:tcBorders>
              <w:top w:val="single" w:sz="4" w:space="0" w:color="auto"/>
            </w:tcBorders>
            <w:shd w:val="clear" w:color="auto" w:fill="FFFFFF" w:themeFill="background1"/>
            <w:vAlign w:val="center"/>
          </w:tcPr>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 xml:space="preserve">Respecter les seuils sonores admis par rapport au milieu </w:t>
            </w:r>
          </w:p>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Respecter les heures de travail ;</w:t>
            </w:r>
          </w:p>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Limiter les émissions de bruit pendant les heures de repos des populations riveraines ;</w:t>
            </w:r>
          </w:p>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 xml:space="preserve">Doter </w:t>
            </w:r>
            <w:r>
              <w:rPr>
                <w:sz w:val="20"/>
                <w:szCs w:val="20"/>
              </w:rPr>
              <w:t>les</w:t>
            </w:r>
            <w:r w:rsidRPr="00F75FA5">
              <w:rPr>
                <w:sz w:val="20"/>
                <w:szCs w:val="20"/>
              </w:rPr>
              <w:t xml:space="preserve"> ouvriers de casques de protection ;</w:t>
            </w:r>
          </w:p>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Mettre en place des panneaux d’indication des niveaux de bruit maximum ;</w:t>
            </w:r>
          </w:p>
          <w:p w:rsidR="008D6540" w:rsidRPr="0066398A" w:rsidRDefault="008D6540" w:rsidP="00345951">
            <w:pPr>
              <w:jc w:val="both"/>
              <w:rPr>
                <w:color w:val="000000" w:themeColor="text1"/>
                <w:sz w:val="21"/>
                <w:szCs w:val="21"/>
              </w:rPr>
            </w:pPr>
            <w:r w:rsidRPr="0066398A">
              <w:t>-Sensibiliser les ouvriers sur les risques de nuisance sonore ;</w:t>
            </w:r>
          </w:p>
        </w:tc>
      </w:tr>
      <w:tr w:rsidR="008D6540" w:rsidRPr="002B2401" w:rsidTr="00A57DCB">
        <w:trPr>
          <w:trHeight w:val="852"/>
          <w:tblHeader/>
        </w:trPr>
        <w:tc>
          <w:tcPr>
            <w:tcW w:w="1834" w:type="dxa"/>
            <w:vMerge/>
            <w:shd w:val="clear" w:color="auto" w:fill="E2EFD9" w:themeFill="accent6" w:themeFillTint="33"/>
            <w:vAlign w:val="center"/>
          </w:tcPr>
          <w:p w:rsidR="008D6540" w:rsidRPr="002B2401" w:rsidRDefault="008D6540" w:rsidP="0066398A">
            <w:pPr>
              <w:jc w:val="center"/>
              <w:rPr>
                <w:b/>
                <w:sz w:val="21"/>
                <w:szCs w:val="21"/>
              </w:rPr>
            </w:pPr>
          </w:p>
        </w:tc>
        <w:tc>
          <w:tcPr>
            <w:tcW w:w="3264" w:type="dxa"/>
            <w:tcBorders>
              <w:top w:val="single" w:sz="4" w:space="0" w:color="auto"/>
            </w:tcBorders>
            <w:shd w:val="clear" w:color="auto" w:fill="FFFFFF" w:themeFill="background1"/>
            <w:vAlign w:val="center"/>
          </w:tcPr>
          <w:p w:rsidR="008D6540" w:rsidRDefault="008D6540" w:rsidP="0066398A">
            <w:pPr>
              <w:rPr>
                <w:rFonts w:eastAsia="Calibri"/>
                <w:sz w:val="18"/>
                <w:szCs w:val="18"/>
              </w:rPr>
            </w:pPr>
            <w:r>
              <w:rPr>
                <w:rFonts w:eastAsia="Calibri"/>
                <w:sz w:val="18"/>
                <w:szCs w:val="18"/>
              </w:rPr>
              <w:t>-Risques de perte de terres rizicoles ou des biens des personnes</w:t>
            </w:r>
          </w:p>
        </w:tc>
        <w:tc>
          <w:tcPr>
            <w:tcW w:w="5805" w:type="dxa"/>
            <w:tcBorders>
              <w:top w:val="single" w:sz="4" w:space="0" w:color="auto"/>
            </w:tcBorders>
            <w:shd w:val="clear" w:color="auto" w:fill="FFFFFF" w:themeFill="background1"/>
            <w:vAlign w:val="center"/>
          </w:tcPr>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Recenser et sensibiliser les personnes affectées par le projet ;</w:t>
            </w:r>
          </w:p>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Envisager la compensation financière des pertes ;</w:t>
            </w:r>
          </w:p>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Impliquer les autorités administratives et locales ;</w:t>
            </w:r>
          </w:p>
        </w:tc>
      </w:tr>
      <w:tr w:rsidR="008D6540" w:rsidRPr="002B2401" w:rsidTr="00A57DCB">
        <w:trPr>
          <w:trHeight w:val="852"/>
          <w:tblHeader/>
        </w:trPr>
        <w:tc>
          <w:tcPr>
            <w:tcW w:w="1834" w:type="dxa"/>
            <w:vMerge/>
            <w:shd w:val="clear" w:color="auto" w:fill="E2EFD9" w:themeFill="accent6" w:themeFillTint="33"/>
            <w:vAlign w:val="center"/>
          </w:tcPr>
          <w:p w:rsidR="008D6540" w:rsidRPr="002B2401" w:rsidRDefault="008D6540" w:rsidP="0066398A">
            <w:pPr>
              <w:jc w:val="center"/>
              <w:rPr>
                <w:b/>
                <w:sz w:val="21"/>
                <w:szCs w:val="21"/>
              </w:rPr>
            </w:pPr>
          </w:p>
        </w:tc>
        <w:tc>
          <w:tcPr>
            <w:tcW w:w="3264" w:type="dxa"/>
            <w:tcBorders>
              <w:top w:val="single" w:sz="4" w:space="0" w:color="auto"/>
            </w:tcBorders>
            <w:shd w:val="clear" w:color="auto" w:fill="FFFFFF" w:themeFill="background1"/>
            <w:vAlign w:val="center"/>
          </w:tcPr>
          <w:p w:rsidR="008D6540" w:rsidRDefault="008D6540" w:rsidP="0066398A">
            <w:pPr>
              <w:rPr>
                <w:rFonts w:eastAsia="Calibri"/>
                <w:sz w:val="18"/>
                <w:szCs w:val="18"/>
              </w:rPr>
            </w:pPr>
            <w:r>
              <w:rPr>
                <w:rFonts w:eastAsia="Calibri"/>
                <w:sz w:val="18"/>
                <w:szCs w:val="18"/>
              </w:rPr>
              <w:t>-Risque d’incendie ou de feu de brousse ;</w:t>
            </w:r>
          </w:p>
        </w:tc>
        <w:tc>
          <w:tcPr>
            <w:tcW w:w="5805" w:type="dxa"/>
            <w:tcBorders>
              <w:top w:val="single" w:sz="4" w:space="0" w:color="auto"/>
            </w:tcBorders>
            <w:shd w:val="clear" w:color="auto" w:fill="FFFFFF" w:themeFill="background1"/>
            <w:vAlign w:val="center"/>
          </w:tcPr>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Sensibiliser les personnels par rapport à l’action de risque de déclencher un feu de brousse ;</w:t>
            </w:r>
          </w:p>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Mettre en place des espaces de repos bétonné</w:t>
            </w:r>
            <w:r>
              <w:rPr>
                <w:sz w:val="20"/>
                <w:szCs w:val="20"/>
              </w:rPr>
              <w:t>s</w:t>
            </w:r>
            <w:r w:rsidRPr="00F75FA5">
              <w:rPr>
                <w:sz w:val="20"/>
                <w:szCs w:val="20"/>
              </w:rPr>
              <w:t xml:space="preserve"> et équip</w:t>
            </w:r>
            <w:r>
              <w:rPr>
                <w:sz w:val="20"/>
                <w:szCs w:val="20"/>
              </w:rPr>
              <w:t>és</w:t>
            </w:r>
            <w:r w:rsidRPr="00F75FA5">
              <w:rPr>
                <w:sz w:val="20"/>
                <w:szCs w:val="20"/>
              </w:rPr>
              <w:t xml:space="preserve"> d’extincteur</w:t>
            </w:r>
            <w:r>
              <w:rPr>
                <w:sz w:val="20"/>
                <w:szCs w:val="20"/>
              </w:rPr>
              <w:t>s</w:t>
            </w:r>
            <w:r w:rsidRPr="00F75FA5">
              <w:rPr>
                <w:sz w:val="20"/>
                <w:szCs w:val="20"/>
              </w:rPr>
              <w:t> ;</w:t>
            </w:r>
          </w:p>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Eviter les zones sensibles au feu ;</w:t>
            </w:r>
          </w:p>
          <w:p w:rsidR="008D6540" w:rsidRPr="00F75FA5" w:rsidRDefault="008D6540" w:rsidP="0066398A">
            <w:pPr>
              <w:rPr>
                <w:sz w:val="20"/>
                <w:szCs w:val="20"/>
              </w:rPr>
            </w:pPr>
            <w:r w:rsidRPr="00F75FA5">
              <w:rPr>
                <w:sz w:val="20"/>
                <w:szCs w:val="20"/>
              </w:rPr>
              <w:t>-</w:t>
            </w:r>
            <w:r>
              <w:rPr>
                <w:sz w:val="20"/>
                <w:szCs w:val="20"/>
              </w:rPr>
              <w:t xml:space="preserve"> </w:t>
            </w:r>
            <w:r w:rsidRPr="00F75FA5">
              <w:rPr>
                <w:sz w:val="20"/>
                <w:szCs w:val="20"/>
              </w:rPr>
              <w:t>Mettre des panneaux d’interdi</w:t>
            </w:r>
            <w:r>
              <w:rPr>
                <w:sz w:val="20"/>
                <w:szCs w:val="20"/>
              </w:rPr>
              <w:t>ction</w:t>
            </w:r>
            <w:r w:rsidRPr="00F75FA5">
              <w:rPr>
                <w:sz w:val="20"/>
                <w:szCs w:val="20"/>
              </w:rPr>
              <w:t xml:space="preserve"> de fumer dans les zones sensibles ;</w:t>
            </w:r>
          </w:p>
        </w:tc>
      </w:tr>
      <w:tr w:rsidR="008D6540" w:rsidRPr="002B2401" w:rsidTr="00A57DCB">
        <w:trPr>
          <w:trHeight w:val="852"/>
          <w:tblHeader/>
        </w:trPr>
        <w:tc>
          <w:tcPr>
            <w:tcW w:w="1834" w:type="dxa"/>
            <w:vMerge/>
            <w:shd w:val="clear" w:color="auto" w:fill="E2EFD9" w:themeFill="accent6" w:themeFillTint="33"/>
            <w:vAlign w:val="center"/>
          </w:tcPr>
          <w:p w:rsidR="008D6540" w:rsidRPr="002B2401" w:rsidRDefault="008D6540" w:rsidP="008D6540">
            <w:pPr>
              <w:jc w:val="center"/>
              <w:rPr>
                <w:b/>
                <w:sz w:val="21"/>
                <w:szCs w:val="21"/>
              </w:rPr>
            </w:pPr>
          </w:p>
        </w:tc>
        <w:tc>
          <w:tcPr>
            <w:tcW w:w="3264" w:type="dxa"/>
            <w:tcBorders>
              <w:top w:val="single" w:sz="4" w:space="0" w:color="auto"/>
            </w:tcBorders>
            <w:shd w:val="clear" w:color="auto" w:fill="FFFFFF" w:themeFill="background1"/>
            <w:vAlign w:val="center"/>
          </w:tcPr>
          <w:p w:rsidR="008D6540" w:rsidRDefault="008D6540" w:rsidP="008D6540">
            <w:pPr>
              <w:rPr>
                <w:rFonts w:eastAsia="Calibri"/>
                <w:sz w:val="18"/>
                <w:szCs w:val="18"/>
              </w:rPr>
            </w:pPr>
            <w:r>
              <w:rPr>
                <w:rFonts w:eastAsia="Calibri"/>
                <w:sz w:val="18"/>
                <w:szCs w:val="18"/>
              </w:rPr>
              <w:t>-</w:t>
            </w:r>
            <w:r w:rsidRPr="00E15A0C">
              <w:rPr>
                <w:rFonts w:eastAsia="Calibri"/>
                <w:sz w:val="18"/>
                <w:szCs w:val="18"/>
              </w:rPr>
              <w:t>Risques de perturbation/dégradation des réseaux des concessionnaires (d’eau potable, d’électricité, etc.…)</w:t>
            </w:r>
          </w:p>
        </w:tc>
        <w:tc>
          <w:tcPr>
            <w:tcW w:w="5805" w:type="dxa"/>
            <w:tcBorders>
              <w:top w:val="single" w:sz="4" w:space="0" w:color="auto"/>
            </w:tcBorders>
            <w:shd w:val="clear" w:color="auto" w:fill="FFFFFF" w:themeFill="background1"/>
            <w:vAlign w:val="center"/>
          </w:tcPr>
          <w:p w:rsidR="008D6540" w:rsidRPr="00F75FA5" w:rsidRDefault="008D6540" w:rsidP="008D6540">
            <w:pPr>
              <w:rPr>
                <w:sz w:val="20"/>
                <w:szCs w:val="20"/>
              </w:rPr>
            </w:pPr>
            <w:r w:rsidRPr="00F75FA5">
              <w:rPr>
                <w:sz w:val="20"/>
                <w:szCs w:val="20"/>
              </w:rPr>
              <w:t>-</w:t>
            </w:r>
            <w:r>
              <w:rPr>
                <w:sz w:val="20"/>
                <w:szCs w:val="20"/>
              </w:rPr>
              <w:t xml:space="preserve"> </w:t>
            </w:r>
            <w:r w:rsidRPr="00F75FA5">
              <w:rPr>
                <w:sz w:val="20"/>
                <w:szCs w:val="20"/>
              </w:rPr>
              <w:t>Impliquer tous les concessionnaires avant et pendant le déroulement des activités,</w:t>
            </w:r>
          </w:p>
          <w:p w:rsidR="008D6540" w:rsidRPr="00F75FA5" w:rsidRDefault="008D6540" w:rsidP="008D6540">
            <w:pPr>
              <w:rPr>
                <w:sz w:val="20"/>
                <w:szCs w:val="20"/>
              </w:rPr>
            </w:pPr>
            <w:r w:rsidRPr="00F75FA5">
              <w:rPr>
                <w:sz w:val="20"/>
                <w:szCs w:val="20"/>
              </w:rPr>
              <w:t>-</w:t>
            </w:r>
            <w:r>
              <w:rPr>
                <w:sz w:val="20"/>
                <w:szCs w:val="20"/>
              </w:rPr>
              <w:t xml:space="preserve"> </w:t>
            </w:r>
            <w:r w:rsidRPr="00F75FA5">
              <w:rPr>
                <w:sz w:val="20"/>
                <w:szCs w:val="20"/>
              </w:rPr>
              <w:t>Eviter autant que possible de toucher les réseaux d’eau, d’électricité, etc.</w:t>
            </w:r>
          </w:p>
        </w:tc>
      </w:tr>
      <w:tr w:rsidR="002E43B7" w:rsidRPr="002B2401" w:rsidTr="00A57DCB">
        <w:trPr>
          <w:trHeight w:val="852"/>
          <w:tblHeader/>
        </w:trPr>
        <w:tc>
          <w:tcPr>
            <w:tcW w:w="1834" w:type="dxa"/>
            <w:vMerge w:val="restart"/>
            <w:shd w:val="clear" w:color="auto" w:fill="E2EFD9" w:themeFill="accent6" w:themeFillTint="33"/>
            <w:vAlign w:val="center"/>
          </w:tcPr>
          <w:p w:rsidR="002E43B7" w:rsidRPr="002B2401" w:rsidRDefault="008D1B47" w:rsidP="008D1B47">
            <w:pPr>
              <w:jc w:val="center"/>
              <w:rPr>
                <w:b/>
                <w:sz w:val="21"/>
                <w:szCs w:val="21"/>
              </w:rPr>
            </w:pPr>
            <w:r w:rsidRPr="002B2401">
              <w:rPr>
                <w:b/>
                <w:sz w:val="21"/>
                <w:szCs w:val="21"/>
              </w:rPr>
              <w:t>L</w:t>
            </w:r>
            <w:r w:rsidR="002E43B7" w:rsidRPr="002B2401">
              <w:rPr>
                <w:b/>
                <w:sz w:val="21"/>
                <w:szCs w:val="21"/>
              </w:rPr>
              <w:t>a</w:t>
            </w:r>
            <w:r>
              <w:rPr>
                <w:b/>
                <w:sz w:val="21"/>
                <w:szCs w:val="21"/>
              </w:rPr>
              <w:t xml:space="preserve"> mise en service</w:t>
            </w:r>
            <w:r w:rsidR="002E43B7">
              <w:rPr>
                <w:b/>
                <w:sz w:val="21"/>
                <w:szCs w:val="21"/>
              </w:rPr>
              <w:t xml:space="preserve"> des structures de stockage</w:t>
            </w:r>
            <w:r w:rsidR="002E43B7" w:rsidRPr="002B2401">
              <w:rPr>
                <w:b/>
                <w:sz w:val="21"/>
                <w:szCs w:val="21"/>
              </w:rPr>
              <w:t>, la const</w:t>
            </w:r>
            <w:r w:rsidR="0063530F">
              <w:rPr>
                <w:b/>
                <w:sz w:val="21"/>
                <w:szCs w:val="21"/>
              </w:rPr>
              <w:t>ruction de marchés locaux, etc.</w:t>
            </w:r>
          </w:p>
        </w:tc>
        <w:tc>
          <w:tcPr>
            <w:tcW w:w="3264" w:type="dxa"/>
            <w:tcBorders>
              <w:top w:val="single" w:sz="4" w:space="0" w:color="auto"/>
            </w:tcBorders>
            <w:shd w:val="clear" w:color="auto" w:fill="FFFFFF" w:themeFill="background1"/>
            <w:vAlign w:val="center"/>
          </w:tcPr>
          <w:p w:rsidR="002E43B7" w:rsidRPr="00345951" w:rsidRDefault="002E43B7" w:rsidP="00345951">
            <w:pPr>
              <w:pStyle w:val="PargrafodaLista"/>
              <w:numPr>
                <w:ilvl w:val="0"/>
                <w:numId w:val="60"/>
              </w:numPr>
              <w:spacing w:line="240" w:lineRule="auto"/>
              <w:ind w:left="151" w:hanging="142"/>
              <w:jc w:val="both"/>
            </w:pPr>
            <w:r w:rsidRPr="00345951">
              <w:rPr>
                <w:rFonts w:ascii="Times New Roman" w:eastAsiaTheme="minorHAnsi" w:hAnsi="Times New Roman"/>
              </w:rPr>
              <w:t>Risques de perturbation du système de drainage naturel des eaux</w:t>
            </w:r>
          </w:p>
        </w:tc>
        <w:tc>
          <w:tcPr>
            <w:tcW w:w="5805" w:type="dxa"/>
            <w:tcBorders>
              <w:top w:val="single" w:sz="4" w:space="0" w:color="auto"/>
            </w:tcBorders>
            <w:shd w:val="clear" w:color="auto" w:fill="FFFFFF" w:themeFill="background1"/>
            <w:vAlign w:val="center"/>
          </w:tcPr>
          <w:p w:rsidR="002E43B7" w:rsidRDefault="002E43B7" w:rsidP="003864EC">
            <w:pPr>
              <w:rPr>
                <w:sz w:val="20"/>
                <w:szCs w:val="20"/>
              </w:rPr>
            </w:pPr>
            <w:r>
              <w:rPr>
                <w:sz w:val="20"/>
                <w:szCs w:val="20"/>
              </w:rPr>
              <w:t xml:space="preserve">- </w:t>
            </w:r>
            <w:r w:rsidRPr="00C04B39">
              <w:rPr>
                <w:sz w:val="20"/>
                <w:szCs w:val="20"/>
              </w:rPr>
              <w:t>Sécuriser les ouvrages d’a</w:t>
            </w:r>
            <w:r>
              <w:rPr>
                <w:sz w:val="20"/>
                <w:szCs w:val="20"/>
              </w:rPr>
              <w:t>rt contre les déchets solides ;</w:t>
            </w:r>
          </w:p>
          <w:p w:rsidR="002E43B7" w:rsidRDefault="002E43B7" w:rsidP="003864EC">
            <w:pPr>
              <w:rPr>
                <w:sz w:val="20"/>
                <w:szCs w:val="20"/>
              </w:rPr>
            </w:pPr>
            <w:r>
              <w:rPr>
                <w:sz w:val="20"/>
                <w:szCs w:val="20"/>
              </w:rPr>
              <w:t>- Eviter les phénomènes d’ensablement des ouvrages d’art comme les ponts, les dalots ; les buses, les canaux d’évacuation des eaux, etc. ;</w:t>
            </w:r>
          </w:p>
          <w:p w:rsidR="002E43B7" w:rsidRPr="00345951" w:rsidRDefault="002E43B7" w:rsidP="00345951">
            <w:pPr>
              <w:jc w:val="both"/>
              <w:rPr>
                <w:sz w:val="20"/>
                <w:szCs w:val="20"/>
              </w:rPr>
            </w:pPr>
            <w:r w:rsidRPr="00345951">
              <w:rPr>
                <w:sz w:val="20"/>
                <w:szCs w:val="20"/>
              </w:rPr>
              <w:t>-Veiller à l’entretien et à la maintenance périodique et régulière des ouvrages d’art ;</w:t>
            </w:r>
          </w:p>
        </w:tc>
      </w:tr>
      <w:tr w:rsidR="002E43B7" w:rsidRPr="002B2401" w:rsidTr="00A57DCB">
        <w:trPr>
          <w:trHeight w:val="852"/>
          <w:tblHeader/>
        </w:trPr>
        <w:tc>
          <w:tcPr>
            <w:tcW w:w="1834" w:type="dxa"/>
            <w:vMerge/>
            <w:shd w:val="clear" w:color="auto" w:fill="E2EFD9" w:themeFill="accent6" w:themeFillTint="33"/>
            <w:vAlign w:val="center"/>
          </w:tcPr>
          <w:p w:rsidR="002E43B7" w:rsidRPr="002B2401" w:rsidRDefault="002E43B7" w:rsidP="008D6540">
            <w:pPr>
              <w:jc w:val="center"/>
              <w:rPr>
                <w:b/>
                <w:sz w:val="21"/>
                <w:szCs w:val="21"/>
              </w:rPr>
            </w:pPr>
          </w:p>
        </w:tc>
        <w:tc>
          <w:tcPr>
            <w:tcW w:w="3264" w:type="dxa"/>
            <w:tcBorders>
              <w:top w:val="single" w:sz="4" w:space="0" w:color="auto"/>
            </w:tcBorders>
            <w:shd w:val="clear" w:color="auto" w:fill="FFFFFF" w:themeFill="background1"/>
            <w:vAlign w:val="center"/>
          </w:tcPr>
          <w:p w:rsidR="002E43B7" w:rsidRPr="00345951" w:rsidRDefault="002E43B7" w:rsidP="00345951">
            <w:pPr>
              <w:pStyle w:val="PargrafodaLista"/>
              <w:numPr>
                <w:ilvl w:val="0"/>
                <w:numId w:val="60"/>
              </w:numPr>
              <w:spacing w:line="240" w:lineRule="auto"/>
              <w:ind w:left="151" w:hanging="142"/>
              <w:jc w:val="both"/>
              <w:rPr>
                <w:color w:val="000000" w:themeColor="text1"/>
                <w:sz w:val="21"/>
                <w:szCs w:val="21"/>
                <w:lang w:val="fr-CA"/>
              </w:rPr>
            </w:pPr>
            <w:r w:rsidRPr="00843722">
              <w:rPr>
                <w:rFonts w:ascii="Times New Roman" w:hAnsi="Times New Roman"/>
                <w:color w:val="000000" w:themeColor="text1"/>
                <w:sz w:val="21"/>
                <w:szCs w:val="21"/>
                <w:lang w:val="fr-CA"/>
              </w:rPr>
              <w:t>Risque de conflits sociaux liés à des mouvements de revendication au sein de la communauté, si le choix des sites pour l’implantation des infrastructures n’est pas fait sur une base consensuelle ;</w:t>
            </w:r>
          </w:p>
        </w:tc>
        <w:tc>
          <w:tcPr>
            <w:tcW w:w="5805" w:type="dxa"/>
            <w:tcBorders>
              <w:top w:val="single" w:sz="4" w:space="0" w:color="auto"/>
            </w:tcBorders>
            <w:shd w:val="clear" w:color="auto" w:fill="FFFFFF" w:themeFill="background1"/>
            <w:vAlign w:val="center"/>
          </w:tcPr>
          <w:p w:rsidR="002E43B7" w:rsidRPr="002B2401" w:rsidRDefault="002E43B7" w:rsidP="002E43B7">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Impliquer et sensibiliser les autorités locales, les chefs de village sur tout le déroulement des activités.</w:t>
            </w:r>
          </w:p>
          <w:p w:rsidR="002E43B7" w:rsidRPr="002B2401" w:rsidRDefault="002E43B7" w:rsidP="002E43B7">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Respecter les avis et les recommandations des autorités locales et des populations.</w:t>
            </w:r>
          </w:p>
          <w:p w:rsidR="002E43B7" w:rsidRPr="00345951" w:rsidRDefault="002E43B7" w:rsidP="00345951">
            <w:pPr>
              <w:pStyle w:val="PargrafodaLista"/>
              <w:numPr>
                <w:ilvl w:val="0"/>
                <w:numId w:val="60"/>
              </w:numPr>
              <w:spacing w:after="0" w:line="240" w:lineRule="auto"/>
              <w:ind w:left="151" w:hanging="142"/>
              <w:jc w:val="both"/>
              <w:rPr>
                <w:color w:val="000000" w:themeColor="text1"/>
                <w:sz w:val="21"/>
                <w:szCs w:val="21"/>
              </w:rPr>
            </w:pPr>
            <w:r w:rsidRPr="002B2401">
              <w:rPr>
                <w:rFonts w:ascii="Times New Roman" w:hAnsi="Times New Roman"/>
                <w:color w:val="000000" w:themeColor="text1"/>
                <w:sz w:val="21"/>
                <w:szCs w:val="21"/>
              </w:rPr>
              <w:t>Respecter les engagements pris </w:t>
            </w:r>
          </w:p>
        </w:tc>
      </w:tr>
      <w:tr w:rsidR="002E43B7" w:rsidRPr="002B2401" w:rsidTr="00A57DCB">
        <w:trPr>
          <w:trHeight w:val="852"/>
          <w:tblHeader/>
        </w:trPr>
        <w:tc>
          <w:tcPr>
            <w:tcW w:w="1834" w:type="dxa"/>
            <w:vMerge/>
            <w:shd w:val="clear" w:color="auto" w:fill="E2EFD9" w:themeFill="accent6" w:themeFillTint="33"/>
            <w:vAlign w:val="center"/>
          </w:tcPr>
          <w:p w:rsidR="002E43B7" w:rsidRPr="002B2401" w:rsidRDefault="002E43B7" w:rsidP="002E43B7">
            <w:pPr>
              <w:jc w:val="center"/>
              <w:rPr>
                <w:b/>
                <w:sz w:val="21"/>
                <w:szCs w:val="21"/>
              </w:rPr>
            </w:pPr>
          </w:p>
        </w:tc>
        <w:tc>
          <w:tcPr>
            <w:tcW w:w="3264" w:type="dxa"/>
            <w:tcBorders>
              <w:top w:val="single" w:sz="4" w:space="0" w:color="auto"/>
            </w:tcBorders>
            <w:shd w:val="clear" w:color="auto" w:fill="FFFFFF" w:themeFill="background1"/>
            <w:vAlign w:val="center"/>
          </w:tcPr>
          <w:p w:rsidR="002E43B7" w:rsidRPr="00345951" w:rsidRDefault="002E43B7" w:rsidP="002E43B7">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perte de terres au niveau des secteurs concernés pour la réalisation des marchés et d</w:t>
            </w:r>
            <w:r>
              <w:rPr>
                <w:rFonts w:ascii="Times New Roman" w:hAnsi="Times New Roman"/>
                <w:color w:val="000000" w:themeColor="text1"/>
                <w:sz w:val="21"/>
                <w:szCs w:val="21"/>
                <w:lang w:val="fr-CA"/>
              </w:rPr>
              <w:t>es structures de stockage</w:t>
            </w:r>
            <w:r w:rsidRPr="00843722">
              <w:rPr>
                <w:rFonts w:ascii="Times New Roman" w:hAnsi="Times New Roman"/>
                <w:color w:val="000000" w:themeColor="text1"/>
                <w:sz w:val="21"/>
                <w:szCs w:val="21"/>
                <w:lang w:val="fr-CA"/>
              </w:rPr>
              <w:t> ;</w:t>
            </w:r>
          </w:p>
        </w:tc>
        <w:tc>
          <w:tcPr>
            <w:tcW w:w="5805" w:type="dxa"/>
            <w:tcBorders>
              <w:top w:val="single" w:sz="4" w:space="0" w:color="auto"/>
            </w:tcBorders>
            <w:shd w:val="clear" w:color="auto" w:fill="FFFFFF" w:themeFill="background1"/>
            <w:vAlign w:val="center"/>
          </w:tcPr>
          <w:p w:rsidR="002E43B7" w:rsidRPr="00F75FA5" w:rsidRDefault="002E43B7" w:rsidP="002E43B7">
            <w:pPr>
              <w:rPr>
                <w:sz w:val="20"/>
                <w:szCs w:val="20"/>
              </w:rPr>
            </w:pPr>
            <w:r w:rsidRPr="00F75FA5">
              <w:rPr>
                <w:sz w:val="20"/>
                <w:szCs w:val="20"/>
              </w:rPr>
              <w:t>-</w:t>
            </w:r>
            <w:r>
              <w:rPr>
                <w:sz w:val="20"/>
                <w:szCs w:val="20"/>
              </w:rPr>
              <w:t xml:space="preserve"> </w:t>
            </w:r>
            <w:r w:rsidRPr="00F75FA5">
              <w:rPr>
                <w:sz w:val="20"/>
                <w:szCs w:val="20"/>
              </w:rPr>
              <w:t>Recenser et sensibiliser les personnes affectées par le projet ;</w:t>
            </w:r>
          </w:p>
          <w:p w:rsidR="002E43B7" w:rsidRPr="00F75FA5" w:rsidRDefault="002E43B7" w:rsidP="002E43B7">
            <w:pPr>
              <w:rPr>
                <w:sz w:val="20"/>
                <w:szCs w:val="20"/>
              </w:rPr>
            </w:pPr>
            <w:r w:rsidRPr="00F75FA5">
              <w:rPr>
                <w:sz w:val="20"/>
                <w:szCs w:val="20"/>
              </w:rPr>
              <w:t>-</w:t>
            </w:r>
            <w:r>
              <w:rPr>
                <w:sz w:val="20"/>
                <w:szCs w:val="20"/>
              </w:rPr>
              <w:t xml:space="preserve"> </w:t>
            </w:r>
            <w:r w:rsidRPr="00F75FA5">
              <w:rPr>
                <w:sz w:val="20"/>
                <w:szCs w:val="20"/>
              </w:rPr>
              <w:t>Envisager la compensation financière des pertes ;</w:t>
            </w:r>
          </w:p>
          <w:p w:rsidR="002E43B7" w:rsidRPr="00F75FA5" w:rsidRDefault="002E43B7" w:rsidP="002E43B7">
            <w:pPr>
              <w:rPr>
                <w:sz w:val="20"/>
                <w:szCs w:val="20"/>
              </w:rPr>
            </w:pPr>
            <w:r w:rsidRPr="00F75FA5">
              <w:rPr>
                <w:sz w:val="20"/>
                <w:szCs w:val="20"/>
              </w:rPr>
              <w:t>-</w:t>
            </w:r>
            <w:r>
              <w:rPr>
                <w:sz w:val="20"/>
                <w:szCs w:val="20"/>
              </w:rPr>
              <w:t xml:space="preserve"> </w:t>
            </w:r>
            <w:r w:rsidRPr="00F75FA5">
              <w:rPr>
                <w:sz w:val="20"/>
                <w:szCs w:val="20"/>
              </w:rPr>
              <w:t>Impliquer les autorités administratives et locales ;</w:t>
            </w:r>
          </w:p>
        </w:tc>
      </w:tr>
      <w:tr w:rsidR="002E43B7" w:rsidRPr="002B2401" w:rsidTr="00A57DCB">
        <w:trPr>
          <w:trHeight w:val="852"/>
          <w:tblHeader/>
        </w:trPr>
        <w:tc>
          <w:tcPr>
            <w:tcW w:w="1834" w:type="dxa"/>
            <w:vMerge/>
            <w:shd w:val="clear" w:color="auto" w:fill="E2EFD9" w:themeFill="accent6" w:themeFillTint="33"/>
            <w:vAlign w:val="center"/>
          </w:tcPr>
          <w:p w:rsidR="002E43B7" w:rsidRPr="002B2401" w:rsidRDefault="002E43B7" w:rsidP="002E43B7">
            <w:pPr>
              <w:jc w:val="center"/>
              <w:rPr>
                <w:b/>
                <w:sz w:val="21"/>
                <w:szCs w:val="21"/>
              </w:rPr>
            </w:pPr>
          </w:p>
        </w:tc>
        <w:tc>
          <w:tcPr>
            <w:tcW w:w="3264" w:type="dxa"/>
            <w:tcBorders>
              <w:top w:val="single" w:sz="4" w:space="0" w:color="auto"/>
            </w:tcBorders>
            <w:shd w:val="clear" w:color="auto" w:fill="FFFFFF" w:themeFill="background1"/>
            <w:vAlign w:val="center"/>
          </w:tcPr>
          <w:p w:rsidR="002E43B7" w:rsidRPr="00345951" w:rsidRDefault="002E43B7" w:rsidP="002E43B7">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gènes et de perturbations de la circulation des véhicules ;</w:t>
            </w:r>
          </w:p>
        </w:tc>
        <w:tc>
          <w:tcPr>
            <w:tcW w:w="5805" w:type="dxa"/>
            <w:tcBorders>
              <w:top w:val="single" w:sz="4" w:space="0" w:color="auto"/>
            </w:tcBorders>
            <w:shd w:val="clear" w:color="auto" w:fill="FFFFFF" w:themeFill="background1"/>
            <w:vAlign w:val="center"/>
          </w:tcPr>
          <w:p w:rsidR="002E43B7" w:rsidRPr="00F75FA5" w:rsidRDefault="002E43B7" w:rsidP="002E43B7">
            <w:pPr>
              <w:rPr>
                <w:sz w:val="20"/>
                <w:szCs w:val="20"/>
              </w:rPr>
            </w:pPr>
            <w:r w:rsidRPr="00F75FA5">
              <w:rPr>
                <w:sz w:val="20"/>
                <w:szCs w:val="20"/>
              </w:rPr>
              <w:t>-</w:t>
            </w:r>
            <w:r>
              <w:rPr>
                <w:sz w:val="20"/>
                <w:szCs w:val="20"/>
              </w:rPr>
              <w:t xml:space="preserve"> </w:t>
            </w:r>
            <w:r w:rsidRPr="00F75FA5">
              <w:rPr>
                <w:sz w:val="20"/>
                <w:szCs w:val="20"/>
              </w:rPr>
              <w:t>Etablir un périmètre de sécurité au niveau d</w:t>
            </w:r>
            <w:r>
              <w:rPr>
                <w:sz w:val="20"/>
                <w:szCs w:val="20"/>
              </w:rPr>
              <w:t>es</w:t>
            </w:r>
            <w:r w:rsidRPr="00F75FA5">
              <w:rPr>
                <w:sz w:val="20"/>
                <w:szCs w:val="20"/>
              </w:rPr>
              <w:t xml:space="preserve"> différent</w:t>
            </w:r>
            <w:r>
              <w:rPr>
                <w:sz w:val="20"/>
                <w:szCs w:val="20"/>
              </w:rPr>
              <w:t>s</w:t>
            </w:r>
            <w:r w:rsidRPr="00F75FA5">
              <w:rPr>
                <w:sz w:val="20"/>
                <w:szCs w:val="20"/>
              </w:rPr>
              <w:t xml:space="preserve"> chantier</w:t>
            </w:r>
            <w:r>
              <w:rPr>
                <w:sz w:val="20"/>
                <w:szCs w:val="20"/>
              </w:rPr>
              <w:t>s</w:t>
            </w:r>
            <w:r w:rsidRPr="00F75FA5">
              <w:rPr>
                <w:sz w:val="20"/>
                <w:szCs w:val="20"/>
              </w:rPr>
              <w:t xml:space="preserve"> </w:t>
            </w:r>
          </w:p>
          <w:p w:rsidR="002E43B7" w:rsidRPr="00F75FA5" w:rsidRDefault="002E43B7" w:rsidP="002E43B7">
            <w:pPr>
              <w:rPr>
                <w:sz w:val="20"/>
                <w:szCs w:val="20"/>
              </w:rPr>
            </w:pPr>
            <w:r w:rsidRPr="00F75FA5">
              <w:rPr>
                <w:sz w:val="20"/>
                <w:szCs w:val="20"/>
              </w:rPr>
              <w:t>-</w:t>
            </w:r>
            <w:r>
              <w:rPr>
                <w:sz w:val="20"/>
                <w:szCs w:val="20"/>
              </w:rPr>
              <w:t xml:space="preserve"> </w:t>
            </w:r>
            <w:r w:rsidRPr="00F75FA5">
              <w:rPr>
                <w:sz w:val="20"/>
                <w:szCs w:val="20"/>
              </w:rPr>
              <w:t>Install</w:t>
            </w:r>
            <w:r>
              <w:rPr>
                <w:sz w:val="20"/>
                <w:szCs w:val="20"/>
              </w:rPr>
              <w:t>er</w:t>
            </w:r>
            <w:r w:rsidRPr="00F75FA5">
              <w:rPr>
                <w:sz w:val="20"/>
                <w:szCs w:val="20"/>
              </w:rPr>
              <w:t xml:space="preserve"> des panneaux de circulation</w:t>
            </w:r>
          </w:p>
          <w:p w:rsidR="002E43B7" w:rsidRPr="00F75FA5" w:rsidRDefault="002E43B7" w:rsidP="002E43B7">
            <w:pPr>
              <w:rPr>
                <w:sz w:val="20"/>
                <w:szCs w:val="20"/>
              </w:rPr>
            </w:pPr>
            <w:r w:rsidRPr="00F75FA5">
              <w:rPr>
                <w:sz w:val="20"/>
                <w:szCs w:val="20"/>
              </w:rPr>
              <w:t>-</w:t>
            </w:r>
            <w:r>
              <w:rPr>
                <w:sz w:val="20"/>
                <w:szCs w:val="20"/>
              </w:rPr>
              <w:t xml:space="preserve"> </w:t>
            </w:r>
            <w:r w:rsidRPr="00F75FA5">
              <w:rPr>
                <w:sz w:val="20"/>
                <w:szCs w:val="20"/>
              </w:rPr>
              <w:t>Eviter le stationnement prolongé des camions au bord des voies d’accès</w:t>
            </w:r>
          </w:p>
          <w:p w:rsidR="002E43B7" w:rsidRPr="00F75FA5" w:rsidRDefault="002E43B7" w:rsidP="002E43B7">
            <w:pPr>
              <w:rPr>
                <w:sz w:val="20"/>
                <w:szCs w:val="20"/>
              </w:rPr>
            </w:pPr>
            <w:r w:rsidRPr="00F75FA5">
              <w:rPr>
                <w:sz w:val="20"/>
                <w:szCs w:val="20"/>
              </w:rPr>
              <w:t>- Exiger le port obligatoire des EPI, etc. ;</w:t>
            </w:r>
          </w:p>
          <w:p w:rsidR="002E43B7" w:rsidRPr="00F75FA5" w:rsidRDefault="002E43B7" w:rsidP="002E43B7">
            <w:pPr>
              <w:rPr>
                <w:sz w:val="20"/>
                <w:szCs w:val="20"/>
              </w:rPr>
            </w:pPr>
            <w:r w:rsidRPr="00F75FA5">
              <w:rPr>
                <w:sz w:val="20"/>
                <w:szCs w:val="20"/>
              </w:rPr>
              <w:t>-</w:t>
            </w:r>
            <w:r>
              <w:rPr>
                <w:sz w:val="20"/>
                <w:szCs w:val="20"/>
              </w:rPr>
              <w:t xml:space="preserve"> </w:t>
            </w:r>
            <w:r w:rsidRPr="00F75FA5">
              <w:rPr>
                <w:sz w:val="20"/>
                <w:szCs w:val="20"/>
              </w:rPr>
              <w:t>Sensibiliser les conducteurs sur les risques professionnels</w:t>
            </w:r>
          </w:p>
        </w:tc>
      </w:tr>
      <w:tr w:rsidR="002E43B7" w:rsidRPr="002B2401" w:rsidTr="00A57DCB">
        <w:trPr>
          <w:trHeight w:val="67"/>
          <w:tblHeader/>
        </w:trPr>
        <w:tc>
          <w:tcPr>
            <w:tcW w:w="1834" w:type="dxa"/>
            <w:vMerge/>
            <w:shd w:val="clear" w:color="auto" w:fill="E2EFD9" w:themeFill="accent6" w:themeFillTint="33"/>
            <w:vAlign w:val="center"/>
          </w:tcPr>
          <w:p w:rsidR="002E43B7" w:rsidRPr="002B2401" w:rsidRDefault="002E43B7" w:rsidP="002E43B7">
            <w:pPr>
              <w:jc w:val="center"/>
              <w:rPr>
                <w:b/>
                <w:sz w:val="21"/>
                <w:szCs w:val="21"/>
                <w:u w:val="single"/>
              </w:rPr>
            </w:pPr>
          </w:p>
        </w:tc>
        <w:tc>
          <w:tcPr>
            <w:tcW w:w="9069" w:type="dxa"/>
            <w:gridSpan w:val="2"/>
            <w:tcBorders>
              <w:top w:val="single" w:sz="4" w:space="0" w:color="auto"/>
            </w:tcBorders>
            <w:shd w:val="clear" w:color="auto" w:fill="DEEAF6" w:themeFill="accent1" w:themeFillTint="33"/>
          </w:tcPr>
          <w:p w:rsidR="002E43B7" w:rsidRPr="002B2401" w:rsidRDefault="002E43B7" w:rsidP="002E43B7">
            <w:pPr>
              <w:jc w:val="center"/>
              <w:rPr>
                <w:rFonts w:eastAsia="Calibri"/>
                <w:b/>
                <w:bCs/>
                <w:color w:val="000000"/>
                <w:sz w:val="21"/>
                <w:szCs w:val="21"/>
              </w:rPr>
            </w:pPr>
            <w:r w:rsidRPr="002B2401">
              <w:rPr>
                <w:b/>
                <w:color w:val="000000" w:themeColor="text1"/>
                <w:sz w:val="21"/>
                <w:szCs w:val="21"/>
              </w:rPr>
              <w:t xml:space="preserve">En phase d’exploitation </w:t>
            </w:r>
          </w:p>
        </w:tc>
      </w:tr>
      <w:tr w:rsidR="002E43B7" w:rsidRPr="002B2401" w:rsidTr="00A57DCB">
        <w:trPr>
          <w:trHeight w:val="501"/>
          <w:tblHeader/>
        </w:trPr>
        <w:tc>
          <w:tcPr>
            <w:tcW w:w="1834" w:type="dxa"/>
            <w:vMerge w:val="restart"/>
            <w:shd w:val="clear" w:color="auto" w:fill="E2EFD9" w:themeFill="accent6" w:themeFillTint="33"/>
            <w:vAlign w:val="center"/>
          </w:tcPr>
          <w:p w:rsidR="002E43B7" w:rsidRPr="002B2401" w:rsidRDefault="0063530F" w:rsidP="002E43B7">
            <w:pPr>
              <w:jc w:val="center"/>
              <w:rPr>
                <w:b/>
                <w:sz w:val="21"/>
                <w:szCs w:val="21"/>
                <w:u w:val="single"/>
              </w:rPr>
            </w:pPr>
            <w:r w:rsidRPr="002B2401">
              <w:rPr>
                <w:b/>
                <w:sz w:val="21"/>
                <w:szCs w:val="21"/>
              </w:rPr>
              <w:t>la réhabilitat</w:t>
            </w:r>
            <w:r>
              <w:rPr>
                <w:b/>
                <w:sz w:val="21"/>
                <w:szCs w:val="21"/>
              </w:rPr>
              <w:t>ion des structures de stockage</w:t>
            </w:r>
            <w:r w:rsidRPr="002B2401">
              <w:rPr>
                <w:b/>
                <w:sz w:val="21"/>
                <w:szCs w:val="21"/>
              </w:rPr>
              <w:t>, la const</w:t>
            </w:r>
            <w:r>
              <w:rPr>
                <w:b/>
                <w:sz w:val="21"/>
                <w:szCs w:val="21"/>
              </w:rPr>
              <w:t xml:space="preserve">ruction de marchés locaux, </w:t>
            </w:r>
            <w:r w:rsidR="00B72399">
              <w:rPr>
                <w:b/>
                <w:sz w:val="21"/>
                <w:szCs w:val="21"/>
              </w:rPr>
              <w:t>etc.</w:t>
            </w:r>
          </w:p>
        </w:tc>
        <w:tc>
          <w:tcPr>
            <w:tcW w:w="3264" w:type="dxa"/>
            <w:tcBorders>
              <w:top w:val="single" w:sz="4" w:space="0" w:color="auto"/>
            </w:tcBorders>
            <w:shd w:val="clear" w:color="auto" w:fill="FFFFFF" w:themeFill="background1"/>
          </w:tcPr>
          <w:p w:rsidR="00B2770A" w:rsidRPr="00345951" w:rsidRDefault="00B2770A" w:rsidP="00345951">
            <w:pPr>
              <w:pStyle w:val="PargrafodaLista"/>
              <w:numPr>
                <w:ilvl w:val="0"/>
                <w:numId w:val="60"/>
              </w:numPr>
              <w:spacing w:after="0" w:line="240" w:lineRule="auto"/>
              <w:ind w:left="151" w:hanging="142"/>
              <w:jc w:val="both"/>
              <w:rPr>
                <w:color w:val="000000" w:themeColor="text1"/>
                <w:sz w:val="21"/>
                <w:szCs w:val="21"/>
                <w:lang w:val="fr-CA"/>
              </w:rPr>
            </w:pPr>
            <w:r w:rsidRPr="00B2770A">
              <w:rPr>
                <w:rFonts w:ascii="Times New Roman" w:hAnsi="Times New Roman"/>
                <w:color w:val="000000" w:themeColor="text1"/>
                <w:sz w:val="21"/>
                <w:szCs w:val="21"/>
                <w:lang w:val="fr-CA"/>
              </w:rPr>
              <w:t>-</w:t>
            </w:r>
            <w:r w:rsidRPr="00345951">
              <w:rPr>
                <w:rFonts w:ascii="Times New Roman" w:hAnsi="Times New Roman"/>
                <w:color w:val="000000" w:themeColor="text1"/>
                <w:sz w:val="21"/>
                <w:szCs w:val="21"/>
                <w:lang w:val="fr-CA"/>
              </w:rPr>
              <w:t>Risques de contaminants de la qualité́ de l’air intérie</w:t>
            </w:r>
            <w:r w:rsidRPr="00B2770A">
              <w:rPr>
                <w:rFonts w:ascii="Times New Roman" w:hAnsi="Times New Roman"/>
                <w:color w:val="000000" w:themeColor="text1"/>
                <w:sz w:val="21"/>
                <w:szCs w:val="21"/>
                <w:lang w:val="fr-CA"/>
              </w:rPr>
              <w:t>ur des infrastructures</w:t>
            </w:r>
          </w:p>
          <w:p w:rsidR="002E43B7" w:rsidRPr="00345951" w:rsidRDefault="00B2770A" w:rsidP="00345951">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B2770A">
              <w:rPr>
                <w:rFonts w:ascii="Times New Roman" w:hAnsi="Times New Roman"/>
                <w:color w:val="000000" w:themeColor="text1"/>
                <w:sz w:val="21"/>
                <w:szCs w:val="21"/>
                <w:lang w:val="fr-CA"/>
              </w:rPr>
              <w:t>-</w:t>
            </w:r>
            <w:r w:rsidRPr="00345951">
              <w:rPr>
                <w:rFonts w:ascii="Times New Roman" w:hAnsi="Times New Roman"/>
                <w:color w:val="000000" w:themeColor="text1"/>
                <w:sz w:val="21"/>
                <w:szCs w:val="21"/>
                <w:lang w:val="fr-CA"/>
              </w:rPr>
              <w:t>Risque d’infections respiratoires dont l’asthme, les allergies respiratoires, les maux de tête et les nausées</w:t>
            </w:r>
          </w:p>
        </w:tc>
        <w:tc>
          <w:tcPr>
            <w:tcW w:w="5805" w:type="dxa"/>
            <w:tcBorders>
              <w:top w:val="single" w:sz="4" w:space="0" w:color="auto"/>
            </w:tcBorders>
            <w:shd w:val="clear" w:color="auto" w:fill="FFFFFF" w:themeFill="background1"/>
            <w:vAlign w:val="center"/>
          </w:tcPr>
          <w:p w:rsidR="00B2770A" w:rsidRPr="00345951" w:rsidRDefault="00B2770A" w:rsidP="00345951">
            <w:pPr>
              <w:rPr>
                <w:sz w:val="20"/>
                <w:szCs w:val="20"/>
              </w:rPr>
            </w:pPr>
            <w:r>
              <w:rPr>
                <w:sz w:val="20"/>
                <w:szCs w:val="20"/>
              </w:rPr>
              <w:t>-</w:t>
            </w:r>
            <w:r w:rsidRPr="00345951">
              <w:rPr>
                <w:sz w:val="20"/>
                <w:szCs w:val="20"/>
              </w:rPr>
              <w:t>Concevoir une bonne aération des modules ;</w:t>
            </w:r>
          </w:p>
          <w:p w:rsidR="00B2770A" w:rsidRPr="00345951" w:rsidRDefault="00B2770A" w:rsidP="00345951">
            <w:pPr>
              <w:rPr>
                <w:sz w:val="20"/>
                <w:szCs w:val="20"/>
              </w:rPr>
            </w:pPr>
            <w:r>
              <w:rPr>
                <w:sz w:val="20"/>
                <w:szCs w:val="20"/>
              </w:rPr>
              <w:t>-</w:t>
            </w:r>
            <w:r w:rsidRPr="00345951">
              <w:rPr>
                <w:sz w:val="20"/>
                <w:szCs w:val="20"/>
              </w:rPr>
              <w:t>Optimiser l’orientation des bâtiments par rapport au soleil ;</w:t>
            </w:r>
          </w:p>
          <w:p w:rsidR="00B2770A" w:rsidRPr="00345951" w:rsidRDefault="00B2770A" w:rsidP="00345951">
            <w:pPr>
              <w:rPr>
                <w:sz w:val="20"/>
                <w:szCs w:val="20"/>
              </w:rPr>
            </w:pPr>
            <w:r>
              <w:rPr>
                <w:sz w:val="20"/>
                <w:szCs w:val="20"/>
              </w:rPr>
              <w:t>-</w:t>
            </w:r>
            <w:r w:rsidRPr="00345951">
              <w:rPr>
                <w:sz w:val="20"/>
                <w:szCs w:val="20"/>
              </w:rPr>
              <w:t>Collecte et gestion des déchets ;</w:t>
            </w:r>
          </w:p>
          <w:p w:rsidR="002E43B7" w:rsidRPr="00345951" w:rsidRDefault="00B2770A" w:rsidP="00345951">
            <w:pPr>
              <w:rPr>
                <w:sz w:val="20"/>
                <w:szCs w:val="20"/>
              </w:rPr>
            </w:pPr>
            <w:r>
              <w:rPr>
                <w:sz w:val="20"/>
                <w:szCs w:val="20"/>
              </w:rPr>
              <w:t>-</w:t>
            </w:r>
            <w:r w:rsidRPr="00345951">
              <w:rPr>
                <w:sz w:val="20"/>
                <w:szCs w:val="20"/>
              </w:rPr>
              <w:t xml:space="preserve">Doter les techniciens de surface d’EPI adéquats. </w:t>
            </w:r>
          </w:p>
        </w:tc>
      </w:tr>
      <w:tr w:rsidR="0063530F" w:rsidRPr="002B2401" w:rsidTr="00A57DCB">
        <w:trPr>
          <w:trHeight w:val="501"/>
          <w:tblHeader/>
        </w:trPr>
        <w:tc>
          <w:tcPr>
            <w:tcW w:w="1834" w:type="dxa"/>
            <w:vMerge/>
            <w:shd w:val="clear" w:color="auto" w:fill="E2EFD9" w:themeFill="accent6" w:themeFillTint="33"/>
            <w:vAlign w:val="center"/>
          </w:tcPr>
          <w:p w:rsidR="0063530F" w:rsidRPr="002B2401" w:rsidRDefault="0063530F" w:rsidP="0063530F">
            <w:pPr>
              <w:jc w:val="center"/>
              <w:rPr>
                <w:b/>
                <w:sz w:val="21"/>
                <w:szCs w:val="21"/>
              </w:rPr>
            </w:pPr>
          </w:p>
        </w:tc>
        <w:tc>
          <w:tcPr>
            <w:tcW w:w="3264" w:type="dxa"/>
            <w:tcBorders>
              <w:top w:val="single" w:sz="4" w:space="0" w:color="auto"/>
            </w:tcBorders>
            <w:shd w:val="clear" w:color="auto" w:fill="FFFFFF" w:themeFill="background1"/>
          </w:tcPr>
          <w:p w:rsidR="0063530F" w:rsidRPr="002B2401" w:rsidRDefault="0063530F"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de gêner des déchets au niveau des marchés locaux ;</w:t>
            </w:r>
          </w:p>
          <w:p w:rsidR="0063530F" w:rsidRPr="00843722" w:rsidRDefault="0063530F" w:rsidP="0063530F">
            <w:pPr>
              <w:pStyle w:val="PargrafodaLista"/>
              <w:numPr>
                <w:ilvl w:val="0"/>
                <w:numId w:val="60"/>
              </w:numPr>
              <w:spacing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pollution des eaux de surface due aux productions de déchets solides et liquides ;</w:t>
            </w:r>
          </w:p>
        </w:tc>
        <w:tc>
          <w:tcPr>
            <w:tcW w:w="5805" w:type="dxa"/>
            <w:tcBorders>
              <w:top w:val="single" w:sz="4" w:space="0" w:color="auto"/>
            </w:tcBorders>
            <w:shd w:val="clear" w:color="auto" w:fill="FFFFFF" w:themeFill="background1"/>
            <w:vAlign w:val="center"/>
          </w:tcPr>
          <w:p w:rsidR="0063530F" w:rsidRPr="002B2401" w:rsidRDefault="0063530F" w:rsidP="0063530F">
            <w:pPr>
              <w:rPr>
                <w:color w:val="000000" w:themeColor="text1"/>
                <w:sz w:val="21"/>
                <w:szCs w:val="21"/>
              </w:rPr>
            </w:pPr>
            <w:r w:rsidRPr="002B2401">
              <w:rPr>
                <w:color w:val="000000" w:themeColor="text1"/>
                <w:sz w:val="21"/>
                <w:szCs w:val="21"/>
              </w:rPr>
              <w:t>-Mettre en place des systèmes de gestion des déchets solide et liquide ;</w:t>
            </w:r>
          </w:p>
          <w:p w:rsidR="0063530F" w:rsidRPr="002B2401" w:rsidRDefault="0063530F" w:rsidP="0063530F">
            <w:pPr>
              <w:rPr>
                <w:color w:val="000000" w:themeColor="text1"/>
                <w:sz w:val="21"/>
                <w:szCs w:val="21"/>
              </w:rPr>
            </w:pPr>
            <w:r w:rsidRPr="002B2401">
              <w:rPr>
                <w:color w:val="000000" w:themeColor="text1"/>
                <w:sz w:val="21"/>
                <w:szCs w:val="21"/>
              </w:rPr>
              <w:t>-Mettre en place et afficher les consignes d’utilisation des toilettes ;</w:t>
            </w:r>
          </w:p>
          <w:p w:rsidR="0063530F" w:rsidRPr="002B2401" w:rsidRDefault="0063530F" w:rsidP="0063530F">
            <w:pPr>
              <w:rPr>
                <w:color w:val="000000" w:themeColor="text1"/>
                <w:sz w:val="21"/>
                <w:szCs w:val="21"/>
              </w:rPr>
            </w:pPr>
            <w:r w:rsidRPr="002B2401">
              <w:rPr>
                <w:color w:val="000000" w:themeColor="text1"/>
                <w:sz w:val="21"/>
                <w:szCs w:val="21"/>
              </w:rPr>
              <w:t>-Mettre en place un réseau de collecte des eaux usées et pluviale au niveau des marchés et magasins stockages ;</w:t>
            </w:r>
          </w:p>
          <w:p w:rsidR="0063530F" w:rsidRPr="002B2401" w:rsidRDefault="0063530F" w:rsidP="0063530F">
            <w:pPr>
              <w:rPr>
                <w:color w:val="000000" w:themeColor="text1"/>
                <w:sz w:val="21"/>
                <w:szCs w:val="21"/>
              </w:rPr>
            </w:pPr>
            <w:r w:rsidRPr="002B2401">
              <w:rPr>
                <w:color w:val="000000" w:themeColor="text1"/>
                <w:sz w:val="21"/>
                <w:szCs w:val="21"/>
              </w:rPr>
              <w:t>-Procéder à l’enlèvement régulier des poubelles ;</w:t>
            </w:r>
          </w:p>
          <w:p w:rsidR="0063530F" w:rsidRPr="002B2401" w:rsidRDefault="0063530F"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color w:val="000000" w:themeColor="text1"/>
                <w:sz w:val="21"/>
                <w:szCs w:val="21"/>
              </w:rPr>
              <w:t xml:space="preserve">Accompagner l’institution pour mettre en place un système durable de gestion de déchets ; </w:t>
            </w:r>
          </w:p>
        </w:tc>
      </w:tr>
      <w:tr w:rsidR="0063530F" w:rsidRPr="002B2401" w:rsidTr="00A57DCB">
        <w:trPr>
          <w:trHeight w:val="515"/>
          <w:tblHeader/>
        </w:trPr>
        <w:tc>
          <w:tcPr>
            <w:tcW w:w="1834" w:type="dxa"/>
            <w:vMerge/>
            <w:shd w:val="clear" w:color="auto" w:fill="E2EFD9" w:themeFill="accent6" w:themeFillTint="33"/>
            <w:vAlign w:val="center"/>
          </w:tcPr>
          <w:p w:rsidR="0063530F" w:rsidRPr="002B2401" w:rsidRDefault="0063530F" w:rsidP="0063530F">
            <w:pPr>
              <w:jc w:val="center"/>
              <w:rPr>
                <w:b/>
                <w:sz w:val="21"/>
                <w:szCs w:val="21"/>
                <w:u w:val="single"/>
              </w:rPr>
            </w:pPr>
          </w:p>
        </w:tc>
        <w:tc>
          <w:tcPr>
            <w:tcW w:w="3264" w:type="dxa"/>
            <w:tcBorders>
              <w:top w:val="single" w:sz="4" w:space="0" w:color="auto"/>
            </w:tcBorders>
            <w:shd w:val="clear" w:color="auto" w:fill="FFFFFF" w:themeFill="background1"/>
          </w:tcPr>
          <w:p w:rsidR="0063530F" w:rsidRPr="002B2401" w:rsidRDefault="0063530F"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d’incendie au niveau des infrastructures de stockage et des marchés locaux ;</w:t>
            </w:r>
          </w:p>
          <w:p w:rsidR="0063530F" w:rsidRPr="002B2401" w:rsidRDefault="0063530F"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 d’électrocution;</w:t>
            </w:r>
          </w:p>
        </w:tc>
        <w:tc>
          <w:tcPr>
            <w:tcW w:w="5805" w:type="dxa"/>
            <w:tcBorders>
              <w:top w:val="single" w:sz="4" w:space="0" w:color="auto"/>
            </w:tcBorders>
            <w:shd w:val="clear" w:color="auto" w:fill="FFFFFF" w:themeFill="background1"/>
            <w:vAlign w:val="center"/>
          </w:tcPr>
          <w:p w:rsidR="0063530F" w:rsidRPr="002B2401" w:rsidRDefault="0063530F" w:rsidP="0063530F">
            <w:pPr>
              <w:rPr>
                <w:color w:val="000000" w:themeColor="text1"/>
                <w:sz w:val="21"/>
                <w:szCs w:val="21"/>
              </w:rPr>
            </w:pPr>
            <w:r w:rsidRPr="002B2401">
              <w:rPr>
                <w:color w:val="000000" w:themeColor="text1"/>
                <w:sz w:val="21"/>
                <w:szCs w:val="21"/>
              </w:rPr>
              <w:t>- Sensibiliser les ouvriers sur les risques d’électrocution,</w:t>
            </w:r>
          </w:p>
          <w:p w:rsidR="0063530F" w:rsidRPr="002B2401" w:rsidRDefault="0063530F" w:rsidP="0063530F">
            <w:pPr>
              <w:rPr>
                <w:color w:val="000000" w:themeColor="text1"/>
                <w:sz w:val="21"/>
                <w:szCs w:val="21"/>
              </w:rPr>
            </w:pPr>
            <w:r w:rsidRPr="002B2401">
              <w:rPr>
                <w:color w:val="000000" w:themeColor="text1"/>
                <w:sz w:val="21"/>
                <w:szCs w:val="21"/>
              </w:rPr>
              <w:t>- Contrôler l’ensemble du réseau d’électricité ;</w:t>
            </w:r>
          </w:p>
          <w:p w:rsidR="0063530F" w:rsidRPr="002B2401" w:rsidRDefault="0063530F" w:rsidP="0063530F">
            <w:pPr>
              <w:rPr>
                <w:color w:val="000000" w:themeColor="text1"/>
                <w:sz w:val="21"/>
                <w:szCs w:val="21"/>
              </w:rPr>
            </w:pPr>
            <w:r w:rsidRPr="002B2401">
              <w:rPr>
                <w:color w:val="000000" w:themeColor="text1"/>
                <w:sz w:val="21"/>
                <w:szCs w:val="21"/>
              </w:rPr>
              <w:t>- Équiper les ouvriers en EPI adapter ;</w:t>
            </w:r>
          </w:p>
          <w:p w:rsidR="00B2770A" w:rsidRDefault="0063530F" w:rsidP="00345951">
            <w:pPr>
              <w:rPr>
                <w:color w:val="000000" w:themeColor="text1"/>
                <w:sz w:val="21"/>
                <w:szCs w:val="21"/>
              </w:rPr>
            </w:pPr>
            <w:r w:rsidRPr="002B2401">
              <w:rPr>
                <w:color w:val="000000" w:themeColor="text1"/>
                <w:sz w:val="21"/>
                <w:szCs w:val="21"/>
              </w:rPr>
              <w:t>- Éviter les zones sensibles au feu ;</w:t>
            </w:r>
          </w:p>
          <w:p w:rsidR="0063530F" w:rsidRPr="00345951" w:rsidRDefault="0063530F" w:rsidP="00345951">
            <w:pPr>
              <w:rPr>
                <w:color w:val="000000" w:themeColor="text1"/>
                <w:sz w:val="21"/>
                <w:szCs w:val="21"/>
              </w:rPr>
            </w:pPr>
            <w:r w:rsidRPr="00345951">
              <w:rPr>
                <w:b/>
                <w:color w:val="000000" w:themeColor="text1"/>
                <w:sz w:val="21"/>
                <w:szCs w:val="21"/>
              </w:rPr>
              <w:t xml:space="preserve">- </w:t>
            </w:r>
            <w:r w:rsidRPr="00345951">
              <w:rPr>
                <w:color w:val="000000" w:themeColor="text1"/>
                <w:sz w:val="21"/>
                <w:szCs w:val="21"/>
              </w:rPr>
              <w:t>Mettre des panneaux d’interdiction de fumer dans les zones sensibles ;</w:t>
            </w:r>
          </w:p>
        </w:tc>
      </w:tr>
      <w:tr w:rsidR="008D1B47" w:rsidRPr="002B2401" w:rsidTr="00A57DCB">
        <w:trPr>
          <w:trHeight w:val="515"/>
          <w:tblHeader/>
        </w:trPr>
        <w:tc>
          <w:tcPr>
            <w:tcW w:w="1834" w:type="dxa"/>
            <w:vMerge w:val="restart"/>
            <w:shd w:val="clear" w:color="auto" w:fill="E2EFD9" w:themeFill="accent6" w:themeFillTint="33"/>
            <w:vAlign w:val="center"/>
          </w:tcPr>
          <w:p w:rsidR="008D1B47" w:rsidRPr="002B2401" w:rsidRDefault="00AA2F14" w:rsidP="002E43B7">
            <w:pPr>
              <w:jc w:val="center"/>
              <w:rPr>
                <w:b/>
                <w:sz w:val="21"/>
                <w:szCs w:val="21"/>
                <w:u w:val="single"/>
              </w:rPr>
            </w:pPr>
            <w:r>
              <w:rPr>
                <w:b/>
                <w:sz w:val="21"/>
                <w:szCs w:val="21"/>
              </w:rPr>
              <w:t>O</w:t>
            </w:r>
            <w:r w:rsidRPr="002B2401">
              <w:rPr>
                <w:b/>
                <w:sz w:val="21"/>
                <w:szCs w:val="21"/>
              </w:rPr>
              <w:t>uverture de routes d’accès aux zones de production agricole</w:t>
            </w:r>
          </w:p>
        </w:tc>
        <w:tc>
          <w:tcPr>
            <w:tcW w:w="3264" w:type="dxa"/>
            <w:tcBorders>
              <w:top w:val="single" w:sz="4" w:space="0" w:color="auto"/>
            </w:tcBorders>
            <w:shd w:val="clear" w:color="auto" w:fill="FFFFFF" w:themeFill="background1"/>
          </w:tcPr>
          <w:p w:rsidR="008D1B47" w:rsidRPr="002B2401" w:rsidRDefault="008D1B47"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 xml:space="preserve">Risques d’accidents au niveau des cheptels et les hommes liés au passage des véhicules ; </w:t>
            </w:r>
          </w:p>
          <w:p w:rsidR="008D1B47" w:rsidRPr="002B2401" w:rsidRDefault="008D1B47"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Recrudescence des maladies respiratoires liés au passage des véhicules;</w:t>
            </w:r>
          </w:p>
        </w:tc>
        <w:tc>
          <w:tcPr>
            <w:tcW w:w="5805" w:type="dxa"/>
            <w:tcBorders>
              <w:top w:val="single" w:sz="4" w:space="0" w:color="auto"/>
            </w:tcBorders>
            <w:shd w:val="clear" w:color="auto" w:fill="FFFFFF" w:themeFill="background1"/>
            <w:vAlign w:val="center"/>
          </w:tcPr>
          <w:p w:rsidR="008D1B47" w:rsidRPr="002B2401" w:rsidRDefault="008D1B47"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 xml:space="preserve">Mettre en place des panneaux de signalisation et de limitation de vitesse ; </w:t>
            </w:r>
          </w:p>
          <w:p w:rsidR="008D1B47" w:rsidRPr="002B2401" w:rsidRDefault="008D1B47"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Mettre des panneaux d’indication de présence des animaux ;</w:t>
            </w:r>
          </w:p>
          <w:p w:rsidR="008D1B47" w:rsidRPr="00345951" w:rsidRDefault="008D1B47" w:rsidP="00345951">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Organiser des journées de sensibiliser par rapport à la sécuritaire routière ;</w:t>
            </w:r>
          </w:p>
        </w:tc>
      </w:tr>
      <w:tr w:rsidR="008D1B47" w:rsidRPr="002B2401" w:rsidTr="00A57DCB">
        <w:trPr>
          <w:trHeight w:val="515"/>
          <w:tblHeader/>
        </w:trPr>
        <w:tc>
          <w:tcPr>
            <w:tcW w:w="1834" w:type="dxa"/>
            <w:vMerge/>
            <w:shd w:val="clear" w:color="auto" w:fill="E2EFD9" w:themeFill="accent6" w:themeFillTint="33"/>
            <w:vAlign w:val="center"/>
          </w:tcPr>
          <w:p w:rsidR="008D1B47" w:rsidRPr="002B2401" w:rsidRDefault="008D1B47" w:rsidP="002E43B7">
            <w:pPr>
              <w:jc w:val="center"/>
              <w:rPr>
                <w:b/>
                <w:sz w:val="21"/>
                <w:szCs w:val="21"/>
                <w:u w:val="single"/>
              </w:rPr>
            </w:pPr>
          </w:p>
        </w:tc>
        <w:tc>
          <w:tcPr>
            <w:tcW w:w="3264" w:type="dxa"/>
            <w:tcBorders>
              <w:top w:val="single" w:sz="4" w:space="0" w:color="auto"/>
            </w:tcBorders>
            <w:shd w:val="clear" w:color="auto" w:fill="FFFFFF" w:themeFill="background1"/>
          </w:tcPr>
          <w:p w:rsidR="008D1B47" w:rsidRPr="002B2401" w:rsidRDefault="008D1B47" w:rsidP="002E43B7">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2B2401">
              <w:rPr>
                <w:rFonts w:ascii="Times New Roman" w:hAnsi="Times New Roman"/>
                <w:color w:val="000000" w:themeColor="text1"/>
                <w:sz w:val="21"/>
                <w:szCs w:val="21"/>
                <w:lang w:val="fr-CA"/>
              </w:rPr>
              <w:t>Risques d’inondation due aux manques ouvrages de traverser des eaux pluviales au niveau des pistes ;</w:t>
            </w:r>
          </w:p>
        </w:tc>
        <w:tc>
          <w:tcPr>
            <w:tcW w:w="5805" w:type="dxa"/>
            <w:tcBorders>
              <w:top w:val="single" w:sz="4" w:space="0" w:color="auto"/>
            </w:tcBorders>
            <w:shd w:val="clear" w:color="auto" w:fill="FFFFFF" w:themeFill="background1"/>
            <w:vAlign w:val="center"/>
          </w:tcPr>
          <w:p w:rsidR="008D1B47" w:rsidRPr="002B2401" w:rsidRDefault="008D1B47"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Mettre et Sécuriser les ouvrages d’art contre l’ensablement pour éviter les phénomènes d’inondation ;</w:t>
            </w:r>
          </w:p>
          <w:p w:rsidR="008D1B47" w:rsidRPr="002B2401" w:rsidRDefault="008D1B47"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Entretenir les ouvrages d’art comme les ponts, les dalots ; les buses, les canaux d’évacuation des eaux, etc. ;</w:t>
            </w:r>
          </w:p>
          <w:p w:rsidR="008D1B47" w:rsidRPr="002B2401" w:rsidRDefault="008D1B47" w:rsidP="00345951">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Veiller à la maintenance périodique et régulière des ouvrages d’art ;</w:t>
            </w:r>
          </w:p>
        </w:tc>
      </w:tr>
      <w:tr w:rsidR="008D1B47" w:rsidRPr="002B2401" w:rsidTr="00A57DCB">
        <w:trPr>
          <w:trHeight w:val="515"/>
          <w:tblHeader/>
        </w:trPr>
        <w:tc>
          <w:tcPr>
            <w:tcW w:w="1834" w:type="dxa"/>
            <w:vMerge/>
            <w:shd w:val="clear" w:color="auto" w:fill="E2EFD9" w:themeFill="accent6" w:themeFillTint="33"/>
            <w:vAlign w:val="center"/>
          </w:tcPr>
          <w:p w:rsidR="008D1B47" w:rsidRPr="002B2401" w:rsidRDefault="008D1B47" w:rsidP="00B72399">
            <w:pPr>
              <w:jc w:val="center"/>
              <w:rPr>
                <w:b/>
                <w:sz w:val="21"/>
                <w:szCs w:val="21"/>
                <w:u w:val="single"/>
              </w:rPr>
            </w:pPr>
          </w:p>
        </w:tc>
        <w:tc>
          <w:tcPr>
            <w:tcW w:w="3264" w:type="dxa"/>
            <w:tcBorders>
              <w:top w:val="single" w:sz="4" w:space="0" w:color="auto"/>
            </w:tcBorders>
            <w:shd w:val="clear" w:color="auto" w:fill="FFFFFF" w:themeFill="background1"/>
          </w:tcPr>
          <w:p w:rsidR="008D1B47" w:rsidRPr="002B2401" w:rsidRDefault="008D1B47"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Pr>
                <w:rFonts w:ascii="Times New Roman" w:hAnsi="Times New Roman"/>
                <w:sz w:val="18"/>
                <w:szCs w:val="18"/>
              </w:rPr>
              <w:t>Risque d’</w:t>
            </w:r>
            <w:r w:rsidRPr="004D48D1">
              <w:rPr>
                <w:rFonts w:ascii="Times New Roman" w:hAnsi="Times New Roman"/>
                <w:sz w:val="18"/>
                <w:szCs w:val="18"/>
              </w:rPr>
              <w:t>émissions de gaz à effet de serre</w:t>
            </w:r>
            <w:r>
              <w:rPr>
                <w:rFonts w:ascii="Times New Roman" w:hAnsi="Times New Roman"/>
                <w:sz w:val="18"/>
                <w:szCs w:val="18"/>
              </w:rPr>
              <w:t> ;</w:t>
            </w:r>
          </w:p>
        </w:tc>
        <w:tc>
          <w:tcPr>
            <w:tcW w:w="5805" w:type="dxa"/>
            <w:tcBorders>
              <w:top w:val="single" w:sz="4" w:space="0" w:color="auto"/>
            </w:tcBorders>
            <w:shd w:val="clear" w:color="auto" w:fill="FFFFFF" w:themeFill="background1"/>
            <w:vAlign w:val="center"/>
          </w:tcPr>
          <w:p w:rsidR="008D1B47" w:rsidRPr="00F75FA5" w:rsidRDefault="008D1B47" w:rsidP="00B72399">
            <w:pPr>
              <w:rPr>
                <w:sz w:val="20"/>
                <w:szCs w:val="20"/>
              </w:rPr>
            </w:pPr>
            <w:r w:rsidRPr="00F75FA5">
              <w:rPr>
                <w:sz w:val="20"/>
                <w:szCs w:val="20"/>
              </w:rPr>
              <w:t xml:space="preserve">- Organiser des </w:t>
            </w:r>
            <w:r>
              <w:rPr>
                <w:sz w:val="20"/>
                <w:szCs w:val="20"/>
              </w:rPr>
              <w:t>Campagnes de sensibilisation pour lutter contre les déchargements des gaz à effet de serre</w:t>
            </w:r>
            <w:r w:rsidRPr="00F75FA5">
              <w:rPr>
                <w:sz w:val="20"/>
                <w:szCs w:val="20"/>
              </w:rPr>
              <w:t xml:space="preserve"> ;</w:t>
            </w:r>
          </w:p>
          <w:p w:rsidR="008D1B47" w:rsidRPr="002B2401" w:rsidRDefault="008D1B47"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F75FA5">
              <w:rPr>
                <w:rFonts w:ascii="Times New Roman" w:hAnsi="Times New Roman"/>
              </w:rPr>
              <w:t>Veiller aux visites techniques des véhicules ;</w:t>
            </w:r>
          </w:p>
        </w:tc>
      </w:tr>
      <w:tr w:rsidR="008D1B47" w:rsidRPr="002B2401" w:rsidTr="00A57DCB">
        <w:trPr>
          <w:trHeight w:val="515"/>
          <w:tblHeader/>
        </w:trPr>
        <w:tc>
          <w:tcPr>
            <w:tcW w:w="1834" w:type="dxa"/>
            <w:vMerge/>
            <w:shd w:val="clear" w:color="auto" w:fill="E2EFD9" w:themeFill="accent6" w:themeFillTint="33"/>
            <w:vAlign w:val="center"/>
          </w:tcPr>
          <w:p w:rsidR="008D1B47" w:rsidRPr="002B2401" w:rsidRDefault="008D1B47" w:rsidP="008D1B47">
            <w:pPr>
              <w:jc w:val="center"/>
              <w:rPr>
                <w:b/>
                <w:sz w:val="21"/>
                <w:szCs w:val="21"/>
                <w:u w:val="single"/>
              </w:rPr>
            </w:pPr>
          </w:p>
        </w:tc>
        <w:tc>
          <w:tcPr>
            <w:tcW w:w="3264" w:type="dxa"/>
            <w:tcBorders>
              <w:top w:val="single" w:sz="4" w:space="0" w:color="auto"/>
            </w:tcBorders>
            <w:shd w:val="clear" w:color="auto" w:fill="FFFFFF" w:themeFill="background1"/>
            <w:vAlign w:val="center"/>
          </w:tcPr>
          <w:p w:rsidR="008D1B47" w:rsidRPr="00FF0A9A" w:rsidRDefault="008D1B47" w:rsidP="008D1B47">
            <w:pPr>
              <w:pStyle w:val="PargrafodaLista"/>
              <w:numPr>
                <w:ilvl w:val="0"/>
                <w:numId w:val="60"/>
              </w:numPr>
              <w:spacing w:line="240" w:lineRule="auto"/>
              <w:ind w:left="151" w:hanging="142"/>
              <w:jc w:val="both"/>
              <w:rPr>
                <w:rFonts w:ascii="Times New Roman" w:hAnsi="Times New Roman"/>
                <w:color w:val="000000" w:themeColor="text1"/>
              </w:rPr>
            </w:pPr>
            <w:r>
              <w:rPr>
                <w:rFonts w:ascii="Times New Roman" w:hAnsi="Times New Roman"/>
                <w:sz w:val="18"/>
                <w:szCs w:val="18"/>
              </w:rPr>
              <w:t>Risque de réduction de</w:t>
            </w:r>
            <w:r w:rsidRPr="004D48D1">
              <w:rPr>
                <w:rFonts w:ascii="Times New Roman" w:hAnsi="Times New Roman"/>
                <w:sz w:val="18"/>
                <w:szCs w:val="18"/>
              </w:rPr>
              <w:t xml:space="preserve"> la surf</w:t>
            </w:r>
            <w:r>
              <w:rPr>
                <w:rFonts w:ascii="Times New Roman" w:hAnsi="Times New Roman"/>
                <w:sz w:val="18"/>
                <w:szCs w:val="18"/>
              </w:rPr>
              <w:t>ace d’infiltration et augmentation</w:t>
            </w:r>
            <w:r w:rsidRPr="004D48D1">
              <w:rPr>
                <w:rFonts w:ascii="Times New Roman" w:hAnsi="Times New Roman"/>
                <w:sz w:val="18"/>
                <w:szCs w:val="18"/>
              </w:rPr>
              <w:t xml:space="preserve"> </w:t>
            </w:r>
            <w:r>
              <w:rPr>
                <w:rFonts w:ascii="Times New Roman" w:hAnsi="Times New Roman"/>
                <w:sz w:val="18"/>
                <w:szCs w:val="18"/>
              </w:rPr>
              <w:t>du</w:t>
            </w:r>
            <w:r w:rsidRPr="004D48D1">
              <w:rPr>
                <w:rFonts w:ascii="Times New Roman" w:hAnsi="Times New Roman"/>
                <w:sz w:val="18"/>
                <w:szCs w:val="18"/>
              </w:rPr>
              <w:t xml:space="preserve"> ruissellement des eaux de pluie.</w:t>
            </w:r>
          </w:p>
        </w:tc>
        <w:tc>
          <w:tcPr>
            <w:tcW w:w="5805" w:type="dxa"/>
            <w:tcBorders>
              <w:top w:val="single" w:sz="4" w:space="0" w:color="auto"/>
            </w:tcBorders>
            <w:shd w:val="clear" w:color="auto" w:fill="FFFFFF" w:themeFill="background1"/>
            <w:vAlign w:val="center"/>
          </w:tcPr>
          <w:p w:rsidR="008D1B47" w:rsidRDefault="008D1B47" w:rsidP="008D1B47">
            <w:pPr>
              <w:rPr>
                <w:sz w:val="20"/>
                <w:szCs w:val="20"/>
              </w:rPr>
            </w:pPr>
            <w:r>
              <w:rPr>
                <w:sz w:val="20"/>
                <w:szCs w:val="20"/>
              </w:rPr>
              <w:t xml:space="preserve">- </w:t>
            </w:r>
            <w:r w:rsidRPr="00C04B39">
              <w:rPr>
                <w:sz w:val="20"/>
                <w:szCs w:val="20"/>
              </w:rPr>
              <w:t>Sécuriser les ouvrages d’a</w:t>
            </w:r>
            <w:r>
              <w:rPr>
                <w:sz w:val="20"/>
                <w:szCs w:val="20"/>
              </w:rPr>
              <w:t>rt contre les déchets solides ;</w:t>
            </w:r>
          </w:p>
          <w:p w:rsidR="008D1B47" w:rsidRDefault="008D1B47" w:rsidP="008D1B47">
            <w:pPr>
              <w:rPr>
                <w:sz w:val="20"/>
                <w:szCs w:val="20"/>
              </w:rPr>
            </w:pPr>
            <w:r>
              <w:rPr>
                <w:sz w:val="20"/>
                <w:szCs w:val="20"/>
              </w:rPr>
              <w:t>- Eviter les phénomènes d’ensablement des ouvrages d’art comme les ponts, les dalots ; les buses, les canaux d’évacuation des eaux, etc. ;</w:t>
            </w:r>
          </w:p>
          <w:p w:rsidR="008D1B47" w:rsidRDefault="008D1B47" w:rsidP="008D1B47">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Pr>
                <w:rFonts w:ascii="Times New Roman" w:hAnsi="Times New Roman"/>
              </w:rPr>
              <w:t>Veiller à l’entretien et à la maintenance périodique et régulière des ouvrages d’art ;</w:t>
            </w:r>
          </w:p>
        </w:tc>
      </w:tr>
      <w:tr w:rsidR="008D1B47" w:rsidRPr="002B2401" w:rsidTr="00A57DCB">
        <w:trPr>
          <w:trHeight w:val="515"/>
          <w:tblHeader/>
        </w:trPr>
        <w:tc>
          <w:tcPr>
            <w:tcW w:w="1834" w:type="dxa"/>
            <w:vMerge/>
            <w:shd w:val="clear" w:color="auto" w:fill="E2EFD9" w:themeFill="accent6" w:themeFillTint="33"/>
            <w:vAlign w:val="center"/>
          </w:tcPr>
          <w:p w:rsidR="008D1B47" w:rsidRPr="002B2401" w:rsidRDefault="008D1B47" w:rsidP="008D1B47">
            <w:pPr>
              <w:jc w:val="center"/>
              <w:rPr>
                <w:b/>
                <w:sz w:val="21"/>
                <w:szCs w:val="21"/>
                <w:u w:val="single"/>
              </w:rPr>
            </w:pPr>
          </w:p>
        </w:tc>
        <w:tc>
          <w:tcPr>
            <w:tcW w:w="3264" w:type="dxa"/>
            <w:tcBorders>
              <w:top w:val="single" w:sz="4" w:space="0" w:color="auto"/>
            </w:tcBorders>
            <w:shd w:val="clear" w:color="auto" w:fill="FFFFFF" w:themeFill="background1"/>
            <w:vAlign w:val="center"/>
          </w:tcPr>
          <w:p w:rsidR="008D1B47" w:rsidRPr="003F07A2" w:rsidRDefault="008D1B47" w:rsidP="008D1B47">
            <w:pPr>
              <w:rPr>
                <w:rFonts w:eastAsia="Calibri"/>
                <w:sz w:val="18"/>
                <w:szCs w:val="18"/>
              </w:rPr>
            </w:pPr>
            <w:r>
              <w:rPr>
                <w:rFonts w:eastAsia="Calibri"/>
                <w:sz w:val="18"/>
                <w:szCs w:val="18"/>
              </w:rPr>
              <w:t>- R</w:t>
            </w:r>
            <w:r w:rsidRPr="003F07A2">
              <w:rPr>
                <w:rFonts w:eastAsia="Calibri"/>
                <w:sz w:val="18"/>
                <w:szCs w:val="18"/>
              </w:rPr>
              <w:t>isques de feux de brousse le long de la route</w:t>
            </w:r>
            <w:r>
              <w:rPr>
                <w:rFonts w:eastAsia="Calibri"/>
                <w:sz w:val="18"/>
                <w:szCs w:val="18"/>
              </w:rPr>
              <w:t> ;</w:t>
            </w:r>
          </w:p>
          <w:p w:rsidR="008D1B47" w:rsidRDefault="008D1B47" w:rsidP="008D1B47">
            <w:pPr>
              <w:pStyle w:val="PargrafodaLista"/>
              <w:numPr>
                <w:ilvl w:val="0"/>
                <w:numId w:val="60"/>
              </w:numPr>
              <w:spacing w:line="240" w:lineRule="auto"/>
              <w:ind w:left="151" w:hanging="142"/>
              <w:jc w:val="both"/>
              <w:rPr>
                <w:rFonts w:ascii="Times New Roman" w:hAnsi="Times New Roman"/>
                <w:sz w:val="18"/>
                <w:szCs w:val="18"/>
              </w:rPr>
            </w:pPr>
            <w:r>
              <w:rPr>
                <w:rFonts w:ascii="Times New Roman" w:hAnsi="Times New Roman"/>
                <w:sz w:val="18"/>
                <w:szCs w:val="18"/>
              </w:rPr>
              <w:t>R</w:t>
            </w:r>
            <w:r w:rsidRPr="003F07A2">
              <w:rPr>
                <w:rFonts w:ascii="Times New Roman" w:hAnsi="Times New Roman"/>
                <w:sz w:val="18"/>
                <w:szCs w:val="18"/>
              </w:rPr>
              <w:t>isques d'accidents d'animaux sauvages traversant la route</w:t>
            </w:r>
            <w:r>
              <w:rPr>
                <w:rFonts w:ascii="Times New Roman" w:hAnsi="Times New Roman"/>
                <w:sz w:val="18"/>
                <w:szCs w:val="18"/>
              </w:rPr>
              <w:t> ;</w:t>
            </w:r>
          </w:p>
        </w:tc>
        <w:tc>
          <w:tcPr>
            <w:tcW w:w="5805" w:type="dxa"/>
            <w:tcBorders>
              <w:top w:val="single" w:sz="4" w:space="0" w:color="auto"/>
            </w:tcBorders>
            <w:shd w:val="clear" w:color="auto" w:fill="FFFFFF" w:themeFill="background1"/>
            <w:vAlign w:val="center"/>
          </w:tcPr>
          <w:p w:rsidR="008D1B47" w:rsidRDefault="008D1B47" w:rsidP="008D1B47">
            <w:pPr>
              <w:rPr>
                <w:sz w:val="20"/>
                <w:szCs w:val="20"/>
              </w:rPr>
            </w:pPr>
            <w:r>
              <w:rPr>
                <w:sz w:val="20"/>
                <w:szCs w:val="20"/>
              </w:rPr>
              <w:t xml:space="preserve">- </w:t>
            </w:r>
            <w:r w:rsidRPr="00F75FA5">
              <w:rPr>
                <w:sz w:val="20"/>
                <w:szCs w:val="20"/>
              </w:rPr>
              <w:t xml:space="preserve">Organiser des </w:t>
            </w:r>
            <w:r>
              <w:rPr>
                <w:sz w:val="20"/>
                <w:szCs w:val="20"/>
              </w:rPr>
              <w:t>Campagnes de sensibilisation pour lutter contre les feux de brousse ;</w:t>
            </w:r>
          </w:p>
          <w:p w:rsidR="008D1B47" w:rsidRDefault="008D1B47" w:rsidP="008D1B47">
            <w:pPr>
              <w:rPr>
                <w:sz w:val="20"/>
                <w:szCs w:val="20"/>
              </w:rPr>
            </w:pPr>
            <w:r>
              <w:rPr>
                <w:sz w:val="20"/>
                <w:szCs w:val="20"/>
              </w:rPr>
              <w:t>- Sensibiliser les conducteurs de véhicules pour veiller contre les jets de mégot de cigarette ;</w:t>
            </w:r>
          </w:p>
          <w:p w:rsidR="008D1B47" w:rsidRDefault="008D1B47" w:rsidP="008D1B47">
            <w:pPr>
              <w:rPr>
                <w:sz w:val="20"/>
                <w:szCs w:val="20"/>
              </w:rPr>
            </w:pPr>
            <w:r>
              <w:rPr>
                <w:sz w:val="20"/>
                <w:szCs w:val="20"/>
              </w:rPr>
              <w:t>- Eviter de faire du feu au rebord de la route ;</w:t>
            </w:r>
          </w:p>
          <w:p w:rsidR="008D1B47" w:rsidRDefault="008D1B47" w:rsidP="008D1B47">
            <w:pPr>
              <w:rPr>
                <w:sz w:val="20"/>
                <w:szCs w:val="20"/>
              </w:rPr>
            </w:pPr>
            <w:r>
              <w:rPr>
                <w:sz w:val="20"/>
                <w:szCs w:val="20"/>
              </w:rPr>
              <w:t>- Bien matérialiser les zones de passage des animaux ;</w:t>
            </w:r>
          </w:p>
          <w:p w:rsidR="008D1B47" w:rsidRDefault="008D1B47" w:rsidP="008D1B47">
            <w:pPr>
              <w:rPr>
                <w:sz w:val="20"/>
                <w:szCs w:val="20"/>
              </w:rPr>
            </w:pPr>
            <w:r>
              <w:rPr>
                <w:sz w:val="20"/>
                <w:szCs w:val="20"/>
              </w:rPr>
              <w:t xml:space="preserve">- Organiser des journées de sensibilisation et information des conducteurs pour la préservation des animaux sauvages ; </w:t>
            </w:r>
          </w:p>
        </w:tc>
      </w:tr>
      <w:tr w:rsidR="008D1B47" w:rsidRPr="002B2401" w:rsidTr="00A57DCB">
        <w:trPr>
          <w:trHeight w:val="515"/>
          <w:tblHeader/>
        </w:trPr>
        <w:tc>
          <w:tcPr>
            <w:tcW w:w="1834" w:type="dxa"/>
            <w:vMerge/>
            <w:shd w:val="clear" w:color="auto" w:fill="E2EFD9" w:themeFill="accent6" w:themeFillTint="33"/>
            <w:vAlign w:val="center"/>
          </w:tcPr>
          <w:p w:rsidR="008D1B47" w:rsidRPr="002B2401" w:rsidRDefault="008D1B47" w:rsidP="008D1B47">
            <w:pPr>
              <w:jc w:val="center"/>
              <w:rPr>
                <w:b/>
                <w:sz w:val="21"/>
                <w:szCs w:val="21"/>
                <w:u w:val="single"/>
              </w:rPr>
            </w:pPr>
          </w:p>
        </w:tc>
        <w:tc>
          <w:tcPr>
            <w:tcW w:w="3264" w:type="dxa"/>
            <w:tcBorders>
              <w:top w:val="single" w:sz="4" w:space="0" w:color="auto"/>
            </w:tcBorders>
            <w:shd w:val="clear" w:color="auto" w:fill="FFFFFF" w:themeFill="background1"/>
            <w:vAlign w:val="center"/>
          </w:tcPr>
          <w:p w:rsidR="008D1B47" w:rsidRDefault="00B2770A" w:rsidP="008D1B47">
            <w:pPr>
              <w:rPr>
                <w:rFonts w:eastAsia="Calibri"/>
                <w:sz w:val="18"/>
                <w:szCs w:val="18"/>
              </w:rPr>
            </w:pPr>
            <w:r>
              <w:rPr>
                <w:rFonts w:eastAsia="Calibri"/>
                <w:sz w:val="18"/>
                <w:szCs w:val="18"/>
              </w:rPr>
              <w:t xml:space="preserve">- </w:t>
            </w:r>
            <w:r w:rsidR="008D1B47" w:rsidRPr="00E15A0C">
              <w:rPr>
                <w:rFonts w:eastAsia="Calibri"/>
                <w:sz w:val="18"/>
                <w:szCs w:val="18"/>
              </w:rPr>
              <w:t>Risque d’accidents dû à la circulation des véhicules ;</w:t>
            </w:r>
          </w:p>
          <w:p w:rsidR="008D1B47" w:rsidRDefault="00B2770A" w:rsidP="008D1B47">
            <w:pPr>
              <w:rPr>
                <w:rFonts w:eastAsia="Calibri"/>
                <w:sz w:val="18"/>
                <w:szCs w:val="18"/>
              </w:rPr>
            </w:pPr>
            <w:r>
              <w:rPr>
                <w:rFonts w:eastAsia="Calibri"/>
                <w:sz w:val="18"/>
                <w:szCs w:val="18"/>
              </w:rPr>
              <w:t xml:space="preserve">- </w:t>
            </w:r>
            <w:r w:rsidR="008D1B47">
              <w:rPr>
                <w:rFonts w:eastAsia="Calibri"/>
                <w:sz w:val="18"/>
                <w:szCs w:val="18"/>
              </w:rPr>
              <w:t>Risque d’augmentation du trafic routier ;</w:t>
            </w:r>
          </w:p>
        </w:tc>
        <w:tc>
          <w:tcPr>
            <w:tcW w:w="5805" w:type="dxa"/>
            <w:tcBorders>
              <w:top w:val="single" w:sz="4" w:space="0" w:color="auto"/>
            </w:tcBorders>
            <w:shd w:val="clear" w:color="auto" w:fill="FFFFFF" w:themeFill="background1"/>
            <w:vAlign w:val="center"/>
          </w:tcPr>
          <w:p w:rsidR="008D1B47" w:rsidRPr="00C04B39" w:rsidRDefault="008D1B47" w:rsidP="008D1B47">
            <w:pPr>
              <w:rPr>
                <w:sz w:val="20"/>
                <w:szCs w:val="20"/>
              </w:rPr>
            </w:pPr>
            <w:r w:rsidRPr="00C04B39">
              <w:rPr>
                <w:sz w:val="20"/>
                <w:szCs w:val="20"/>
              </w:rPr>
              <w:t>-</w:t>
            </w:r>
            <w:r>
              <w:rPr>
                <w:sz w:val="20"/>
                <w:szCs w:val="20"/>
              </w:rPr>
              <w:t xml:space="preserve"> </w:t>
            </w:r>
            <w:r w:rsidRPr="00C04B39">
              <w:rPr>
                <w:sz w:val="20"/>
                <w:szCs w:val="20"/>
              </w:rPr>
              <w:t>Mettre des panneaux de signalisation horizontal</w:t>
            </w:r>
            <w:r>
              <w:rPr>
                <w:sz w:val="20"/>
                <w:szCs w:val="20"/>
              </w:rPr>
              <w:t>e</w:t>
            </w:r>
            <w:r w:rsidRPr="00C04B39">
              <w:rPr>
                <w:sz w:val="20"/>
                <w:szCs w:val="20"/>
              </w:rPr>
              <w:t>, verticale et au sol,</w:t>
            </w:r>
          </w:p>
          <w:p w:rsidR="008D1B47" w:rsidRDefault="008D1B47" w:rsidP="008D1B47">
            <w:pPr>
              <w:rPr>
                <w:sz w:val="20"/>
                <w:szCs w:val="20"/>
              </w:rPr>
            </w:pPr>
            <w:r w:rsidRPr="00C04B39">
              <w:rPr>
                <w:sz w:val="20"/>
                <w:szCs w:val="20"/>
              </w:rPr>
              <w:t>-</w:t>
            </w:r>
            <w:r>
              <w:rPr>
                <w:sz w:val="20"/>
                <w:szCs w:val="20"/>
              </w:rPr>
              <w:t xml:space="preserve"> </w:t>
            </w:r>
            <w:r w:rsidRPr="00C04B39">
              <w:rPr>
                <w:sz w:val="20"/>
                <w:szCs w:val="20"/>
              </w:rPr>
              <w:t>Bien matérialiser les passages des piétons, des enfants, des animaux, etc.</w:t>
            </w:r>
          </w:p>
          <w:p w:rsidR="008D1B47" w:rsidRDefault="008D1B47" w:rsidP="008D1B47">
            <w:pPr>
              <w:rPr>
                <w:sz w:val="20"/>
                <w:szCs w:val="20"/>
              </w:rPr>
            </w:pPr>
            <w:r>
              <w:rPr>
                <w:sz w:val="20"/>
                <w:szCs w:val="20"/>
              </w:rPr>
              <w:t xml:space="preserve">- </w:t>
            </w:r>
            <w:r w:rsidRPr="00C04B39">
              <w:rPr>
                <w:sz w:val="20"/>
                <w:szCs w:val="20"/>
              </w:rPr>
              <w:t>Sensibiliser les conducteurs à la sécurité routière ;</w:t>
            </w:r>
          </w:p>
        </w:tc>
      </w:tr>
      <w:tr w:rsidR="0063530F" w:rsidRPr="002B2401" w:rsidTr="00A57DCB">
        <w:trPr>
          <w:trHeight w:val="1396"/>
          <w:tblHeader/>
        </w:trPr>
        <w:tc>
          <w:tcPr>
            <w:tcW w:w="1834" w:type="dxa"/>
            <w:vMerge w:val="restart"/>
            <w:shd w:val="clear" w:color="auto" w:fill="E2EFD9" w:themeFill="accent6" w:themeFillTint="33"/>
            <w:vAlign w:val="center"/>
          </w:tcPr>
          <w:p w:rsidR="0063530F" w:rsidRPr="002B2401" w:rsidRDefault="00AA2F14" w:rsidP="0063530F">
            <w:pPr>
              <w:jc w:val="center"/>
              <w:rPr>
                <w:b/>
                <w:sz w:val="21"/>
                <w:szCs w:val="21"/>
                <w:u w:val="single"/>
              </w:rPr>
            </w:pPr>
            <w:r w:rsidRPr="00C65144">
              <w:rPr>
                <w:b/>
              </w:rPr>
              <w:t>Soutien aux Filets de Sécurité communautaires</w:t>
            </w:r>
            <w:r>
              <w:rPr>
                <w:b/>
                <w:sz w:val="21"/>
                <w:szCs w:val="21"/>
              </w:rPr>
              <w:t xml:space="preserve">  (</w:t>
            </w:r>
            <w:r>
              <w:rPr>
                <w:b/>
              </w:rPr>
              <w:t xml:space="preserve"> C</w:t>
            </w:r>
            <w:r w:rsidRPr="005857A6">
              <w:rPr>
                <w:b/>
              </w:rPr>
              <w:t>ommuns aux différents travaux</w:t>
            </w:r>
            <w:r>
              <w:rPr>
                <w:b/>
              </w:rPr>
              <w:t>)</w:t>
            </w:r>
          </w:p>
        </w:tc>
        <w:tc>
          <w:tcPr>
            <w:tcW w:w="3264" w:type="dxa"/>
            <w:tcBorders>
              <w:top w:val="single" w:sz="4" w:space="0" w:color="auto"/>
            </w:tcBorders>
            <w:shd w:val="clear" w:color="auto" w:fill="FFFFFF" w:themeFill="background1"/>
            <w:vAlign w:val="center"/>
          </w:tcPr>
          <w:p w:rsidR="0063530F" w:rsidRPr="002B2401" w:rsidRDefault="0063530F"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697FF1">
              <w:rPr>
                <w:rFonts w:ascii="Times New Roman" w:hAnsi="Times New Roman"/>
                <w:color w:val="000000" w:themeColor="text1"/>
                <w:sz w:val="21"/>
                <w:szCs w:val="21"/>
              </w:rPr>
              <w:t xml:space="preserve">Risques d’abus et exploitation sexuelle, et harcèlement sexuel </w:t>
            </w:r>
          </w:p>
        </w:tc>
        <w:tc>
          <w:tcPr>
            <w:tcW w:w="5805" w:type="dxa"/>
            <w:tcBorders>
              <w:top w:val="single" w:sz="4" w:space="0" w:color="auto"/>
            </w:tcBorders>
            <w:shd w:val="clear" w:color="auto" w:fill="FFFFFF" w:themeFill="background1"/>
          </w:tcPr>
          <w:p w:rsidR="0063530F" w:rsidRPr="002B2401" w:rsidRDefault="0063530F"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Respecter le règlement intérieur des chantiers</w:t>
            </w:r>
          </w:p>
          <w:p w:rsidR="0063530F" w:rsidRPr="002B2401" w:rsidRDefault="0063530F"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Appuyer les programmes intégrant la mobilisation communautaire sur la VBG ; </w:t>
            </w:r>
          </w:p>
          <w:p w:rsidR="0063530F" w:rsidRPr="002B2401" w:rsidRDefault="0063530F" w:rsidP="0063530F">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sidRPr="002B2401">
              <w:rPr>
                <w:rFonts w:ascii="Times New Roman" w:hAnsi="Times New Roman"/>
                <w:color w:val="000000" w:themeColor="text1"/>
                <w:sz w:val="21"/>
                <w:szCs w:val="21"/>
              </w:rPr>
              <w:t>Appuyer les activités ayant une large représentation de la communauté de base ; </w:t>
            </w:r>
          </w:p>
          <w:p w:rsidR="0063530F" w:rsidRPr="00345951" w:rsidRDefault="0063530F" w:rsidP="00345951">
            <w:pPr>
              <w:pStyle w:val="PargrafodaLista"/>
              <w:numPr>
                <w:ilvl w:val="0"/>
                <w:numId w:val="60"/>
              </w:numPr>
              <w:spacing w:after="0" w:line="240" w:lineRule="auto"/>
              <w:ind w:left="151" w:hanging="142"/>
              <w:jc w:val="both"/>
              <w:rPr>
                <w:color w:val="000000" w:themeColor="text1"/>
                <w:sz w:val="21"/>
                <w:szCs w:val="21"/>
              </w:rPr>
            </w:pPr>
            <w:r w:rsidRPr="002B2401">
              <w:rPr>
                <w:rFonts w:ascii="Times New Roman" w:hAnsi="Times New Roman"/>
                <w:color w:val="000000" w:themeColor="text1"/>
                <w:sz w:val="21"/>
                <w:szCs w:val="21"/>
              </w:rPr>
              <w:t>Lutter contre tou</w:t>
            </w:r>
            <w:r>
              <w:rPr>
                <w:rFonts w:ascii="Times New Roman" w:hAnsi="Times New Roman"/>
                <w:color w:val="000000" w:themeColor="text1"/>
                <w:sz w:val="21"/>
                <w:szCs w:val="21"/>
              </w:rPr>
              <w:t>s types de discrimination envers les femmes ou personnes handicapés</w:t>
            </w:r>
            <w:r w:rsidRPr="00371AC7">
              <w:rPr>
                <w:rFonts w:ascii="Times New Roman" w:hAnsi="Times New Roman"/>
                <w:color w:val="000000" w:themeColor="text1"/>
                <w:sz w:val="21"/>
                <w:szCs w:val="21"/>
              </w:rPr>
              <w:t> </w:t>
            </w:r>
            <w:r w:rsidRPr="002B2401">
              <w:rPr>
                <w:rFonts w:ascii="Times New Roman" w:hAnsi="Times New Roman"/>
                <w:color w:val="000000" w:themeColor="text1"/>
                <w:sz w:val="21"/>
                <w:szCs w:val="21"/>
              </w:rPr>
              <w:t>;</w:t>
            </w:r>
          </w:p>
        </w:tc>
      </w:tr>
      <w:tr w:rsidR="00B72399" w:rsidRPr="002B2401" w:rsidTr="00A57DCB">
        <w:trPr>
          <w:trHeight w:val="320"/>
          <w:tblHeader/>
        </w:trPr>
        <w:tc>
          <w:tcPr>
            <w:tcW w:w="1834" w:type="dxa"/>
            <w:vMerge/>
            <w:shd w:val="clear" w:color="auto" w:fill="E2EFD9" w:themeFill="accent6" w:themeFillTint="33"/>
            <w:vAlign w:val="center"/>
          </w:tcPr>
          <w:p w:rsidR="00B72399" w:rsidRPr="002B2401" w:rsidRDefault="00B72399" w:rsidP="00B72399">
            <w:pPr>
              <w:jc w:val="center"/>
              <w:rPr>
                <w:b/>
                <w:sz w:val="21"/>
                <w:szCs w:val="21"/>
                <w:u w:val="single"/>
              </w:rPr>
            </w:pPr>
          </w:p>
        </w:tc>
        <w:tc>
          <w:tcPr>
            <w:tcW w:w="3264" w:type="dxa"/>
            <w:tcBorders>
              <w:top w:val="single" w:sz="4" w:space="0" w:color="auto"/>
            </w:tcBorders>
            <w:shd w:val="clear" w:color="auto" w:fill="FFFFFF" w:themeFill="background1"/>
            <w:vAlign w:val="center"/>
          </w:tcPr>
          <w:p w:rsidR="00B72399" w:rsidRPr="00FF0A9A" w:rsidRDefault="00B72399" w:rsidP="00B72399">
            <w:pPr>
              <w:pStyle w:val="PargrafodaLista"/>
              <w:numPr>
                <w:ilvl w:val="0"/>
                <w:numId w:val="60"/>
              </w:numPr>
              <w:spacing w:line="240" w:lineRule="auto"/>
              <w:ind w:left="151" w:hanging="142"/>
              <w:jc w:val="both"/>
              <w:rPr>
                <w:rFonts w:ascii="Times New Roman" w:hAnsi="Times New Roman"/>
                <w:color w:val="000000" w:themeColor="text1"/>
              </w:rPr>
            </w:pPr>
            <w:r w:rsidRPr="00FF0A9A">
              <w:rPr>
                <w:rFonts w:ascii="Times New Roman" w:hAnsi="Times New Roman"/>
                <w:color w:val="000000" w:themeColor="text1"/>
              </w:rPr>
              <w:t>Risque de développement de parasitoses chez les animaux ;</w:t>
            </w:r>
          </w:p>
          <w:p w:rsidR="00B72399" w:rsidRPr="00FF0A9A" w:rsidRDefault="00B72399" w:rsidP="00B72399">
            <w:pPr>
              <w:pStyle w:val="PargrafodaLista"/>
              <w:numPr>
                <w:ilvl w:val="0"/>
                <w:numId w:val="60"/>
              </w:numPr>
              <w:spacing w:line="240" w:lineRule="auto"/>
              <w:ind w:left="151" w:hanging="142"/>
              <w:jc w:val="both"/>
              <w:rPr>
                <w:rFonts w:ascii="Times New Roman" w:hAnsi="Times New Roman"/>
                <w:color w:val="000000" w:themeColor="text1"/>
              </w:rPr>
            </w:pPr>
            <w:r w:rsidRPr="00FF0A9A">
              <w:rPr>
                <w:rFonts w:ascii="Times New Roman" w:hAnsi="Times New Roman"/>
                <w:color w:val="000000" w:themeColor="text1"/>
              </w:rPr>
              <w:t>Risque d’apparition de maladies animales transfrontalières ;</w:t>
            </w:r>
          </w:p>
          <w:p w:rsidR="00B72399" w:rsidRPr="00FF0A9A" w:rsidRDefault="00B72399" w:rsidP="00B72399">
            <w:pPr>
              <w:pStyle w:val="PargrafodaLista"/>
              <w:numPr>
                <w:ilvl w:val="0"/>
                <w:numId w:val="60"/>
              </w:numPr>
              <w:spacing w:line="240" w:lineRule="auto"/>
              <w:ind w:left="151" w:hanging="142"/>
              <w:jc w:val="both"/>
              <w:rPr>
                <w:rFonts w:ascii="Times New Roman" w:hAnsi="Times New Roman"/>
                <w:color w:val="000000" w:themeColor="text1"/>
              </w:rPr>
            </w:pPr>
            <w:r w:rsidRPr="00FF0A9A">
              <w:rPr>
                <w:rFonts w:ascii="Times New Roman" w:hAnsi="Times New Roman"/>
                <w:color w:val="000000" w:themeColor="text1"/>
              </w:rPr>
              <w:t xml:space="preserve">Risque d’exposition à des agents pathogènes contenus dans les déchets organiques et autres zoonoses </w:t>
            </w:r>
          </w:p>
          <w:p w:rsidR="00B72399" w:rsidRPr="002B2401" w:rsidRDefault="00B72399"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lang w:val="fr-CA"/>
              </w:rPr>
            </w:pPr>
            <w:r w:rsidRPr="00697FF1">
              <w:rPr>
                <w:rFonts w:ascii="Times New Roman" w:hAnsi="Times New Roman"/>
                <w:color w:val="000000" w:themeColor="text1"/>
              </w:rPr>
              <w:t>Risque de blessure par les seringues usagées, provocant des infections (tétanos) ;</w:t>
            </w:r>
          </w:p>
        </w:tc>
        <w:tc>
          <w:tcPr>
            <w:tcW w:w="5805" w:type="dxa"/>
            <w:tcBorders>
              <w:top w:val="single" w:sz="4" w:space="0" w:color="auto"/>
            </w:tcBorders>
            <w:shd w:val="clear" w:color="auto" w:fill="FFFFFF" w:themeFill="background1"/>
          </w:tcPr>
          <w:p w:rsidR="00B72399" w:rsidRDefault="00B72399"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Pr>
                <w:rFonts w:ascii="Times New Roman" w:hAnsi="Times New Roman"/>
                <w:color w:val="000000" w:themeColor="text1"/>
                <w:sz w:val="21"/>
                <w:szCs w:val="21"/>
              </w:rPr>
              <w:t>Organiser des journées de sensibilisation avec les éleveurs pour lutter contre les maladies et valoriser la vaccination animale</w:t>
            </w:r>
          </w:p>
          <w:p w:rsidR="00B72399" w:rsidRDefault="00B72399"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Pr>
                <w:rFonts w:ascii="Times New Roman" w:hAnsi="Times New Roman"/>
                <w:color w:val="000000" w:themeColor="text1"/>
                <w:sz w:val="21"/>
                <w:szCs w:val="21"/>
              </w:rPr>
              <w:t>Mettre en place des parcs de vaccination de bétail</w:t>
            </w:r>
          </w:p>
          <w:p w:rsidR="00B72399" w:rsidRDefault="00B72399"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Pr>
                <w:rFonts w:ascii="Times New Roman" w:hAnsi="Times New Roman"/>
                <w:color w:val="000000" w:themeColor="text1"/>
                <w:sz w:val="21"/>
                <w:szCs w:val="21"/>
              </w:rPr>
              <w:t>Eviter autant que possible les parcours des bétails</w:t>
            </w:r>
          </w:p>
          <w:p w:rsidR="00B72399" w:rsidRDefault="00B72399"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Pr>
                <w:rFonts w:ascii="Times New Roman" w:hAnsi="Times New Roman"/>
                <w:color w:val="000000" w:themeColor="text1"/>
                <w:sz w:val="21"/>
                <w:szCs w:val="21"/>
              </w:rPr>
              <w:t>Eviter de jeter les déchets organiques dans la nature</w:t>
            </w:r>
          </w:p>
          <w:p w:rsidR="00B72399" w:rsidRDefault="00B72399"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Pr>
                <w:rFonts w:ascii="Times New Roman" w:hAnsi="Times New Roman"/>
                <w:color w:val="000000" w:themeColor="text1"/>
                <w:sz w:val="21"/>
                <w:szCs w:val="21"/>
              </w:rPr>
              <w:t>Equiper les agents en charge des activités de vaccination en matériel suffisante et de qualité ;</w:t>
            </w:r>
          </w:p>
          <w:p w:rsidR="00B72399" w:rsidRDefault="00B72399"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Pr>
                <w:rFonts w:ascii="Times New Roman" w:hAnsi="Times New Roman"/>
                <w:color w:val="000000" w:themeColor="text1"/>
                <w:sz w:val="21"/>
                <w:szCs w:val="21"/>
              </w:rPr>
              <w:t>Sensibiliser ces agents contre les risques de blessure avec les seringues usagées ;</w:t>
            </w:r>
          </w:p>
          <w:p w:rsidR="00B72399" w:rsidRDefault="00B72399" w:rsidP="00B72399">
            <w:pPr>
              <w:pStyle w:val="PargrafodaLista"/>
              <w:numPr>
                <w:ilvl w:val="0"/>
                <w:numId w:val="60"/>
              </w:numPr>
              <w:spacing w:after="0" w:line="240" w:lineRule="auto"/>
              <w:ind w:left="151" w:hanging="142"/>
              <w:jc w:val="both"/>
              <w:rPr>
                <w:rFonts w:ascii="Times New Roman" w:hAnsi="Times New Roman"/>
                <w:color w:val="000000" w:themeColor="text1"/>
                <w:sz w:val="21"/>
                <w:szCs w:val="21"/>
              </w:rPr>
            </w:pPr>
            <w:r>
              <w:rPr>
                <w:rFonts w:ascii="Times New Roman" w:hAnsi="Times New Roman"/>
                <w:color w:val="000000" w:themeColor="text1"/>
                <w:sz w:val="21"/>
                <w:szCs w:val="21"/>
              </w:rPr>
              <w:t>Eviter les mares et si possible mettre en place des abreuvoirs dans les zones donc l’accès à l’eau est difficile</w:t>
            </w:r>
          </w:p>
          <w:p w:rsidR="00B72399" w:rsidRPr="002B2401" w:rsidRDefault="00B72399" w:rsidP="00B72399">
            <w:pPr>
              <w:rPr>
                <w:b/>
                <w:color w:val="000000" w:themeColor="text1"/>
                <w:sz w:val="21"/>
                <w:szCs w:val="21"/>
              </w:rPr>
            </w:pPr>
            <w:r>
              <w:rPr>
                <w:color w:val="000000" w:themeColor="text1"/>
                <w:sz w:val="21"/>
                <w:szCs w:val="21"/>
              </w:rPr>
              <w:t>Augmenter les contrôles par rapport à la santé des bétails</w:t>
            </w:r>
          </w:p>
        </w:tc>
      </w:tr>
    </w:tbl>
    <w:p w:rsidR="00730225" w:rsidRDefault="00730225" w:rsidP="004F4212">
      <w:pPr>
        <w:tabs>
          <w:tab w:val="left" w:pos="3811"/>
        </w:tabs>
        <w:ind w:right="-851"/>
        <w:rPr>
          <w:b/>
        </w:rPr>
      </w:pPr>
    </w:p>
    <w:p w:rsidR="00C52827" w:rsidRDefault="00C52827" w:rsidP="004F4212">
      <w:pPr>
        <w:tabs>
          <w:tab w:val="left" w:pos="3811"/>
        </w:tabs>
        <w:ind w:right="-851"/>
        <w:rPr>
          <w:b/>
        </w:rPr>
      </w:pPr>
    </w:p>
    <w:p w:rsidR="00150FD2" w:rsidRPr="00A05698" w:rsidRDefault="00150FD2" w:rsidP="004F4212">
      <w:pPr>
        <w:tabs>
          <w:tab w:val="left" w:pos="3811"/>
        </w:tabs>
        <w:ind w:right="-851"/>
        <w:rPr>
          <w:b/>
        </w:rPr>
      </w:pPr>
    </w:p>
    <w:p w:rsidR="0091740E" w:rsidRPr="00A05698" w:rsidRDefault="005510F0" w:rsidP="00157035">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right="-847"/>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54" w:name="_Toc73459748"/>
      <w:r>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PROCEDURE</w:t>
      </w:r>
      <w:r w:rsidR="00A10969"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GESTION ENVIRONNEMENTALE ET</w:t>
      </w:r>
      <w:r w:rsidR="0091740E"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SOCIALE</w:t>
      </w:r>
      <w:bookmarkEnd w:id="254"/>
      <w:r w:rsidR="0091740E"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107507" w:rsidRPr="00A05698" w:rsidRDefault="00107507" w:rsidP="004F4212"/>
    <w:p w:rsidR="006950A3" w:rsidRPr="00A05698" w:rsidRDefault="006950A3" w:rsidP="00157035">
      <w:pPr>
        <w:pStyle w:val="PargrafodaLista"/>
        <w:numPr>
          <w:ilvl w:val="1"/>
          <w:numId w:val="99"/>
        </w:numPr>
        <w:spacing w:after="120" w:line="240" w:lineRule="auto"/>
        <w:ind w:right="-847"/>
        <w:outlineLvl w:val="1"/>
        <w:rPr>
          <w:rFonts w:ascii="Times New Roman" w:hAnsi="Times New Roman"/>
          <w:b/>
          <w:bCs/>
          <w:sz w:val="24"/>
          <w:szCs w:val="24"/>
        </w:rPr>
      </w:pPr>
      <w:bookmarkStart w:id="255" w:name="_Toc414259902"/>
      <w:bookmarkStart w:id="256" w:name="_Toc414260172"/>
      <w:bookmarkStart w:id="257" w:name="_Toc414262921"/>
      <w:bookmarkStart w:id="258" w:name="_Toc414263060"/>
      <w:bookmarkStart w:id="259" w:name="_Toc512872028"/>
      <w:bookmarkStart w:id="260" w:name="_Toc4070809"/>
      <w:bookmarkStart w:id="261" w:name="_Toc73459749"/>
      <w:r w:rsidRPr="00A05698">
        <w:rPr>
          <w:rFonts w:ascii="Times New Roman" w:hAnsi="Times New Roman"/>
          <w:b/>
          <w:bCs/>
          <w:sz w:val="24"/>
          <w:szCs w:val="24"/>
        </w:rPr>
        <w:t>LES DIFFERENTES ETAPES DE LA MISE EN PLACE D</w:t>
      </w:r>
      <w:r w:rsidR="005510F0">
        <w:rPr>
          <w:rFonts w:ascii="Times New Roman" w:hAnsi="Times New Roman"/>
          <w:b/>
          <w:bCs/>
          <w:sz w:val="24"/>
          <w:szCs w:val="24"/>
        </w:rPr>
        <w:t xml:space="preserve">E LA PROCEDURE </w:t>
      </w:r>
      <w:r w:rsidRPr="00A05698">
        <w:rPr>
          <w:rFonts w:ascii="Times New Roman" w:hAnsi="Times New Roman"/>
          <w:b/>
          <w:bCs/>
          <w:sz w:val="24"/>
          <w:szCs w:val="24"/>
        </w:rPr>
        <w:t>DE GESTION ENVIRONNEMENTALE ET SOCIALE</w:t>
      </w:r>
      <w:bookmarkEnd w:id="255"/>
      <w:bookmarkEnd w:id="256"/>
      <w:bookmarkEnd w:id="257"/>
      <w:bookmarkEnd w:id="258"/>
      <w:bookmarkEnd w:id="259"/>
      <w:bookmarkEnd w:id="260"/>
      <w:bookmarkEnd w:id="261"/>
    </w:p>
    <w:p w:rsidR="00470124" w:rsidRPr="00A05698" w:rsidRDefault="006950A3" w:rsidP="000D681C">
      <w:pPr>
        <w:ind w:left="-284" w:right="-851"/>
        <w:jc w:val="both"/>
      </w:pPr>
      <w:r w:rsidRPr="00A05698">
        <w:t>L</w:t>
      </w:r>
      <w:r w:rsidR="00A467BC">
        <w:t xml:space="preserve">a </w:t>
      </w:r>
      <w:r w:rsidR="000E1D86">
        <w:t>Procédure</w:t>
      </w:r>
      <w:r w:rsidR="006209E3">
        <w:t xml:space="preserve"> </w:t>
      </w:r>
      <w:r w:rsidRPr="00A05698">
        <w:t>de Gestion Environnementale et Sociale (</w:t>
      </w:r>
      <w:r w:rsidR="006209E3">
        <w:t>P</w:t>
      </w:r>
      <w:r w:rsidRPr="00A05698">
        <w:t>GES) va accompagner la mise en œuvre</w:t>
      </w:r>
      <w:r w:rsidR="004B6FAF" w:rsidRPr="00A05698">
        <w:t xml:space="preserve"> des activités du projet d’urgence de sécurité alimentaire (PUSA) </w:t>
      </w:r>
      <w:r w:rsidRPr="00A05698">
        <w:t xml:space="preserve">dans </w:t>
      </w:r>
      <w:r w:rsidR="00581653" w:rsidRPr="00A05698">
        <w:t>ses</w:t>
      </w:r>
      <w:r w:rsidR="00CC2F81" w:rsidRPr="00A05698">
        <w:t xml:space="preserve"> zones d’intervention </w:t>
      </w:r>
      <w:r w:rsidR="00581653" w:rsidRPr="00A05698">
        <w:t>du</w:t>
      </w:r>
      <w:r w:rsidR="00CC2F81" w:rsidRPr="00A05698">
        <w:t xml:space="preserve"> pays</w:t>
      </w:r>
      <w:r w:rsidRPr="00A05698">
        <w:t>.</w:t>
      </w:r>
    </w:p>
    <w:p w:rsidR="006950A3" w:rsidRPr="00A05698" w:rsidRDefault="006950A3" w:rsidP="000D681C">
      <w:pPr>
        <w:ind w:left="-284" w:right="-851"/>
        <w:jc w:val="both"/>
      </w:pPr>
      <w:r w:rsidRPr="00A05698">
        <w:t xml:space="preserve">C’est l’outil qui permet de tirer profit (au maximum) des retombées positives du projet en proposant une série de mesures visant à éliminer ou réduire les impacts négatifs potentiels du projet sur les composantes biophysiques et sociales dans la zone d’intervention. Son objectif principal est de consolider les ambitions du Projet </w:t>
      </w:r>
      <w:r w:rsidR="00D14B1A" w:rsidRPr="00A05698">
        <w:t>PUSA</w:t>
      </w:r>
      <w:r w:rsidRPr="00A05698">
        <w:t xml:space="preserve"> </w:t>
      </w:r>
      <w:r w:rsidR="00581653" w:rsidRPr="00A05698">
        <w:t xml:space="preserve">à </w:t>
      </w:r>
      <w:r w:rsidR="000E1A4B" w:rsidRPr="00A05698">
        <w:t>travers l’amélioration</w:t>
      </w:r>
      <w:r w:rsidRPr="00A05698">
        <w:t xml:space="preserve"> des revenus des petits </w:t>
      </w:r>
      <w:r w:rsidR="00D14B1A" w:rsidRPr="00A05698">
        <w:t xml:space="preserve">et grands </w:t>
      </w:r>
      <w:r w:rsidRPr="00A05698">
        <w:t>p</w:t>
      </w:r>
      <w:r w:rsidR="00D14B1A" w:rsidRPr="00A05698">
        <w:t>roducteurs agricoles</w:t>
      </w:r>
      <w:r w:rsidR="00581653" w:rsidRPr="00A05698">
        <w:t xml:space="preserve">. Cette amélioration se </w:t>
      </w:r>
      <w:r w:rsidR="001C30E0" w:rsidRPr="00A05698">
        <w:t>traduit</w:t>
      </w:r>
      <w:r w:rsidR="00581653" w:rsidRPr="00A05698">
        <w:t xml:space="preserve"> par</w:t>
      </w:r>
      <w:r w:rsidR="00DB3646" w:rsidRPr="00A05698">
        <w:t xml:space="preserve"> </w:t>
      </w:r>
      <w:r w:rsidR="0098744F" w:rsidRPr="00A05698">
        <w:t>une meilleure condition</w:t>
      </w:r>
      <w:r w:rsidRPr="00A05698">
        <w:t xml:space="preserve"> de</w:t>
      </w:r>
      <w:r w:rsidR="0098744F" w:rsidRPr="00A05698">
        <w:t xml:space="preserve"> la population, création d’emplois pour</w:t>
      </w:r>
      <w:r w:rsidRPr="00A05698">
        <w:t xml:space="preserve"> des femmes et des jeunes ainsi que le désenclavement des sites </w:t>
      </w:r>
      <w:r w:rsidR="00755984" w:rsidRPr="00A05698">
        <w:t xml:space="preserve">de production </w:t>
      </w:r>
      <w:r w:rsidRPr="00A05698">
        <w:t>par la constru</w:t>
      </w:r>
      <w:r w:rsidR="00755984" w:rsidRPr="00A05698">
        <w:t>ction de voie d’accès</w:t>
      </w:r>
      <w:r w:rsidRPr="00A05698">
        <w:t xml:space="preserve"> tout en respectant l’équilibre des écosystèmes et les conditions environnementales permettant la durabilité des actions</w:t>
      </w:r>
      <w:r w:rsidR="00043F89" w:rsidRPr="00A05698">
        <w:t xml:space="preserve"> mais aussi, de combattre la pauvreté dans le pays.</w:t>
      </w:r>
    </w:p>
    <w:p w:rsidR="00E95C17" w:rsidRPr="00A05698" w:rsidRDefault="006950A3" w:rsidP="000D681C">
      <w:pPr>
        <w:ind w:left="-284" w:right="-851"/>
        <w:jc w:val="both"/>
      </w:pPr>
      <w:r w:rsidRPr="00A05698">
        <w:t xml:space="preserve">Le CGES propose d’abord, une série de mesures </w:t>
      </w:r>
      <w:r w:rsidR="00E95658">
        <w:t>visant à réduire/</w:t>
      </w:r>
      <w:r w:rsidR="00173E74">
        <w:t>atténuer les risques et impacts négatifs potentiels</w:t>
      </w:r>
      <w:r w:rsidRPr="00A05698">
        <w:t xml:space="preserve"> du </w:t>
      </w:r>
      <w:r w:rsidR="0084006A" w:rsidRPr="00A05698">
        <w:t>projet</w:t>
      </w:r>
      <w:r w:rsidRPr="00A05698">
        <w:t xml:space="preserve"> </w:t>
      </w:r>
      <w:r w:rsidR="00BE1570" w:rsidRPr="00A05698">
        <w:t xml:space="preserve">PUSA </w:t>
      </w:r>
      <w:r w:rsidRPr="00A05698">
        <w:t xml:space="preserve">ainsi que les dispositifs de surveillance et de suivi environnemental de sa mise en œuvre. Ensuite, il déroule </w:t>
      </w:r>
      <w:r w:rsidR="006A565D">
        <w:t>la procédure de gestion environnementale et sociale</w:t>
      </w:r>
      <w:r w:rsidR="00651888">
        <w:t xml:space="preserve"> qui inclut </w:t>
      </w:r>
      <w:r w:rsidRPr="00A05698">
        <w:t xml:space="preserve">le processus de sélection environnementale (screening) des </w:t>
      </w:r>
      <w:r w:rsidR="00651888">
        <w:t>sous-</w:t>
      </w:r>
      <w:r w:rsidRPr="00A05698">
        <w:t xml:space="preserve">projets qui seront réalisés dans le cadre du projet. </w:t>
      </w:r>
    </w:p>
    <w:p w:rsidR="00E95C17" w:rsidRPr="00A05698" w:rsidRDefault="006950A3" w:rsidP="000D681C">
      <w:pPr>
        <w:ind w:left="-284" w:right="-851"/>
        <w:jc w:val="both"/>
      </w:pPr>
      <w:r w:rsidRPr="00A05698">
        <w:t>Le screening poursuit les objectifs suivants :</w:t>
      </w:r>
    </w:p>
    <w:p w:rsidR="006950A3" w:rsidRPr="00A05698" w:rsidRDefault="002D66E0" w:rsidP="00157035">
      <w:pPr>
        <w:numPr>
          <w:ilvl w:val="0"/>
          <w:numId w:val="63"/>
        </w:numPr>
        <w:ind w:left="426" w:right="-847" w:hanging="283"/>
        <w:jc w:val="both"/>
      </w:pPr>
      <w:r w:rsidRPr="00A05698">
        <w:t>d</w:t>
      </w:r>
      <w:r w:rsidR="00D778FF" w:rsidRPr="00A05698">
        <w:t>éterminer</w:t>
      </w:r>
      <w:r w:rsidR="006950A3" w:rsidRPr="00A05698">
        <w:t xml:space="preserve"> les activités du </w:t>
      </w:r>
      <w:r w:rsidR="00D44204" w:rsidRPr="00A05698">
        <w:t>PUSA</w:t>
      </w:r>
      <w:r w:rsidR="006950A3" w:rsidRPr="00A05698">
        <w:t xml:space="preserve"> potentiellement porteuses d'impacts négatifs majeurs au niveau environnemental et social ;</w:t>
      </w:r>
    </w:p>
    <w:p w:rsidR="006950A3" w:rsidRPr="00A05698" w:rsidRDefault="006950A3" w:rsidP="00157035">
      <w:pPr>
        <w:numPr>
          <w:ilvl w:val="0"/>
          <w:numId w:val="63"/>
        </w:numPr>
        <w:ind w:left="426" w:right="-847" w:hanging="283"/>
        <w:jc w:val="both"/>
      </w:pPr>
      <w:r w:rsidRPr="00A05698">
        <w:t>déterminer les activités nécessitant des études d'impact environnemental et social (EIES) additionnelles ;</w:t>
      </w:r>
    </w:p>
    <w:p w:rsidR="00FC2D9A" w:rsidRDefault="00F502A7" w:rsidP="00FC2D9A">
      <w:pPr>
        <w:numPr>
          <w:ilvl w:val="0"/>
          <w:numId w:val="63"/>
        </w:numPr>
        <w:ind w:left="426" w:right="-847" w:hanging="283"/>
        <w:jc w:val="both"/>
      </w:pPr>
      <w:r>
        <w:t xml:space="preserve">pour </w:t>
      </w:r>
      <w:r w:rsidR="009958D4">
        <w:t>les</w:t>
      </w:r>
      <w:r>
        <w:t xml:space="preserve"> activité</w:t>
      </w:r>
      <w:r w:rsidR="009958D4">
        <w:t>s</w:t>
      </w:r>
      <w:r>
        <w:t xml:space="preserve"> qui ne nécessite</w:t>
      </w:r>
      <w:r w:rsidR="009958D4">
        <w:t>nt</w:t>
      </w:r>
      <w:r>
        <w:t xml:space="preserve"> pas une EIES, </w:t>
      </w:r>
      <w:r w:rsidR="00FC2D9A" w:rsidRPr="00A05698">
        <w:t xml:space="preserve">identifier les mesures d'atténuation pertinentes </w:t>
      </w:r>
      <w:r w:rsidR="00DF027B">
        <w:t>à intégrer dans le</w:t>
      </w:r>
      <w:r w:rsidR="009958D4">
        <w:t>s</w:t>
      </w:r>
      <w:r w:rsidR="00FB1CFE">
        <w:t xml:space="preserve"> dossier</w:t>
      </w:r>
      <w:r w:rsidR="009958D4">
        <w:t>s</w:t>
      </w:r>
      <w:r w:rsidR="00FB1CFE">
        <w:t xml:space="preserve"> de</w:t>
      </w:r>
      <w:r w:rsidR="009958D4">
        <w:t xml:space="preserve"> ces</w:t>
      </w:r>
      <w:r w:rsidR="00F66783">
        <w:t xml:space="preserve"> activités</w:t>
      </w:r>
      <w:r w:rsidR="00FC2D9A" w:rsidRPr="00A05698">
        <w:t xml:space="preserve"> ; </w:t>
      </w:r>
    </w:p>
    <w:p w:rsidR="00A57DCB" w:rsidRPr="00A05698" w:rsidRDefault="00A57DCB" w:rsidP="00A57DCB">
      <w:pPr>
        <w:ind w:left="426" w:right="-847"/>
        <w:jc w:val="both"/>
      </w:pPr>
    </w:p>
    <w:p w:rsidR="006950A3" w:rsidRPr="00A05698" w:rsidRDefault="006950A3" w:rsidP="00157035">
      <w:pPr>
        <w:pStyle w:val="PargrafodaLista"/>
        <w:numPr>
          <w:ilvl w:val="1"/>
          <w:numId w:val="99"/>
        </w:numPr>
        <w:spacing w:after="120" w:line="240" w:lineRule="auto"/>
        <w:ind w:right="-847"/>
        <w:outlineLvl w:val="1"/>
        <w:rPr>
          <w:rFonts w:ascii="Times New Roman" w:hAnsi="Times New Roman"/>
          <w:b/>
          <w:bCs/>
          <w:sz w:val="24"/>
          <w:szCs w:val="24"/>
        </w:rPr>
      </w:pPr>
      <w:bookmarkStart w:id="262" w:name="_Toc395996241"/>
      <w:bookmarkStart w:id="263" w:name="_Toc414259913"/>
      <w:bookmarkStart w:id="264" w:name="_Toc414260183"/>
      <w:bookmarkStart w:id="265" w:name="_Toc414262932"/>
      <w:bookmarkStart w:id="266" w:name="_Toc414263071"/>
      <w:bookmarkStart w:id="267" w:name="_Toc512872029"/>
      <w:bookmarkStart w:id="268" w:name="_Toc4070810"/>
      <w:bookmarkStart w:id="269" w:name="_Toc73459750"/>
      <w:r w:rsidRPr="00A05698">
        <w:rPr>
          <w:rFonts w:ascii="Times New Roman" w:hAnsi="Times New Roman"/>
          <w:b/>
          <w:bCs/>
          <w:sz w:val="24"/>
          <w:szCs w:val="24"/>
        </w:rPr>
        <w:t>MESURES D</w:t>
      </w:r>
      <w:r w:rsidR="004A77FA">
        <w:rPr>
          <w:rFonts w:ascii="Times New Roman" w:hAnsi="Times New Roman"/>
          <w:b/>
          <w:bCs/>
          <w:sz w:val="24"/>
          <w:szCs w:val="24"/>
        </w:rPr>
        <w:t>’ATTENUATION</w:t>
      </w:r>
      <w:bookmarkEnd w:id="262"/>
      <w:bookmarkEnd w:id="263"/>
      <w:bookmarkEnd w:id="264"/>
      <w:bookmarkEnd w:id="265"/>
      <w:bookmarkEnd w:id="266"/>
      <w:bookmarkEnd w:id="267"/>
      <w:bookmarkEnd w:id="268"/>
      <w:bookmarkEnd w:id="269"/>
    </w:p>
    <w:p w:rsidR="004A77FA" w:rsidRDefault="006950A3" w:rsidP="000D681C">
      <w:pPr>
        <w:ind w:left="-284" w:right="-851"/>
        <w:jc w:val="both"/>
      </w:pPr>
      <w:r w:rsidRPr="00A05698">
        <w:t>En vue d</w:t>
      </w:r>
      <w:r w:rsidR="00310CB8">
        <w:t>’</w:t>
      </w:r>
      <w:r w:rsidR="00DA7F08">
        <w:t>éviter/</w:t>
      </w:r>
      <w:r w:rsidRPr="00A05698">
        <w:t xml:space="preserve">réduire les impacts négatifs du </w:t>
      </w:r>
      <w:bookmarkStart w:id="270" w:name="_Toc395995976"/>
      <w:bookmarkStart w:id="271" w:name="_Toc395996242"/>
      <w:r w:rsidR="008615C8" w:rsidRPr="00A05698">
        <w:t>Projet d’urgence</w:t>
      </w:r>
      <w:r w:rsidR="00DB090C" w:rsidRPr="00A05698">
        <w:t xml:space="preserve"> de sécurité alimentaire en Guinée Bissau</w:t>
      </w:r>
      <w:r w:rsidR="004A63D6" w:rsidRPr="00A05698">
        <w:t xml:space="preserve"> (PUSA)</w:t>
      </w:r>
      <w:r w:rsidR="004A77FA">
        <w:t>, d</w:t>
      </w:r>
      <w:r w:rsidRPr="00A05698">
        <w:t xml:space="preserve">es mesures sont souvent prises dans une optique d’amplifier leurs impacts positifs. Le </w:t>
      </w:r>
      <w:r w:rsidR="008615C8" w:rsidRPr="00A05698">
        <w:t>projet</w:t>
      </w:r>
      <w:r w:rsidRPr="00A05698">
        <w:t xml:space="preserve"> </w:t>
      </w:r>
      <w:r w:rsidR="008615C8" w:rsidRPr="00A05698">
        <w:t xml:space="preserve">PUSA </w:t>
      </w:r>
      <w:r w:rsidRPr="00A05698">
        <w:t>a déjà intégré plusieurs mesures dans ce sens.</w:t>
      </w:r>
    </w:p>
    <w:p w:rsidR="00326542" w:rsidRPr="00A05698" w:rsidRDefault="006950A3" w:rsidP="000D681C">
      <w:pPr>
        <w:ind w:left="-284" w:right="-851"/>
        <w:jc w:val="both"/>
      </w:pPr>
      <w:r w:rsidRPr="00A05698">
        <w:t xml:space="preserve"> Les principales mesures de bonification intégrées par le projet sont synthétisées dans les lignes ci-dessous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Faire le plaidoyer et le lobbying du projet auprès des bailleurs de fonds pour boucler les cycles de financement nécessaire des différentes phases du projet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Impliquer tous les acteurs institutionnels concernés par le projet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Tenir compte du niveau de vie des populations en réorientant les opportunités de correction des sous projets selon leurs attentes et besoins exprimés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 xml:space="preserve">Prendre en compte les propositions des populations en matière de politiques sociales et d'accompagnement du projet ;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 xml:space="preserve">S'agissant des enjeux fonciers associés aux sites </w:t>
      </w:r>
      <w:r w:rsidR="000731D3" w:rsidRPr="0073559B">
        <w:rPr>
          <w:rFonts w:eastAsia="Calibri"/>
          <w:sz w:val="22"/>
          <w:szCs w:val="22"/>
        </w:rPr>
        <w:t>qui seront</w:t>
      </w:r>
      <w:r w:rsidR="000B504E" w:rsidRPr="0073559B">
        <w:rPr>
          <w:rFonts w:eastAsia="Calibri"/>
          <w:sz w:val="22"/>
          <w:szCs w:val="22"/>
        </w:rPr>
        <w:t xml:space="preserve"> </w:t>
      </w:r>
      <w:r w:rsidRPr="0073559B">
        <w:rPr>
          <w:rFonts w:eastAsia="Calibri"/>
          <w:sz w:val="22"/>
          <w:szCs w:val="22"/>
        </w:rPr>
        <w:t>proposés</w:t>
      </w:r>
      <w:r w:rsidR="000B504E" w:rsidRPr="0073559B">
        <w:rPr>
          <w:rFonts w:eastAsia="Calibri"/>
          <w:sz w:val="22"/>
          <w:szCs w:val="22"/>
        </w:rPr>
        <w:t xml:space="preserve"> pour les magasins, les voies d’accès</w:t>
      </w:r>
      <w:r w:rsidR="000731D3" w:rsidRPr="0073559B">
        <w:rPr>
          <w:rFonts w:eastAsia="Calibri"/>
          <w:sz w:val="22"/>
          <w:szCs w:val="22"/>
        </w:rPr>
        <w:t xml:space="preserve"> et les marchés</w:t>
      </w:r>
      <w:r w:rsidRPr="0073559B">
        <w:rPr>
          <w:rFonts w:eastAsia="Calibri"/>
          <w:sz w:val="22"/>
          <w:szCs w:val="22"/>
        </w:rPr>
        <w:t xml:space="preserve"> promouvoir le bien fondé du projet et la nécessité d'un programme agricole fiable et performant pour lutter contre la pauvreté, l'insécurité alimentaire et surtout aux effets néfastes des changements climatiques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 xml:space="preserve">Mise en place d'un programme de gestion des ressources naturelles en veillant à la prise en compte des impacts négatifs relatifs </w:t>
      </w:r>
      <w:r w:rsidR="001C30E0" w:rsidRPr="0073559B">
        <w:rPr>
          <w:rFonts w:eastAsia="Calibri"/>
          <w:sz w:val="22"/>
          <w:szCs w:val="22"/>
        </w:rPr>
        <w:t>aux activités prévues</w:t>
      </w:r>
      <w:r w:rsidR="000731D3" w:rsidRPr="0073559B">
        <w:rPr>
          <w:rFonts w:eastAsia="Calibri"/>
          <w:sz w:val="22"/>
          <w:szCs w:val="22"/>
        </w:rPr>
        <w:t xml:space="preserve"> </w:t>
      </w:r>
      <w:r w:rsidR="00F227BD" w:rsidRPr="0073559B">
        <w:rPr>
          <w:rFonts w:eastAsia="Calibri"/>
          <w:sz w:val="22"/>
          <w:szCs w:val="22"/>
        </w:rPr>
        <w:t>pour chaque composante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 xml:space="preserve">Veiller au reboisement des sites ou réaliser des aménagements paysager pour compenser les arbres abattus </w:t>
      </w:r>
      <w:r w:rsidR="00F227BD" w:rsidRPr="0073559B">
        <w:rPr>
          <w:rFonts w:eastAsia="Calibri"/>
          <w:sz w:val="22"/>
          <w:szCs w:val="22"/>
        </w:rPr>
        <w:t xml:space="preserve">pour la réalisation des infrastructures </w:t>
      </w:r>
      <w:r w:rsidR="00BE1144" w:rsidRPr="0073559B">
        <w:rPr>
          <w:rFonts w:eastAsia="Calibri"/>
          <w:sz w:val="22"/>
          <w:szCs w:val="22"/>
        </w:rPr>
        <w:t>;</w:t>
      </w:r>
    </w:p>
    <w:p w:rsidR="00B40E6D" w:rsidRPr="0073559B" w:rsidRDefault="001363CE" w:rsidP="00157035">
      <w:pPr>
        <w:numPr>
          <w:ilvl w:val="0"/>
          <w:numId w:val="65"/>
        </w:numPr>
        <w:ind w:left="357" w:right="-847" w:hanging="357"/>
        <w:jc w:val="both"/>
        <w:rPr>
          <w:rFonts w:eastAsia="Calibri"/>
          <w:sz w:val="22"/>
          <w:szCs w:val="22"/>
        </w:rPr>
      </w:pPr>
      <w:r w:rsidRPr="0073559B">
        <w:rPr>
          <w:rFonts w:eastAsia="Calibri"/>
          <w:sz w:val="22"/>
          <w:szCs w:val="22"/>
        </w:rPr>
        <w:t>Éviter</w:t>
      </w:r>
      <w:r w:rsidR="00B40E6D" w:rsidRPr="0073559B">
        <w:rPr>
          <w:rFonts w:eastAsia="Calibri"/>
          <w:sz w:val="22"/>
          <w:szCs w:val="22"/>
        </w:rPr>
        <w:t xml:space="preserve"> la mise en œuvre de critères de ci</w:t>
      </w:r>
      <w:r w:rsidR="00053854" w:rsidRPr="0073559B">
        <w:rPr>
          <w:rFonts w:eastAsia="Calibri"/>
          <w:sz w:val="22"/>
          <w:szCs w:val="22"/>
        </w:rPr>
        <w:t>blage des bénéficiaires (</w:t>
      </w:r>
      <w:r w:rsidR="00B40E6D" w:rsidRPr="0073559B">
        <w:rPr>
          <w:rFonts w:eastAsia="Calibri"/>
          <w:sz w:val="22"/>
          <w:szCs w:val="22"/>
        </w:rPr>
        <w:t xml:space="preserve">Agriculteur, </w:t>
      </w:r>
      <w:r w:rsidR="00053854" w:rsidRPr="0073559B">
        <w:rPr>
          <w:rFonts w:eastAsia="Calibri"/>
          <w:sz w:val="22"/>
          <w:szCs w:val="22"/>
        </w:rPr>
        <w:t xml:space="preserve">producteur, commerçant, </w:t>
      </w:r>
      <w:r w:rsidR="00B40E6D" w:rsidRPr="0073559B">
        <w:rPr>
          <w:rFonts w:eastAsia="Calibri"/>
          <w:sz w:val="22"/>
          <w:szCs w:val="22"/>
        </w:rPr>
        <w:t>etc.) difficilement remplis par les populations démunies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 xml:space="preserve">Adopter et mettre en œuvre des critères permettant de satisfaire les conditions de transparence et d'équité lors du ciblage des </w:t>
      </w:r>
      <w:r w:rsidR="00FA390B" w:rsidRPr="0073559B">
        <w:rPr>
          <w:rFonts w:eastAsia="Calibri"/>
          <w:sz w:val="22"/>
          <w:szCs w:val="22"/>
        </w:rPr>
        <w:t xml:space="preserve">bénéficiaires </w:t>
      </w:r>
      <w:r w:rsidRPr="0073559B">
        <w:rPr>
          <w:rFonts w:eastAsia="Calibri"/>
          <w:sz w:val="22"/>
          <w:szCs w:val="22"/>
        </w:rPr>
        <w:t>;</w:t>
      </w:r>
    </w:p>
    <w:p w:rsidR="00FA3705" w:rsidRPr="0073559B" w:rsidRDefault="00F42CB9" w:rsidP="00157035">
      <w:pPr>
        <w:numPr>
          <w:ilvl w:val="0"/>
          <w:numId w:val="65"/>
        </w:numPr>
        <w:ind w:left="357" w:right="-847" w:hanging="357"/>
        <w:jc w:val="both"/>
        <w:rPr>
          <w:rFonts w:eastAsia="Calibri"/>
          <w:sz w:val="22"/>
          <w:szCs w:val="22"/>
        </w:rPr>
      </w:pPr>
      <w:r w:rsidRPr="0073559B">
        <w:rPr>
          <w:sz w:val="22"/>
          <w:szCs w:val="22"/>
        </w:rPr>
        <w:t>Veuillez</w:t>
      </w:r>
      <w:r w:rsidR="00FA3705" w:rsidRPr="0073559B">
        <w:rPr>
          <w:sz w:val="22"/>
          <w:szCs w:val="22"/>
        </w:rPr>
        <w:t>-vous assurer que l'analyse de genre est appliquée afin que les besoins des femmes soient satisfaits.</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 xml:space="preserve">Créer un environnement juridique favorable à l'accès des populations démunies aux institutions financières et bancaires (accès aux crédits) pour diminuer les manquements ;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 xml:space="preserve">Former les bénéficiaires des sous projets en techniques de gestion, en gestion de conservation des </w:t>
      </w:r>
      <w:r w:rsidR="00C5441E" w:rsidRPr="0073559B">
        <w:rPr>
          <w:rFonts w:eastAsia="Calibri"/>
          <w:sz w:val="22"/>
          <w:szCs w:val="22"/>
        </w:rPr>
        <w:t>infrastructures</w:t>
      </w:r>
      <w:r w:rsidRPr="0073559B">
        <w:rPr>
          <w:rFonts w:eastAsia="Calibri"/>
          <w:sz w:val="22"/>
          <w:szCs w:val="22"/>
        </w:rPr>
        <w:t xml:space="preserve"> et de conduites de projet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Créer les conditions d'accueil de nouveaux migrants en parti</w:t>
      </w:r>
      <w:r w:rsidR="00F21130" w:rsidRPr="0073559B">
        <w:rPr>
          <w:rFonts w:eastAsia="Calibri"/>
          <w:sz w:val="22"/>
          <w:szCs w:val="22"/>
        </w:rPr>
        <w:t>culier ceux venant des villages (</w:t>
      </w:r>
      <w:r w:rsidR="001C30E0" w:rsidRPr="0073559B">
        <w:rPr>
          <w:rFonts w:eastAsia="Calibri"/>
          <w:sz w:val="22"/>
          <w:szCs w:val="22"/>
        </w:rPr>
        <w:t>Tabanac)</w:t>
      </w:r>
      <w:r w:rsidR="00F21130" w:rsidRPr="0073559B">
        <w:rPr>
          <w:rFonts w:eastAsia="Calibri"/>
          <w:sz w:val="22"/>
          <w:szCs w:val="22"/>
        </w:rPr>
        <w:t xml:space="preserve"> </w:t>
      </w:r>
      <w:r w:rsidRPr="0073559B">
        <w:rPr>
          <w:rFonts w:eastAsia="Calibri"/>
          <w:sz w:val="22"/>
          <w:szCs w:val="22"/>
        </w:rPr>
        <w:t xml:space="preserve">environnants ;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Promouvoir des stratégies de motivation des services techniques via des offres de formation et de renforcement des capacités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Favoriser le processus de régénération des ressources naturelles de sols (jachère et lutte contre le lessivage), des eaux (favoriser l'infiltration et éviter le ruissellement) et végétales (reboisement et lutte contre la salinisation des terres)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Veiller à la réduction des conflits d'accès aux ressources naturelles par la définition de stratégies cohérentes de coexistence entre les différentes catégories socioprofessionnelles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Former les bénéficiaires sur les techniques d'application des intrants chimiques (pesticides et engrais) et à la promotion intrants alternatifs plus écologiques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 xml:space="preserve">Développer un plan de gestion des déchets plastiques d'emballages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Mettre en œuvre un programme GIRE</w:t>
      </w:r>
      <w:r w:rsidR="007F4963" w:rsidRPr="0073559B">
        <w:rPr>
          <w:rFonts w:eastAsia="Calibri"/>
          <w:sz w:val="22"/>
          <w:szCs w:val="22"/>
        </w:rPr>
        <w:t xml:space="preserve"> (</w:t>
      </w:r>
      <w:r w:rsidR="007F4963" w:rsidRPr="0073559B">
        <w:rPr>
          <w:rFonts w:eastAsia="Calibri" w:cs="Calibri"/>
          <w:sz w:val="22"/>
          <w:szCs w:val="22"/>
        </w:rPr>
        <w:t xml:space="preserve">Gestion Intégrée des ressources en eau) </w:t>
      </w:r>
      <w:r w:rsidRPr="0073559B">
        <w:rPr>
          <w:rFonts w:eastAsia="Calibri"/>
          <w:sz w:val="22"/>
          <w:szCs w:val="22"/>
        </w:rPr>
        <w:t>pour promouvoir la gestion rationnelle et responsables ressources en eau, en réponse aux changements climatiques ;</w:t>
      </w:r>
    </w:p>
    <w:p w:rsidR="000C224B" w:rsidRPr="0073559B" w:rsidRDefault="000C224B" w:rsidP="00157035">
      <w:pPr>
        <w:numPr>
          <w:ilvl w:val="0"/>
          <w:numId w:val="65"/>
        </w:numPr>
        <w:ind w:left="357" w:right="-847" w:hanging="357"/>
        <w:jc w:val="both"/>
        <w:rPr>
          <w:rFonts w:eastAsia="Calibri"/>
          <w:sz w:val="22"/>
          <w:szCs w:val="22"/>
        </w:rPr>
      </w:pPr>
      <w:r w:rsidRPr="0073559B">
        <w:rPr>
          <w:rFonts w:eastAsia="Calibri"/>
          <w:sz w:val="22"/>
          <w:szCs w:val="22"/>
        </w:rPr>
        <w:t xml:space="preserve">Respecter les normes </w:t>
      </w:r>
      <w:r w:rsidR="005537F0" w:rsidRPr="0073559B">
        <w:rPr>
          <w:rFonts w:eastAsia="Calibri"/>
          <w:sz w:val="22"/>
          <w:szCs w:val="22"/>
        </w:rPr>
        <w:t xml:space="preserve">et les directives </w:t>
      </w:r>
      <w:r w:rsidRPr="0073559B">
        <w:rPr>
          <w:rFonts w:eastAsia="Calibri"/>
          <w:sz w:val="22"/>
          <w:szCs w:val="22"/>
        </w:rPr>
        <w:t>enviro</w:t>
      </w:r>
      <w:r w:rsidR="00CF6D40" w:rsidRPr="0073559B">
        <w:rPr>
          <w:rFonts w:eastAsia="Calibri"/>
          <w:sz w:val="22"/>
          <w:szCs w:val="22"/>
        </w:rPr>
        <w:t>nnement</w:t>
      </w:r>
      <w:r w:rsidR="005537F0" w:rsidRPr="0073559B">
        <w:rPr>
          <w:rFonts w:eastAsia="Calibri"/>
          <w:sz w:val="22"/>
          <w:szCs w:val="22"/>
        </w:rPr>
        <w:t>ale</w:t>
      </w:r>
      <w:r w:rsidR="00CF6D40" w:rsidRPr="0073559B">
        <w:rPr>
          <w:rFonts w:eastAsia="Calibri"/>
          <w:sz w:val="22"/>
          <w:szCs w:val="22"/>
        </w:rPr>
        <w:t>s et so</w:t>
      </w:r>
      <w:r w:rsidR="005537F0" w:rsidRPr="0073559B">
        <w:rPr>
          <w:rFonts w:eastAsia="Calibri"/>
          <w:sz w:val="22"/>
          <w:szCs w:val="22"/>
        </w:rPr>
        <w:t>ciales de la Banque Mondiale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 xml:space="preserve">Renforcer les dispositifs d'amélioration de la culture et du stockage des fourrages pour lutter contre les divagations des bétails </w:t>
      </w:r>
      <w:r w:rsidR="00983CCC" w:rsidRPr="0073559B">
        <w:rPr>
          <w:rFonts w:eastAsia="Calibri"/>
          <w:sz w:val="22"/>
          <w:szCs w:val="22"/>
        </w:rPr>
        <w:t xml:space="preserve">à l’intérieur du pays (Bafata, </w:t>
      </w:r>
      <w:r w:rsidR="00180DE6" w:rsidRPr="0073559B">
        <w:rPr>
          <w:rFonts w:eastAsia="Calibri"/>
          <w:sz w:val="22"/>
          <w:szCs w:val="22"/>
        </w:rPr>
        <w:t>Gabu, Tombali) ;</w:t>
      </w:r>
      <w:r w:rsidRPr="0073559B">
        <w:rPr>
          <w:rFonts w:eastAsia="Calibri"/>
          <w:sz w:val="22"/>
          <w:szCs w:val="22"/>
        </w:rPr>
        <w:t xml:space="preserve">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Réduire les risques de conflits familiaux ou communautaire pendant les procédures d’obtention des sites ;</w:t>
      </w:r>
    </w:p>
    <w:p w:rsidR="00F42CB9" w:rsidRPr="0073559B" w:rsidRDefault="00F42CB9" w:rsidP="00157035">
      <w:pPr>
        <w:numPr>
          <w:ilvl w:val="0"/>
          <w:numId w:val="65"/>
        </w:numPr>
        <w:ind w:left="357" w:right="-847" w:hanging="357"/>
        <w:jc w:val="both"/>
        <w:rPr>
          <w:rFonts w:eastAsia="Calibri"/>
          <w:sz w:val="22"/>
          <w:szCs w:val="22"/>
        </w:rPr>
      </w:pPr>
      <w:r w:rsidRPr="0073559B">
        <w:rPr>
          <w:sz w:val="22"/>
          <w:szCs w:val="22"/>
        </w:rPr>
        <w:t>Veuillez prêter attention aux besoins des femmes qui sont souvent victimes de discrimination lors de conflits familiaux ou communautaires.</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Mettre en place un programme de gestion des déchets solides</w:t>
      </w:r>
      <w:r w:rsidR="00E765F9" w:rsidRPr="0073559B">
        <w:rPr>
          <w:rFonts w:eastAsia="Calibri"/>
          <w:sz w:val="22"/>
          <w:szCs w:val="22"/>
        </w:rPr>
        <w:t> ;</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Mettre en place un dispositif de consultation et d’un programme d’information et de sensibilisation (organisation d’ateliers de lancement du programme, tenue de forum, etc.) </w:t>
      </w:r>
      <w:r w:rsidR="00F42CB9" w:rsidRPr="0073559B">
        <w:rPr>
          <w:rFonts w:eastAsia="Calibri"/>
          <w:sz w:val="22"/>
          <w:szCs w:val="22"/>
        </w:rPr>
        <w:t>en tenant compte du fait que certains groupes sociaux risquent d'être exclus (ex ; femmes, filles) et en les ciblant avec des consultations séparées en petits groupes animées par une femme.;</w:t>
      </w:r>
    </w:p>
    <w:p w:rsidR="00B40E6D" w:rsidRPr="0073559B" w:rsidRDefault="001363CE" w:rsidP="00157035">
      <w:pPr>
        <w:numPr>
          <w:ilvl w:val="0"/>
          <w:numId w:val="65"/>
        </w:numPr>
        <w:ind w:left="357" w:right="-847" w:hanging="357"/>
        <w:jc w:val="both"/>
        <w:rPr>
          <w:rFonts w:eastAsia="Calibri"/>
          <w:sz w:val="22"/>
          <w:szCs w:val="22"/>
        </w:rPr>
      </w:pPr>
      <w:r w:rsidRPr="0073559B">
        <w:rPr>
          <w:rFonts w:eastAsia="Calibri"/>
          <w:sz w:val="22"/>
          <w:szCs w:val="22"/>
        </w:rPr>
        <w:t>Élaborer</w:t>
      </w:r>
      <w:r w:rsidR="00B40E6D" w:rsidRPr="0073559B">
        <w:rPr>
          <w:rFonts w:eastAsia="Calibri"/>
          <w:sz w:val="22"/>
          <w:szCs w:val="22"/>
        </w:rPr>
        <w:t xml:space="preserve"> un programme de renforcement des capacités des acteurs</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Promouvoir l’adaptation des pratiques agricoles aux changements climatiques</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Élaborer et diffuser des guides/kits de gestion des pesticides et de bonnes pratiques agricoles</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Faire une étude de l’impact cumulatif de ses interventions sur l’environnement à la fin de la première phase</w:t>
      </w:r>
    </w:p>
    <w:p w:rsidR="00B40E6D"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Renforcer les producteurs en matériel agricole pour faciliter obtention de matière première de qualité et en quantité</w:t>
      </w:r>
    </w:p>
    <w:p w:rsidR="00326542" w:rsidRPr="0073559B" w:rsidRDefault="00B40E6D" w:rsidP="00157035">
      <w:pPr>
        <w:numPr>
          <w:ilvl w:val="0"/>
          <w:numId w:val="65"/>
        </w:numPr>
        <w:ind w:left="357" w:right="-847" w:hanging="357"/>
        <w:jc w:val="both"/>
        <w:rPr>
          <w:rFonts w:eastAsia="Calibri"/>
          <w:sz w:val="22"/>
          <w:szCs w:val="22"/>
        </w:rPr>
      </w:pPr>
      <w:r w:rsidRPr="0073559B">
        <w:rPr>
          <w:rFonts w:eastAsia="Calibri"/>
          <w:sz w:val="22"/>
          <w:szCs w:val="22"/>
        </w:rPr>
        <w:t>Sensibiliser sur les IST, VIH/SIDA, l</w:t>
      </w:r>
      <w:r w:rsidR="008D7D84" w:rsidRPr="0073559B">
        <w:rPr>
          <w:rFonts w:eastAsia="Calibri"/>
          <w:sz w:val="22"/>
          <w:szCs w:val="22"/>
        </w:rPr>
        <w:t>a</w:t>
      </w:r>
      <w:r w:rsidRPr="0073559B">
        <w:rPr>
          <w:rFonts w:eastAsia="Calibri"/>
          <w:sz w:val="22"/>
          <w:szCs w:val="22"/>
        </w:rPr>
        <w:t xml:space="preserve"> Covid 19 appliquer le programme d’IEC.</w:t>
      </w:r>
    </w:p>
    <w:p w:rsidR="00AE2BD9" w:rsidRDefault="002C6424" w:rsidP="00157035">
      <w:pPr>
        <w:numPr>
          <w:ilvl w:val="0"/>
          <w:numId w:val="65"/>
        </w:numPr>
        <w:ind w:left="357" w:right="-847" w:hanging="357"/>
        <w:jc w:val="both"/>
        <w:rPr>
          <w:rFonts w:eastAsia="Calibri"/>
          <w:sz w:val="22"/>
          <w:szCs w:val="22"/>
        </w:rPr>
      </w:pPr>
      <w:r w:rsidRPr="0073559B">
        <w:rPr>
          <w:sz w:val="22"/>
          <w:szCs w:val="22"/>
        </w:rPr>
        <w:t>Sensibiliser la communauté et les travailleurs (esses) du projet sur les risques des VBG-EAS/HS et leurs conséquences, ainsi que les comportements inacceptables du côté des travailleurs (esses), et le mécanisme m</w:t>
      </w:r>
      <w:r w:rsidR="001363CE">
        <w:rPr>
          <w:sz w:val="22"/>
          <w:szCs w:val="22"/>
        </w:rPr>
        <w:t>is</w:t>
      </w:r>
      <w:r w:rsidRPr="0073559B">
        <w:rPr>
          <w:sz w:val="22"/>
          <w:szCs w:val="22"/>
        </w:rPr>
        <w:t xml:space="preserve"> à disposition par le projet dans le cas qu’un incident arrive. </w:t>
      </w:r>
    </w:p>
    <w:p w:rsidR="0073559B" w:rsidRPr="0073559B" w:rsidRDefault="0073559B" w:rsidP="0073559B">
      <w:pPr>
        <w:ind w:left="357" w:right="-847"/>
        <w:jc w:val="both"/>
        <w:rPr>
          <w:rFonts w:eastAsia="Calibri"/>
          <w:sz w:val="22"/>
          <w:szCs w:val="22"/>
        </w:rPr>
      </w:pPr>
    </w:p>
    <w:p w:rsidR="0042650E" w:rsidRDefault="0042650E" w:rsidP="00157035">
      <w:pPr>
        <w:pStyle w:val="PargrafodaLista"/>
        <w:numPr>
          <w:ilvl w:val="1"/>
          <w:numId w:val="99"/>
        </w:numPr>
        <w:spacing w:after="120" w:line="240" w:lineRule="auto"/>
        <w:ind w:right="-847"/>
        <w:outlineLvl w:val="1"/>
        <w:rPr>
          <w:rFonts w:ascii="Times New Roman" w:hAnsi="Times New Roman"/>
          <w:b/>
          <w:bCs/>
          <w:sz w:val="24"/>
          <w:szCs w:val="24"/>
        </w:rPr>
      </w:pPr>
      <w:bookmarkStart w:id="272" w:name="_Toc73459751"/>
      <w:r>
        <w:rPr>
          <w:rFonts w:ascii="Times New Roman" w:hAnsi="Times New Roman"/>
          <w:b/>
          <w:bCs/>
          <w:sz w:val="24"/>
          <w:szCs w:val="24"/>
        </w:rPr>
        <w:t>Procédure de gestion environnementale et sociale des sous-projets</w:t>
      </w:r>
      <w:bookmarkEnd w:id="272"/>
    </w:p>
    <w:p w:rsidR="001F1D7B" w:rsidRPr="00E26C91" w:rsidRDefault="00AE2BD9" w:rsidP="00345951">
      <w:pPr>
        <w:pStyle w:val="PargrafodaLista"/>
        <w:numPr>
          <w:ilvl w:val="2"/>
          <w:numId w:val="99"/>
        </w:numPr>
        <w:spacing w:after="120" w:line="240" w:lineRule="auto"/>
        <w:ind w:right="-847"/>
        <w:outlineLvl w:val="1"/>
        <w:rPr>
          <w:rFonts w:ascii="Times New Roman" w:hAnsi="Times New Roman"/>
          <w:b/>
          <w:bCs/>
          <w:sz w:val="24"/>
          <w:szCs w:val="24"/>
        </w:rPr>
      </w:pPr>
      <w:bookmarkStart w:id="273" w:name="_Toc73459752"/>
      <w:r w:rsidRPr="00A05698">
        <w:rPr>
          <w:rFonts w:ascii="Times New Roman" w:hAnsi="Times New Roman"/>
          <w:b/>
          <w:bCs/>
          <w:sz w:val="24"/>
          <w:szCs w:val="24"/>
        </w:rPr>
        <w:t xml:space="preserve">Le processus et les étapes de sélection environnementale et sociale des </w:t>
      </w:r>
      <w:r w:rsidR="00F17C9D" w:rsidRPr="00A05698">
        <w:rPr>
          <w:rFonts w:ascii="Times New Roman" w:hAnsi="Times New Roman"/>
          <w:b/>
          <w:bCs/>
          <w:sz w:val="24"/>
          <w:szCs w:val="24"/>
        </w:rPr>
        <w:t>activités PUSA</w:t>
      </w:r>
      <w:bookmarkEnd w:id="273"/>
    </w:p>
    <w:p w:rsidR="00F17C9D" w:rsidRPr="00A05698" w:rsidRDefault="00035931" w:rsidP="00E26C91">
      <w:pPr>
        <w:ind w:left="-284" w:right="-851"/>
        <w:jc w:val="both"/>
      </w:pPr>
      <w:r w:rsidRPr="00A05698">
        <w:t>Comme annoncé dans la section relative au cadre juridique et réglementaire, il sera proposé ci-dessous un processus de sélection environnementale et sociale pour les sous projets é</w:t>
      </w:r>
      <w:r w:rsidR="00C84895" w:rsidRPr="00A05698">
        <w:t>ligibles dans le cadre du projet d’urgence de sécurité alimentaire (PUSA)</w:t>
      </w:r>
      <w:r w:rsidRPr="00A05698">
        <w:t xml:space="preserve">. </w:t>
      </w:r>
    </w:p>
    <w:p w:rsidR="00F17C9D" w:rsidRDefault="00035931" w:rsidP="00E26C91">
      <w:pPr>
        <w:ind w:left="-284" w:right="-851"/>
        <w:jc w:val="both"/>
      </w:pPr>
      <w:r w:rsidRPr="00A05698">
        <w:t xml:space="preserve">Le Projet va appuyer la mise en œuvre des sous projets qui seront choisis et validés par les communautés. Dans le processus de tri, l’objectif est d’éliminer les sous projets qui nécessiteraient des interventions compliquées au niveau environnemental et social. </w:t>
      </w:r>
    </w:p>
    <w:p w:rsidR="00F740BB" w:rsidRPr="00A05698" w:rsidRDefault="00035931" w:rsidP="00F17C9D">
      <w:pPr>
        <w:ind w:left="-284" w:right="-851"/>
        <w:jc w:val="both"/>
      </w:pPr>
      <w:r w:rsidRPr="00A05698">
        <w:t>Au total, il s’agit d’aboutir aux sous projets</w:t>
      </w:r>
      <w:r w:rsidR="00F740BB" w:rsidRPr="00A05698">
        <w:t xml:space="preserve"> : </w:t>
      </w:r>
    </w:p>
    <w:p w:rsidR="00F740BB" w:rsidRPr="004D059D" w:rsidRDefault="00035931" w:rsidP="00157035">
      <w:pPr>
        <w:pStyle w:val="PargrafodaLista"/>
        <w:widowControl w:val="0"/>
        <w:numPr>
          <w:ilvl w:val="0"/>
          <w:numId w:val="66"/>
        </w:numPr>
        <w:tabs>
          <w:tab w:val="left" w:pos="220"/>
          <w:tab w:val="left" w:pos="720"/>
        </w:tabs>
        <w:autoSpaceDE w:val="0"/>
        <w:autoSpaceDN w:val="0"/>
        <w:adjustRightInd w:val="0"/>
        <w:spacing w:after="240" w:line="240" w:lineRule="auto"/>
        <w:ind w:right="-847"/>
        <w:rPr>
          <w:rFonts w:ascii="Times New Roman" w:hAnsi="Times New Roman"/>
          <w:color w:val="000000"/>
          <w:sz w:val="22"/>
          <w:szCs w:val="22"/>
          <w:lang w:eastAsia="en-US"/>
        </w:rPr>
      </w:pPr>
      <w:r w:rsidRPr="004D059D">
        <w:rPr>
          <w:rFonts w:ascii="Times New Roman" w:hAnsi="Times New Roman"/>
          <w:color w:val="000000"/>
          <w:sz w:val="22"/>
          <w:szCs w:val="22"/>
          <w:lang w:eastAsia="en-US"/>
        </w:rPr>
        <w:t xml:space="preserve">qui ne déclenchent pas de politique de sauvegarde (donc pas d'impact), ou </w:t>
      </w:r>
    </w:p>
    <w:p w:rsidR="00CA3946" w:rsidRPr="004D059D" w:rsidRDefault="00035931" w:rsidP="00157035">
      <w:pPr>
        <w:pStyle w:val="PargrafodaLista"/>
        <w:widowControl w:val="0"/>
        <w:numPr>
          <w:ilvl w:val="0"/>
          <w:numId w:val="66"/>
        </w:numPr>
        <w:tabs>
          <w:tab w:val="left" w:pos="220"/>
          <w:tab w:val="left" w:pos="720"/>
        </w:tabs>
        <w:autoSpaceDE w:val="0"/>
        <w:autoSpaceDN w:val="0"/>
        <w:adjustRightInd w:val="0"/>
        <w:spacing w:after="240" w:line="240" w:lineRule="auto"/>
        <w:ind w:right="-847"/>
        <w:rPr>
          <w:rFonts w:ascii="Times New Roman" w:hAnsi="Times New Roman"/>
          <w:color w:val="000000"/>
          <w:sz w:val="22"/>
          <w:szCs w:val="22"/>
          <w:lang w:eastAsia="en-US"/>
        </w:rPr>
      </w:pPr>
      <w:r w:rsidRPr="004D059D">
        <w:rPr>
          <w:rFonts w:ascii="Times New Roman" w:hAnsi="Times New Roman"/>
          <w:color w:val="000000"/>
          <w:sz w:val="22"/>
          <w:szCs w:val="22"/>
          <w:lang w:eastAsia="en-US"/>
        </w:rPr>
        <w:t>qui génèrent des impacts jugés "modérés ou mineurs" (dans ces cas-c</w:t>
      </w:r>
      <w:r w:rsidR="00CA3946" w:rsidRPr="004D059D">
        <w:rPr>
          <w:rFonts w:ascii="Times New Roman" w:hAnsi="Times New Roman"/>
          <w:color w:val="000000"/>
          <w:sz w:val="22"/>
          <w:szCs w:val="22"/>
          <w:lang w:eastAsia="en-US"/>
        </w:rPr>
        <w:t xml:space="preserve">i, il ne sera pas nécessaire de </w:t>
      </w:r>
      <w:r w:rsidRPr="004D059D">
        <w:rPr>
          <w:rFonts w:ascii="Times New Roman" w:hAnsi="Times New Roman"/>
          <w:color w:val="000000"/>
          <w:sz w:val="22"/>
          <w:szCs w:val="22"/>
          <w:lang w:eastAsia="en-US"/>
        </w:rPr>
        <w:t>faire une évaluation d'impact complète, mais plutôt un</w:t>
      </w:r>
      <w:r w:rsidR="00AE2496">
        <w:rPr>
          <w:rFonts w:ascii="Times New Roman" w:hAnsi="Times New Roman"/>
          <w:color w:val="000000"/>
          <w:sz w:val="22"/>
          <w:szCs w:val="22"/>
          <w:lang w:eastAsia="en-US"/>
        </w:rPr>
        <w:t xml:space="preserve">e </w:t>
      </w:r>
      <w:r w:rsidR="00AE2496" w:rsidRPr="00AE2496">
        <w:rPr>
          <w:rFonts w:ascii="Times New Roman" w:hAnsi="Times New Roman"/>
          <w:color w:val="000000"/>
          <w:sz w:val="22"/>
          <w:szCs w:val="22"/>
          <w:lang w:eastAsia="en-US"/>
        </w:rPr>
        <w:t>analyse environnementale initiale (AEI)</w:t>
      </w:r>
      <w:r w:rsidRPr="004D059D">
        <w:rPr>
          <w:rFonts w:ascii="Times New Roman" w:hAnsi="Times New Roman"/>
          <w:color w:val="000000"/>
          <w:sz w:val="22"/>
          <w:szCs w:val="22"/>
          <w:lang w:eastAsia="en-US"/>
        </w:rPr>
        <w:t xml:space="preserve">. </w:t>
      </w:r>
    </w:p>
    <w:p w:rsidR="00F17C9D" w:rsidRPr="00A05698" w:rsidRDefault="00035931" w:rsidP="00E26C91">
      <w:pPr>
        <w:ind w:left="-284" w:right="-851"/>
        <w:jc w:val="both"/>
      </w:pPr>
      <w:r w:rsidRPr="00A05698">
        <w:t>Les</w:t>
      </w:r>
      <w:r w:rsidR="00CA3946" w:rsidRPr="00A05698">
        <w:t xml:space="preserve"> différentes activités du PUSA</w:t>
      </w:r>
      <w:r w:rsidRPr="00A05698">
        <w:t>, notamment l</w:t>
      </w:r>
      <w:r w:rsidR="003F795C" w:rsidRPr="00A05698">
        <w:t xml:space="preserve">e </w:t>
      </w:r>
      <w:r w:rsidR="001E6D70" w:rsidRPr="00A05698">
        <w:t>s</w:t>
      </w:r>
      <w:r w:rsidR="003F795C" w:rsidRPr="00A05698">
        <w:t>outien à la production agricole,</w:t>
      </w:r>
      <w:r w:rsidR="00616CCB" w:rsidRPr="00A05698">
        <w:t xml:space="preserve"> le </w:t>
      </w:r>
      <w:r w:rsidR="001E6D70" w:rsidRPr="00A05698">
        <w:t>soutien aux filets de s</w:t>
      </w:r>
      <w:r w:rsidR="00616CCB" w:rsidRPr="00A05698">
        <w:t xml:space="preserve">écurité communautaires (la création d’emploi, la réhabilitation des structures de stockage, l’ouverture de routes d’accès aux zones de production agricole, la construction de marchés locaux, etc.) et </w:t>
      </w:r>
      <w:r w:rsidR="004308D2" w:rsidRPr="00A05698">
        <w:t xml:space="preserve">le </w:t>
      </w:r>
      <w:r w:rsidR="001E6D70" w:rsidRPr="00A05698">
        <w:t>s</w:t>
      </w:r>
      <w:r w:rsidR="00426A3F" w:rsidRPr="00A05698">
        <w:t>outien à l’atténuation des risques</w:t>
      </w:r>
      <w:r w:rsidR="001E6D70" w:rsidRPr="00A05698">
        <w:t xml:space="preserve"> faire l’objet d’une </w:t>
      </w:r>
      <w:r w:rsidR="00DC4229" w:rsidRPr="00A05698">
        <w:t>procédure</w:t>
      </w:r>
      <w:r w:rsidR="001E6D70" w:rsidRPr="00A05698">
        <w:t xml:space="preserve"> de </w:t>
      </w:r>
      <w:r w:rsidR="00DC4229" w:rsidRPr="00A05698">
        <w:t>sélection</w:t>
      </w:r>
      <w:r w:rsidR="001E6D70" w:rsidRPr="00A05698">
        <w:t xml:space="preserve"> environnementale dont les </w:t>
      </w:r>
      <w:r w:rsidR="00DC4229" w:rsidRPr="00A05698">
        <w:t>étapes</w:t>
      </w:r>
      <w:r w:rsidR="001E6D70" w:rsidRPr="00A05698">
        <w:t xml:space="preserve"> majeures sont </w:t>
      </w:r>
      <w:r w:rsidR="00DC4229" w:rsidRPr="00A05698">
        <w:t>déterminées</w:t>
      </w:r>
      <w:r w:rsidR="001E6D70" w:rsidRPr="00A05698">
        <w:t xml:space="preserve"> ci-dessous. </w:t>
      </w:r>
    </w:p>
    <w:p w:rsidR="00C85FD4" w:rsidRPr="00A05698" w:rsidRDefault="001E6D70" w:rsidP="00E26C91">
      <w:pPr>
        <w:ind w:left="-284" w:right="-851"/>
        <w:jc w:val="both"/>
      </w:pPr>
      <w:r w:rsidRPr="00A05698">
        <w:t xml:space="preserve">Les </w:t>
      </w:r>
      <w:r w:rsidR="00DC4229" w:rsidRPr="00A05698">
        <w:t>résultats</w:t>
      </w:r>
      <w:r w:rsidRPr="00A05698">
        <w:t xml:space="preserve"> du processus de </w:t>
      </w:r>
      <w:r w:rsidR="00C85FD4" w:rsidRPr="00A05698">
        <w:t>sélection</w:t>
      </w:r>
      <w:r w:rsidRPr="00A05698">
        <w:t xml:space="preserve"> permettront de </w:t>
      </w:r>
      <w:r w:rsidR="00C85FD4" w:rsidRPr="00A05698">
        <w:t>déterminer</w:t>
      </w:r>
      <w:r w:rsidRPr="00A05698">
        <w:t xml:space="preserve"> les mesures environnementales et sociales </w:t>
      </w:r>
      <w:r w:rsidR="00C85FD4" w:rsidRPr="00A05698">
        <w:t>nécessaires</w:t>
      </w:r>
      <w:r w:rsidR="00A129BA" w:rsidRPr="00A05698">
        <w:t xml:space="preserve"> pour les </w:t>
      </w:r>
      <w:r w:rsidR="00C85FD4" w:rsidRPr="00A05698">
        <w:t>activités</w:t>
      </w:r>
      <w:r w:rsidR="00A129BA" w:rsidRPr="00A05698">
        <w:t xml:space="preserve"> du PUSA</w:t>
      </w:r>
      <w:r w:rsidRPr="00A05698">
        <w:t xml:space="preserve">. </w:t>
      </w:r>
    </w:p>
    <w:p w:rsidR="001E6D70" w:rsidRPr="00A05698" w:rsidRDefault="001E6D70" w:rsidP="00E26C91">
      <w:pPr>
        <w:widowControl w:val="0"/>
        <w:tabs>
          <w:tab w:val="left" w:pos="360"/>
          <w:tab w:val="left" w:pos="720"/>
          <w:tab w:val="left" w:pos="5670"/>
        </w:tabs>
        <w:autoSpaceDE w:val="0"/>
        <w:autoSpaceDN w:val="0"/>
        <w:adjustRightInd w:val="0"/>
        <w:ind w:left="360" w:right="-847" w:hanging="644"/>
      </w:pPr>
      <w:r w:rsidRPr="00A05698">
        <w:t xml:space="preserve">Le processus de </w:t>
      </w:r>
      <w:r w:rsidR="007A45AE" w:rsidRPr="00A05698">
        <w:t>sélection</w:t>
      </w:r>
      <w:r w:rsidRPr="00A05698">
        <w:t xml:space="preserve"> environnementale comporte les </w:t>
      </w:r>
      <w:r w:rsidR="007A45AE" w:rsidRPr="00A05698">
        <w:t>étapes</w:t>
      </w:r>
      <w:r w:rsidRPr="00A05698">
        <w:t xml:space="preserve"> </w:t>
      </w:r>
      <w:r w:rsidR="007A45AE" w:rsidRPr="00A05698">
        <w:t>décrites</w:t>
      </w:r>
      <w:r w:rsidRPr="00A05698">
        <w:t xml:space="preserve"> </w:t>
      </w:r>
      <w:r w:rsidR="007A45AE" w:rsidRPr="00A05698">
        <w:t>ci-après</w:t>
      </w:r>
      <w:r w:rsidRPr="00A05698">
        <w:t>.</w:t>
      </w:r>
    </w:p>
    <w:p w:rsidR="00C85FD4" w:rsidRPr="00A05698" w:rsidRDefault="00C85FD4" w:rsidP="00C85FD4">
      <w:pPr>
        <w:widowControl w:val="0"/>
        <w:tabs>
          <w:tab w:val="left" w:pos="220"/>
          <w:tab w:val="left" w:pos="720"/>
          <w:tab w:val="left" w:pos="5670"/>
        </w:tabs>
        <w:autoSpaceDE w:val="0"/>
        <w:autoSpaceDN w:val="0"/>
        <w:adjustRightInd w:val="0"/>
        <w:ind w:left="360" w:right="-847"/>
      </w:pPr>
    </w:p>
    <w:p w:rsidR="001E5ED0" w:rsidRPr="00A05698" w:rsidRDefault="00C14147" w:rsidP="00157035">
      <w:pPr>
        <w:pStyle w:val="PargrafodaLista"/>
        <w:widowControl w:val="0"/>
        <w:numPr>
          <w:ilvl w:val="0"/>
          <w:numId w:val="110"/>
        </w:numPr>
        <w:tabs>
          <w:tab w:val="left" w:pos="220"/>
          <w:tab w:val="left" w:pos="720"/>
        </w:tabs>
        <w:autoSpaceDE w:val="0"/>
        <w:autoSpaceDN w:val="0"/>
        <w:adjustRightInd w:val="0"/>
        <w:spacing w:after="240"/>
        <w:ind w:right="-847"/>
        <w:rPr>
          <w:rFonts w:ascii="Times New Roman" w:hAnsi="Times New Roman"/>
          <w:color w:val="000000"/>
          <w:sz w:val="24"/>
          <w:szCs w:val="24"/>
          <w:u w:val="single"/>
          <w:lang w:eastAsia="en-US"/>
        </w:rPr>
      </w:pPr>
      <w:r w:rsidRPr="00A05698">
        <w:rPr>
          <w:rFonts w:ascii="Times New Roman" w:hAnsi="Times New Roman"/>
          <w:i/>
          <w:iCs/>
          <w:color w:val="000000"/>
          <w:sz w:val="24"/>
          <w:szCs w:val="24"/>
          <w:u w:val="single"/>
          <w:lang w:eastAsia="en-US"/>
        </w:rPr>
        <w:t xml:space="preserve">Etape 1 : Remplissage du formulaire de sélection environnementale et sociale des </w:t>
      </w:r>
      <w:r w:rsidR="00BA3A20">
        <w:rPr>
          <w:rFonts w:ascii="Times New Roman" w:hAnsi="Times New Roman"/>
          <w:i/>
          <w:iCs/>
          <w:color w:val="000000"/>
          <w:sz w:val="24"/>
          <w:szCs w:val="24"/>
          <w:u w:val="single"/>
          <w:lang w:eastAsia="en-US"/>
        </w:rPr>
        <w:t>sous</w:t>
      </w:r>
      <w:r w:rsidRPr="00A05698">
        <w:rPr>
          <w:rFonts w:ascii="Times New Roman" w:hAnsi="Times New Roman"/>
          <w:i/>
          <w:iCs/>
          <w:color w:val="000000"/>
          <w:sz w:val="24"/>
          <w:szCs w:val="24"/>
          <w:u w:val="single"/>
          <w:lang w:eastAsia="en-US"/>
        </w:rPr>
        <w:t xml:space="preserve">-projets </w:t>
      </w:r>
    </w:p>
    <w:p w:rsidR="002F0D6B" w:rsidRPr="00A05698" w:rsidRDefault="00C14147" w:rsidP="00E26C91">
      <w:pPr>
        <w:ind w:left="-284" w:right="-851"/>
        <w:jc w:val="both"/>
      </w:pPr>
      <w:r w:rsidRPr="00A05698">
        <w:t>Le remplissage du formulaire initi</w:t>
      </w:r>
      <w:r w:rsidR="00A40FC8" w:rsidRPr="00A05698">
        <w:t xml:space="preserve">al de sélection </w:t>
      </w:r>
      <w:r w:rsidR="00687D73">
        <w:t>(annexe</w:t>
      </w:r>
      <w:r w:rsidR="00226698">
        <w:t> n°</w:t>
      </w:r>
      <w:r w:rsidR="00DB36C8">
        <w:t>2</w:t>
      </w:r>
      <w:r w:rsidR="00226698">
        <w:t>)</w:t>
      </w:r>
      <w:r w:rsidR="00DB36C8">
        <w:t xml:space="preserve"> </w:t>
      </w:r>
      <w:r w:rsidRPr="00A05698">
        <w:t>et de la liste de contrôle environnemental et social</w:t>
      </w:r>
      <w:r w:rsidR="00DB36C8">
        <w:t xml:space="preserve"> (annexe n°1</w:t>
      </w:r>
      <w:r w:rsidR="0068286B">
        <w:t xml:space="preserve">) </w:t>
      </w:r>
      <w:r w:rsidR="0068286B" w:rsidRPr="00A05698">
        <w:t>sera</w:t>
      </w:r>
      <w:r w:rsidRPr="00A05698">
        <w:t xml:space="preserve"> effectué, au niveau local par les démembrements locaux des ministères impliqués dans la mise en œuvre du Projet, en rapport avec les communautés. Ces formulaires seront transmis à l’UCP</w:t>
      </w:r>
      <w:r w:rsidR="00DB36C8">
        <w:t xml:space="preserve">par AAAC </w:t>
      </w:r>
      <w:r w:rsidRPr="00A05698">
        <w:t xml:space="preserve">pour validation. </w:t>
      </w:r>
    </w:p>
    <w:p w:rsidR="007B7BE4" w:rsidRPr="00A05698" w:rsidRDefault="00C14147" w:rsidP="001E5ED0">
      <w:pPr>
        <w:ind w:left="-284" w:right="-851"/>
        <w:jc w:val="both"/>
      </w:pPr>
      <w:r w:rsidRPr="00A05698">
        <w:t>Dans ce processus, les collectivités et les services techniques déconcentrés (Agriculture, Eaux et Forêts), prendront une part active dans la collecte et l’analyse de l’information. Pour effectuer cet exercice de sélection initiale, il sera nécessaire de renforcer les capacités de ces acteurs locaux sur les aspects environnementaux et sociaux des activités éligibles au Projet. Un Point Focal Environnement (PFE) sera désigné à cet effet dans chaque service régional impliqué pour s'intéresser exclusivement aux questions environnementales et sociales.</w:t>
      </w:r>
    </w:p>
    <w:p w:rsidR="002F0D6B" w:rsidRPr="00A05698" w:rsidRDefault="002F0D6B" w:rsidP="001E5ED0">
      <w:pPr>
        <w:ind w:left="-284" w:right="-851"/>
        <w:jc w:val="both"/>
      </w:pPr>
    </w:p>
    <w:p w:rsidR="00AA508A" w:rsidRPr="00A05698" w:rsidRDefault="00C14147" w:rsidP="00157035">
      <w:pPr>
        <w:pStyle w:val="PargrafodaLista"/>
        <w:widowControl w:val="0"/>
        <w:numPr>
          <w:ilvl w:val="0"/>
          <w:numId w:val="110"/>
        </w:numPr>
        <w:tabs>
          <w:tab w:val="left" w:pos="220"/>
          <w:tab w:val="left" w:pos="720"/>
        </w:tabs>
        <w:autoSpaceDE w:val="0"/>
        <w:autoSpaceDN w:val="0"/>
        <w:adjustRightInd w:val="0"/>
        <w:spacing w:after="240"/>
        <w:ind w:right="-847"/>
        <w:rPr>
          <w:rFonts w:ascii="Times New Roman" w:hAnsi="Times New Roman"/>
          <w:i/>
          <w:iCs/>
          <w:color w:val="000000"/>
          <w:sz w:val="24"/>
          <w:szCs w:val="24"/>
          <w:u w:val="single"/>
          <w:lang w:eastAsia="en-US"/>
        </w:rPr>
      </w:pPr>
      <w:r w:rsidRPr="00A05698">
        <w:rPr>
          <w:rFonts w:ascii="Times New Roman" w:hAnsi="Times New Roman"/>
          <w:i/>
          <w:iCs/>
          <w:color w:val="000000"/>
          <w:sz w:val="24"/>
          <w:szCs w:val="24"/>
          <w:u w:val="single"/>
          <w:lang w:eastAsia="en-US"/>
        </w:rPr>
        <w:t xml:space="preserve">Etape 2 : Validation de la sélection et classification environnementale et sociale des </w:t>
      </w:r>
      <w:r w:rsidR="00BA3A20">
        <w:rPr>
          <w:rFonts w:ascii="Times New Roman" w:hAnsi="Times New Roman"/>
          <w:i/>
          <w:iCs/>
          <w:color w:val="000000"/>
          <w:sz w:val="24"/>
          <w:szCs w:val="24"/>
          <w:u w:val="single"/>
          <w:lang w:eastAsia="en-US"/>
        </w:rPr>
        <w:t>sous</w:t>
      </w:r>
      <w:r w:rsidRPr="00A05698">
        <w:rPr>
          <w:rFonts w:ascii="Times New Roman" w:hAnsi="Times New Roman"/>
          <w:i/>
          <w:iCs/>
          <w:color w:val="000000"/>
          <w:sz w:val="24"/>
          <w:szCs w:val="24"/>
          <w:u w:val="single"/>
          <w:lang w:eastAsia="en-US"/>
        </w:rPr>
        <w:t xml:space="preserve">- projets </w:t>
      </w:r>
    </w:p>
    <w:p w:rsidR="00B8449D" w:rsidRDefault="0027418C" w:rsidP="008371D1">
      <w:pPr>
        <w:ind w:left="-284" w:right="-851"/>
        <w:jc w:val="both"/>
      </w:pPr>
      <w:r w:rsidRPr="0027418C">
        <w:t>Après avoir identifié et défini un sous projet</w:t>
      </w:r>
      <w:r w:rsidR="00DB36C8">
        <w:t xml:space="preserve"> </w:t>
      </w:r>
      <w:r w:rsidR="00DB36C8" w:rsidRPr="00A05698">
        <w:t>par les démembrements locaux des ministères impliqués dans la mise en œuvre du Projet</w:t>
      </w:r>
      <w:r w:rsidR="00DB36C8">
        <w:t xml:space="preserve"> (AAAC, DGA, </w:t>
      </w:r>
      <w:r w:rsidR="00545F18">
        <w:t>etc.</w:t>
      </w:r>
      <w:r w:rsidR="00DB36C8">
        <w:t>)</w:t>
      </w:r>
      <w:r w:rsidRPr="0027418C">
        <w:t xml:space="preserve">, le </w:t>
      </w:r>
      <w:r w:rsidR="00A57DCB" w:rsidRPr="0027418C">
        <w:t>SSE</w:t>
      </w:r>
      <w:r w:rsidR="00A57DCB">
        <w:t>S</w:t>
      </w:r>
      <w:r w:rsidR="00A57DCB" w:rsidRPr="0027418C">
        <w:t xml:space="preserve"> de</w:t>
      </w:r>
      <w:r w:rsidRPr="0027418C">
        <w:t xml:space="preserve"> l’UCP du </w:t>
      </w:r>
      <w:r w:rsidR="00B8449D">
        <w:t>Projet PUSA</w:t>
      </w:r>
      <w:r w:rsidRPr="0027418C">
        <w:t xml:space="preserve"> prépareront un mémoire descriptif et justificatif du projet. Sur cette base, ils</w:t>
      </w:r>
      <w:r w:rsidR="00B8449D">
        <w:t xml:space="preserve"> effectueront la classification </w:t>
      </w:r>
      <w:r w:rsidRPr="0027418C">
        <w:t xml:space="preserve">environnementale et sociale de l’activité à réaliser. </w:t>
      </w:r>
    </w:p>
    <w:p w:rsidR="00E22F70" w:rsidRDefault="0027418C" w:rsidP="008371D1">
      <w:pPr>
        <w:ind w:left="-284" w:right="-851"/>
        <w:jc w:val="both"/>
      </w:pPr>
      <w:r w:rsidRPr="0027418C">
        <w:t xml:space="preserve">La première étape du processus de classification porte sur le classement de l’activité en question, pour pouvoir apprécier ses effets environnementaux et sociaux en tenant compte de la sensibilité du milieu d’accueil. Pour cela, il a été conçu un formulaire initial de </w:t>
      </w:r>
      <w:r w:rsidRPr="003D296E">
        <w:t xml:space="preserve">sélection (Annexe </w:t>
      </w:r>
      <w:r w:rsidR="003D296E" w:rsidRPr="008371D1">
        <w:t>2</w:t>
      </w:r>
      <w:r w:rsidRPr="003D296E">
        <w:t>) du présent CGES qui permettra de définir les niveaux de risques et d’impacts environnementaux et sociaux</w:t>
      </w:r>
      <w:r w:rsidRPr="0027418C">
        <w:t xml:space="preserve"> de chaque sous projet.</w:t>
      </w:r>
    </w:p>
    <w:p w:rsidR="00E22F70" w:rsidRDefault="0027418C" w:rsidP="008371D1">
      <w:pPr>
        <w:ind w:left="-284" w:right="-851"/>
        <w:jc w:val="both"/>
      </w:pPr>
      <w:r w:rsidRPr="0027418C">
        <w:t xml:space="preserve"> </w:t>
      </w:r>
    </w:p>
    <w:p w:rsidR="001409DB" w:rsidRDefault="0027418C" w:rsidP="008371D1">
      <w:pPr>
        <w:ind w:left="-284" w:right="-851"/>
        <w:jc w:val="both"/>
      </w:pPr>
      <w:r w:rsidRPr="0027418C">
        <w:t>Pour être en conformité avec les exigences du Cadre Environnemental et Social de la Banque mondiale</w:t>
      </w:r>
      <w:r w:rsidR="00451826">
        <w:t xml:space="preserve"> </w:t>
      </w:r>
      <w:r w:rsidR="00480EE4">
        <w:t>précisément</w:t>
      </w:r>
      <w:r w:rsidR="00451826">
        <w:t xml:space="preserve"> avec la norme environnementale et sociale N°1</w:t>
      </w:r>
      <w:r w:rsidRPr="0027418C">
        <w:t xml:space="preserve">, il a été suggéré que les activités du Projet susceptibles d'avoir des impacts significatifs directs ou indirects sur l’environnement soient classées en quatre catégories : </w:t>
      </w:r>
    </w:p>
    <w:p w:rsidR="001409DB" w:rsidRDefault="001409DB" w:rsidP="008371D1">
      <w:pPr>
        <w:ind w:left="-284" w:right="-851"/>
        <w:jc w:val="both"/>
      </w:pPr>
    </w:p>
    <w:p w:rsidR="007921A7" w:rsidRDefault="0027418C" w:rsidP="008371D1">
      <w:pPr>
        <w:ind w:left="-284" w:right="-851"/>
        <w:jc w:val="both"/>
      </w:pPr>
      <w:r w:rsidRPr="0027418C">
        <w:t>▪</w:t>
      </w:r>
      <w:r w:rsidR="00635E67" w:rsidRPr="003171E1">
        <w:rPr>
          <w:b/>
        </w:rPr>
        <w:t>Première</w:t>
      </w:r>
      <w:r w:rsidR="0095015F" w:rsidRPr="003171E1">
        <w:rPr>
          <w:b/>
        </w:rPr>
        <w:t xml:space="preserve"> catégorie</w:t>
      </w:r>
      <w:r w:rsidR="00594309" w:rsidRPr="003171E1">
        <w:rPr>
          <w:b/>
        </w:rPr>
        <w:t> :</w:t>
      </w:r>
      <w:r w:rsidRPr="003171E1">
        <w:rPr>
          <w:b/>
        </w:rPr>
        <w:t xml:space="preserve"> Risque </w:t>
      </w:r>
      <w:r w:rsidR="007921A7" w:rsidRPr="003171E1">
        <w:rPr>
          <w:b/>
        </w:rPr>
        <w:t>élevé</w:t>
      </w:r>
      <w:r w:rsidR="007921A7" w:rsidRPr="0027418C">
        <w:t xml:space="preserve"> :</w:t>
      </w:r>
      <w:r w:rsidRPr="0027418C">
        <w:t xml:space="preserve"> les projets sont susceptibles d'avoir des impacts significatifs sur l’environnement. Une étude de l'évaluation des impacts sur l'environnement permettra d'intégrer les considérations environnementales dans l'analyse économique et financière du projet. Cette catégorie exige une évaluation environnementale approfondie assortie d’un Plan de Gestion Environnementale et Sociale (PGES). Par ailleurs, en cas de déplacement physique ou économique, l’EIES/PGES sera complétée par un Plan de réinstallation (PR). </w:t>
      </w:r>
    </w:p>
    <w:p w:rsidR="00F229C6" w:rsidRDefault="00F229C6" w:rsidP="008371D1">
      <w:pPr>
        <w:ind w:left="-284" w:right="-851"/>
        <w:jc w:val="both"/>
      </w:pPr>
    </w:p>
    <w:p w:rsidR="00E90979" w:rsidRPr="008371D1" w:rsidRDefault="0027418C" w:rsidP="008371D1">
      <w:pPr>
        <w:ind w:left="-284" w:right="-851"/>
        <w:jc w:val="both"/>
        <w:rPr>
          <w:i/>
        </w:rPr>
      </w:pPr>
      <w:r w:rsidRPr="008371D1">
        <w:rPr>
          <w:i/>
        </w:rPr>
        <w:t xml:space="preserve">Au titre de la réglementation nationale, ces projets sont soumis à autorisation et nécessitent une étude d’impact approfondie assortie au besoin d’un Plan d’Actions de Réinstallation. De tels projets sont également soumis à la validation en audience publique. </w:t>
      </w:r>
    </w:p>
    <w:p w:rsidR="00E90979" w:rsidRDefault="00E90979" w:rsidP="008371D1">
      <w:pPr>
        <w:ind w:left="-284" w:right="-851"/>
        <w:jc w:val="both"/>
      </w:pPr>
    </w:p>
    <w:p w:rsidR="00BD5DF9" w:rsidRDefault="0027418C" w:rsidP="008371D1">
      <w:pPr>
        <w:ind w:left="-284" w:right="-851"/>
        <w:jc w:val="both"/>
      </w:pPr>
      <w:r w:rsidRPr="0027418C">
        <w:t xml:space="preserve">▪ </w:t>
      </w:r>
      <w:r w:rsidR="0095015F" w:rsidRPr="003171E1">
        <w:rPr>
          <w:b/>
        </w:rPr>
        <w:t xml:space="preserve">Deuxième catégorie : </w:t>
      </w:r>
      <w:r w:rsidRPr="003171E1">
        <w:rPr>
          <w:b/>
        </w:rPr>
        <w:t>Risque substantiel</w:t>
      </w:r>
      <w:r w:rsidRPr="0027418C">
        <w:t xml:space="preserve"> : les projets présentent des impacts et risques environnementaux et sociaux significatifs mais réversibles sur la base de la mise en œuvre mesures d’atténuation et ou d’évitement. Une étude approfondie des impacts sera dès lors nécessaire pour évaluer les impacts et proposer des mesures de gestion. Par ailleurs, en cas de déplacement physique ou économique, l’EIES/PGES sera complétée par un Plan de réinstallation (PR</w:t>
      </w:r>
    </w:p>
    <w:p w:rsidR="00F229C6" w:rsidRDefault="00F229C6" w:rsidP="008371D1">
      <w:pPr>
        <w:ind w:left="-284" w:right="-851"/>
        <w:jc w:val="both"/>
      </w:pPr>
    </w:p>
    <w:p w:rsidR="00F229C6" w:rsidRPr="008371D1" w:rsidRDefault="0027418C" w:rsidP="008371D1">
      <w:pPr>
        <w:ind w:left="-284" w:right="-851"/>
        <w:jc w:val="both"/>
        <w:rPr>
          <w:i/>
        </w:rPr>
      </w:pPr>
      <w:r w:rsidRPr="008371D1">
        <w:rPr>
          <w:i/>
        </w:rPr>
        <w:t xml:space="preserve">Au titre de la réglementation nationale, ces projets sont soumis à autorisation et nécessitent une étude d’impact approfondie assortie au besoin d’un Plan d’Actions de Réinstallation. De tels projets sont également soumis à la validation en audience publique. </w:t>
      </w:r>
    </w:p>
    <w:p w:rsidR="00F229C6" w:rsidRDefault="00F229C6" w:rsidP="008371D1">
      <w:pPr>
        <w:ind w:left="-284" w:right="-851"/>
        <w:jc w:val="both"/>
      </w:pPr>
    </w:p>
    <w:p w:rsidR="00F229C6" w:rsidRDefault="0027418C" w:rsidP="008371D1">
      <w:pPr>
        <w:ind w:left="-284" w:right="-851"/>
        <w:jc w:val="both"/>
      </w:pPr>
      <w:r w:rsidRPr="0027418C">
        <w:t xml:space="preserve">▪ </w:t>
      </w:r>
      <w:r w:rsidR="00635E67" w:rsidRPr="00A32421">
        <w:rPr>
          <w:b/>
        </w:rPr>
        <w:t xml:space="preserve">Troisième catégorie : </w:t>
      </w:r>
      <w:r w:rsidRPr="00A32421">
        <w:rPr>
          <w:b/>
        </w:rPr>
        <w:t>Risque modéré</w:t>
      </w:r>
      <w:r w:rsidRPr="0027418C">
        <w:t xml:space="preserve"> : les projets ont des impacts limités sur l'environnement ou les </w:t>
      </w:r>
      <w:r w:rsidR="00E44EE4" w:rsidRPr="00E44EE4">
        <w:t xml:space="preserve">impacts peuvent être atténués en appliquant des mesures ou des changements dans leur conception ; </w:t>
      </w:r>
    </w:p>
    <w:p w:rsidR="000D4425" w:rsidRDefault="000D4425" w:rsidP="008371D1">
      <w:pPr>
        <w:ind w:left="-284" w:right="-851"/>
        <w:jc w:val="both"/>
      </w:pPr>
    </w:p>
    <w:p w:rsidR="000D4425" w:rsidRPr="008371D1" w:rsidRDefault="00E44EE4" w:rsidP="008371D1">
      <w:pPr>
        <w:ind w:left="-284" w:right="-851"/>
        <w:jc w:val="both"/>
        <w:rPr>
          <w:i/>
        </w:rPr>
      </w:pPr>
      <w:r w:rsidRPr="008371D1">
        <w:rPr>
          <w:i/>
        </w:rPr>
        <w:t xml:space="preserve">Au titre de la réglementation nationale, ces projets font l'objet d'une autorisation suite à l’élaboration et la validation d’une analyse environnementale initiale (AEI) qui sera entreprise avant l’obtention d’un certificat de conformité environnementale. </w:t>
      </w:r>
    </w:p>
    <w:p w:rsidR="000D4425" w:rsidRDefault="000D4425" w:rsidP="008371D1">
      <w:pPr>
        <w:ind w:left="-284" w:right="-851"/>
        <w:jc w:val="both"/>
      </w:pPr>
    </w:p>
    <w:p w:rsidR="00B40F43" w:rsidRDefault="00E44EE4" w:rsidP="008371D1">
      <w:pPr>
        <w:ind w:left="-284" w:right="-851"/>
        <w:jc w:val="both"/>
      </w:pPr>
      <w:r w:rsidRPr="00E44EE4">
        <w:t xml:space="preserve">▪ </w:t>
      </w:r>
      <w:r w:rsidR="00635E67" w:rsidRPr="00A32421">
        <w:rPr>
          <w:b/>
        </w:rPr>
        <w:t xml:space="preserve">Quatrième catégorie : </w:t>
      </w:r>
      <w:r w:rsidRPr="00A32421">
        <w:rPr>
          <w:b/>
        </w:rPr>
        <w:t>Risque faible</w:t>
      </w:r>
      <w:r w:rsidRPr="00E44EE4">
        <w:t xml:space="preserve">. Les projets qui ne nécessitent pas une étude environnementale et sociale. </w:t>
      </w:r>
    </w:p>
    <w:p w:rsidR="00B40F43" w:rsidRDefault="00E44EE4" w:rsidP="008371D1">
      <w:pPr>
        <w:ind w:left="-284" w:right="-851"/>
        <w:jc w:val="both"/>
      </w:pPr>
      <w:r w:rsidRPr="00E44EE4">
        <w:t xml:space="preserve">Cette catégorie est l’équivalent des projets à risque faible au sens de la législation sénégalaise qui exige toutefois qu’ils soient déclarés. </w:t>
      </w:r>
    </w:p>
    <w:p w:rsidR="00B40F43" w:rsidRDefault="00B40F43" w:rsidP="008371D1">
      <w:pPr>
        <w:ind w:left="-284" w:right="-851"/>
        <w:jc w:val="both"/>
      </w:pPr>
    </w:p>
    <w:p w:rsidR="00A54EAD" w:rsidRPr="00A05698" w:rsidRDefault="00A54EAD" w:rsidP="00A54EAD">
      <w:pPr>
        <w:ind w:left="-284" w:right="-851"/>
        <w:jc w:val="both"/>
      </w:pPr>
      <w:r w:rsidRPr="00A05698">
        <w:t xml:space="preserve">Sous ce rapport, les résultats de la sélection devront aboutir </w:t>
      </w:r>
      <w:r w:rsidR="00B14D1C">
        <w:t xml:space="preserve">soit au </w:t>
      </w:r>
      <w:r w:rsidR="00A73BE0" w:rsidRPr="00A32421">
        <w:rPr>
          <w:b/>
        </w:rPr>
        <w:t>Troisième catégorie : Risque modéré</w:t>
      </w:r>
      <w:r w:rsidRPr="00A05698">
        <w:t>. Les activités du Projet nécessiteront un travail environnemental et social suivant : soit l’application de mesures d’atténuation simples, ou la préparation d’un</w:t>
      </w:r>
      <w:r w:rsidR="00A73BE0">
        <w:t>e</w:t>
      </w:r>
      <w:r w:rsidRPr="00A05698">
        <w:t xml:space="preserve"> </w:t>
      </w:r>
      <w:r w:rsidR="00A73BE0">
        <w:t>AEI</w:t>
      </w:r>
      <w:r w:rsidRPr="00A05698">
        <w:t xml:space="preserve">. </w:t>
      </w:r>
    </w:p>
    <w:p w:rsidR="00A54EAD" w:rsidRPr="00A05698" w:rsidRDefault="00A54EAD" w:rsidP="00A54EAD">
      <w:pPr>
        <w:ind w:left="-284" w:right="-851"/>
        <w:jc w:val="both"/>
      </w:pPr>
    </w:p>
    <w:p w:rsidR="00A54EAD" w:rsidRPr="00A05698" w:rsidRDefault="00A54EAD" w:rsidP="00A54EAD">
      <w:pPr>
        <w:ind w:left="-284" w:right="-851"/>
        <w:jc w:val="both"/>
      </w:pPr>
      <w:r w:rsidRPr="00A05698">
        <w:t xml:space="preserve">Après l’analyse des informations contenues dans les résultats de la sélection et après avoir déterminé la bonne catégorie environnementale et sociale, et donc l’ampleur du travail environnemental et social requis, </w:t>
      </w:r>
      <w:r w:rsidR="00BA3155">
        <w:t xml:space="preserve">le SSES </w:t>
      </w:r>
      <w:r w:rsidRPr="00A05698">
        <w:t xml:space="preserve">fera une recommandation pour dire si : (a) un travail environnemental et social ne sera pas nécessaire ; (b) l’application de </w:t>
      </w:r>
      <w:r w:rsidRPr="00A05698" w:rsidDel="00325F20">
        <w:t xml:space="preserve">simples </w:t>
      </w:r>
      <w:r w:rsidRPr="00A05698">
        <w:t>mesures d’atténuation</w:t>
      </w:r>
      <w:r>
        <w:t xml:space="preserve"> ou </w:t>
      </w:r>
      <w:r w:rsidRPr="00A05698">
        <w:t>; (c) un</w:t>
      </w:r>
      <w:r w:rsidR="00D76CF3">
        <w:t xml:space="preserve">e </w:t>
      </w:r>
      <w:r w:rsidR="00941495">
        <w:t>AEI</w:t>
      </w:r>
      <w:r w:rsidRPr="00A05698">
        <w:t xml:space="preserve"> spécifique devra être élaboré</w:t>
      </w:r>
      <w:r w:rsidR="00D241D3">
        <w:t>e</w:t>
      </w:r>
      <w:r w:rsidRPr="00A05698">
        <w:t xml:space="preserve">. </w:t>
      </w:r>
    </w:p>
    <w:p w:rsidR="00F2626B" w:rsidRPr="00A05698" w:rsidRDefault="00F2626B" w:rsidP="008371D1">
      <w:pPr>
        <w:ind w:right="-851"/>
        <w:jc w:val="both"/>
      </w:pPr>
    </w:p>
    <w:p w:rsidR="009C419A" w:rsidRPr="00BA3155" w:rsidRDefault="00E97DA5" w:rsidP="00BA3155">
      <w:pPr>
        <w:pStyle w:val="PargrafodaLista"/>
        <w:numPr>
          <w:ilvl w:val="2"/>
          <w:numId w:val="99"/>
        </w:numPr>
        <w:spacing w:after="120" w:line="240" w:lineRule="auto"/>
        <w:ind w:right="-847"/>
        <w:outlineLvl w:val="1"/>
        <w:rPr>
          <w:rFonts w:ascii="Times New Roman" w:hAnsi="Times New Roman"/>
          <w:b/>
          <w:bCs/>
          <w:sz w:val="24"/>
          <w:szCs w:val="24"/>
        </w:rPr>
      </w:pPr>
      <w:bookmarkStart w:id="274" w:name="_Toc73459753"/>
      <w:r w:rsidRPr="00BA3155">
        <w:rPr>
          <w:rFonts w:ascii="Times New Roman" w:hAnsi="Times New Roman"/>
          <w:b/>
          <w:bCs/>
          <w:sz w:val="24"/>
          <w:szCs w:val="24"/>
        </w:rPr>
        <w:t>Etape 3 : Réalisation du « travail » environnemental et social</w:t>
      </w:r>
      <w:bookmarkEnd w:id="274"/>
    </w:p>
    <w:p w:rsidR="00A73FB0" w:rsidRPr="00A05698" w:rsidRDefault="00E97DA5" w:rsidP="004D059D">
      <w:pPr>
        <w:widowControl w:val="0"/>
        <w:tabs>
          <w:tab w:val="left" w:pos="220"/>
          <w:tab w:val="left" w:pos="720"/>
        </w:tabs>
        <w:autoSpaceDE w:val="0"/>
        <w:autoSpaceDN w:val="0"/>
        <w:adjustRightInd w:val="0"/>
        <w:spacing w:after="240"/>
        <w:ind w:right="-847"/>
        <w:rPr>
          <w:color w:val="000000"/>
          <w:lang w:eastAsia="en-US"/>
        </w:rPr>
      </w:pPr>
      <w:r w:rsidRPr="00A05698">
        <w:rPr>
          <w:color w:val="000000"/>
          <w:lang w:eastAsia="en-US"/>
        </w:rPr>
        <w:t>(I). Cas où un</w:t>
      </w:r>
      <w:r w:rsidR="00031C0F">
        <w:rPr>
          <w:color w:val="000000"/>
          <w:lang w:eastAsia="en-US"/>
        </w:rPr>
        <w:t>e AEI</w:t>
      </w:r>
      <w:r w:rsidRPr="00A05698">
        <w:rPr>
          <w:color w:val="000000"/>
          <w:lang w:eastAsia="en-US"/>
        </w:rPr>
        <w:t xml:space="preserve"> n’est pas nécessaire</w:t>
      </w:r>
      <w:r w:rsidR="00A73FB0" w:rsidRPr="00A05698">
        <w:rPr>
          <w:color w:val="000000"/>
          <w:lang w:eastAsia="en-US"/>
        </w:rPr>
        <w:t> </w:t>
      </w:r>
      <w:r w:rsidR="00A73FB0" w:rsidRPr="00A05698">
        <w:rPr>
          <w:rFonts w:eastAsia="MS Mincho"/>
          <w:color w:val="000000"/>
          <w:lang w:eastAsia="en-US"/>
        </w:rPr>
        <w:t>:</w:t>
      </w:r>
      <w:r w:rsidR="00A73FB0" w:rsidRPr="00A05698">
        <w:t xml:space="preserve"> Dans</w:t>
      </w:r>
      <w:r w:rsidRPr="00A05698">
        <w:t xml:space="preserve"> ces cas, l’Expert Environnementaliste consulte les listes de contrôle des Annexes pour sélectionner les mesures d’atténuation appropriées. </w:t>
      </w:r>
    </w:p>
    <w:p w:rsidR="00E97DA5" w:rsidRPr="00A05698" w:rsidRDefault="00A73FB0" w:rsidP="004D059D">
      <w:pPr>
        <w:widowControl w:val="0"/>
        <w:tabs>
          <w:tab w:val="left" w:pos="220"/>
          <w:tab w:val="left" w:pos="720"/>
        </w:tabs>
        <w:autoSpaceDE w:val="0"/>
        <w:autoSpaceDN w:val="0"/>
        <w:adjustRightInd w:val="0"/>
        <w:spacing w:after="240"/>
        <w:ind w:right="-847"/>
        <w:rPr>
          <w:color w:val="000000"/>
          <w:lang w:eastAsia="en-US"/>
        </w:rPr>
      </w:pPr>
      <w:r w:rsidRPr="00A05698">
        <w:rPr>
          <w:color w:val="000000"/>
          <w:lang w:eastAsia="en-US"/>
        </w:rPr>
        <w:t>(II</w:t>
      </w:r>
      <w:r w:rsidR="00E97DA5" w:rsidRPr="00A05698">
        <w:rPr>
          <w:color w:val="000000"/>
          <w:lang w:eastAsia="en-US"/>
        </w:rPr>
        <w:t>). Cas où un</w:t>
      </w:r>
      <w:r w:rsidR="001C1213">
        <w:rPr>
          <w:color w:val="000000"/>
          <w:lang w:eastAsia="en-US"/>
        </w:rPr>
        <w:t>e AEI</w:t>
      </w:r>
      <w:r w:rsidR="00E97DA5" w:rsidRPr="00A05698">
        <w:rPr>
          <w:color w:val="000000"/>
          <w:lang w:eastAsia="en-US"/>
        </w:rPr>
        <w:t xml:space="preserve"> est </w:t>
      </w:r>
      <w:r w:rsidR="00E97DA5" w:rsidRPr="00BA3155">
        <w:rPr>
          <w:color w:val="000000"/>
          <w:lang w:eastAsia="en-US"/>
        </w:rPr>
        <w:t>nécessaire</w:t>
      </w:r>
      <w:r w:rsidRPr="00A05698">
        <w:rPr>
          <w:color w:val="000000"/>
          <w:lang w:eastAsia="en-US"/>
        </w:rPr>
        <w:t> </w:t>
      </w:r>
      <w:r w:rsidRPr="00A05698">
        <w:rPr>
          <w:rFonts w:eastAsia="MS Mincho"/>
          <w:color w:val="000000"/>
          <w:lang w:eastAsia="en-US"/>
        </w:rPr>
        <w:t>:</w:t>
      </w:r>
      <w:r w:rsidRPr="00A05698">
        <w:rPr>
          <w:color w:val="000000"/>
          <w:lang w:eastAsia="en-US"/>
        </w:rPr>
        <w:t xml:space="preserve"> L</w:t>
      </w:r>
      <w:r w:rsidR="00531D7E">
        <w:rPr>
          <w:color w:val="000000"/>
          <w:lang w:eastAsia="en-US"/>
        </w:rPr>
        <w:t>e SSES</w:t>
      </w:r>
      <w:r w:rsidR="00E97DA5" w:rsidRPr="00A05698">
        <w:rPr>
          <w:color w:val="000000"/>
          <w:lang w:eastAsia="en-US"/>
        </w:rPr>
        <w:t xml:space="preserve"> effectuera les activités suivantes : </w:t>
      </w:r>
    </w:p>
    <w:p w:rsidR="00E97DA5" w:rsidRPr="004D059D" w:rsidRDefault="00E97DA5" w:rsidP="00157035">
      <w:pPr>
        <w:widowControl w:val="0"/>
        <w:numPr>
          <w:ilvl w:val="1"/>
          <w:numId w:val="111"/>
        </w:numPr>
        <w:tabs>
          <w:tab w:val="left" w:pos="940"/>
          <w:tab w:val="left" w:pos="1440"/>
        </w:tabs>
        <w:autoSpaceDE w:val="0"/>
        <w:autoSpaceDN w:val="0"/>
        <w:adjustRightInd w:val="0"/>
        <w:ind w:left="426" w:right="-847"/>
        <w:rPr>
          <w:color w:val="000000"/>
          <w:sz w:val="22"/>
          <w:szCs w:val="22"/>
          <w:lang w:eastAsia="en-US"/>
        </w:rPr>
      </w:pPr>
      <w:r w:rsidRPr="004D059D">
        <w:rPr>
          <w:color w:val="000000"/>
          <w:sz w:val="22"/>
          <w:szCs w:val="22"/>
          <w:lang w:eastAsia="en-US"/>
        </w:rPr>
        <w:t xml:space="preserve">préparation des TDR pour </w:t>
      </w:r>
      <w:r w:rsidRPr="00BA3155">
        <w:rPr>
          <w:color w:val="000000"/>
          <w:sz w:val="22"/>
          <w:szCs w:val="22"/>
          <w:lang w:eastAsia="en-US"/>
        </w:rPr>
        <w:t xml:space="preserve">le </w:t>
      </w:r>
      <w:r w:rsidR="00A73BE0" w:rsidRPr="00531D7E">
        <w:rPr>
          <w:color w:val="000000"/>
          <w:sz w:val="22"/>
          <w:szCs w:val="22"/>
          <w:lang w:eastAsia="en-US"/>
        </w:rPr>
        <w:t>AEI</w:t>
      </w:r>
      <w:r w:rsidRPr="00531D7E">
        <w:rPr>
          <w:color w:val="000000"/>
          <w:sz w:val="22"/>
          <w:szCs w:val="22"/>
          <w:lang w:eastAsia="en-US"/>
        </w:rPr>
        <w:t xml:space="preserve"> (voir annexe TDR type pour élaborer un </w:t>
      </w:r>
      <w:r w:rsidR="00A73BE0" w:rsidRPr="00531D7E">
        <w:rPr>
          <w:color w:val="000000"/>
          <w:sz w:val="22"/>
          <w:szCs w:val="22"/>
          <w:lang w:eastAsia="en-US"/>
        </w:rPr>
        <w:t>AEI</w:t>
      </w:r>
      <w:r w:rsidRPr="00531D7E">
        <w:rPr>
          <w:color w:val="000000"/>
          <w:sz w:val="22"/>
          <w:szCs w:val="22"/>
          <w:lang w:eastAsia="en-US"/>
        </w:rPr>
        <w:t>)</w:t>
      </w:r>
      <w:r w:rsidRPr="004D059D">
        <w:rPr>
          <w:color w:val="000000"/>
          <w:sz w:val="22"/>
          <w:szCs w:val="22"/>
          <w:lang w:eastAsia="en-US"/>
        </w:rPr>
        <w:t xml:space="preserve"> </w:t>
      </w:r>
      <w:r w:rsidR="004C1BEB">
        <w:rPr>
          <w:color w:val="000000"/>
          <w:sz w:val="22"/>
          <w:szCs w:val="22"/>
          <w:lang w:eastAsia="en-US"/>
        </w:rPr>
        <w:t>et les soumettre à l’AAAC et à la Banque mondiale pour approbation</w:t>
      </w:r>
      <w:r w:rsidRPr="004D059D">
        <w:rPr>
          <w:color w:val="000000"/>
          <w:sz w:val="22"/>
          <w:szCs w:val="22"/>
          <w:lang w:eastAsia="en-US"/>
        </w:rPr>
        <w:t xml:space="preserve">; </w:t>
      </w:r>
    </w:p>
    <w:p w:rsidR="00E97DA5" w:rsidRPr="004D059D" w:rsidRDefault="00E97DA5" w:rsidP="00157035">
      <w:pPr>
        <w:widowControl w:val="0"/>
        <w:numPr>
          <w:ilvl w:val="1"/>
          <w:numId w:val="111"/>
        </w:numPr>
        <w:tabs>
          <w:tab w:val="left" w:pos="940"/>
          <w:tab w:val="left" w:pos="1440"/>
        </w:tabs>
        <w:autoSpaceDE w:val="0"/>
        <w:autoSpaceDN w:val="0"/>
        <w:adjustRightInd w:val="0"/>
        <w:ind w:left="426" w:right="-847"/>
        <w:rPr>
          <w:color w:val="000000"/>
          <w:sz w:val="22"/>
          <w:szCs w:val="22"/>
          <w:lang w:eastAsia="en-US"/>
        </w:rPr>
      </w:pPr>
      <w:r w:rsidRPr="004D059D">
        <w:rPr>
          <w:color w:val="000000"/>
          <w:sz w:val="22"/>
          <w:szCs w:val="22"/>
          <w:lang w:eastAsia="en-US"/>
        </w:rPr>
        <w:t xml:space="preserve">recrutement des consultants agréés pour effectuer </w:t>
      </w:r>
      <w:r w:rsidRPr="00BA3155">
        <w:rPr>
          <w:color w:val="000000"/>
          <w:sz w:val="22"/>
          <w:szCs w:val="22"/>
          <w:lang w:eastAsia="en-US"/>
        </w:rPr>
        <w:t>l</w:t>
      </w:r>
      <w:r w:rsidR="00531D7E">
        <w:rPr>
          <w:color w:val="000000"/>
          <w:sz w:val="22"/>
          <w:szCs w:val="22"/>
          <w:lang w:eastAsia="en-US"/>
        </w:rPr>
        <w:t>’</w:t>
      </w:r>
      <w:r w:rsidRPr="00BA3155">
        <w:rPr>
          <w:color w:val="000000"/>
          <w:sz w:val="22"/>
          <w:szCs w:val="22"/>
          <w:lang w:eastAsia="en-US"/>
        </w:rPr>
        <w:t xml:space="preserve"> </w:t>
      </w:r>
      <w:r w:rsidR="00A73BE0" w:rsidRPr="00531D7E">
        <w:rPr>
          <w:color w:val="000000"/>
          <w:sz w:val="22"/>
          <w:szCs w:val="22"/>
          <w:lang w:eastAsia="en-US"/>
        </w:rPr>
        <w:t>AEI</w:t>
      </w:r>
      <w:r w:rsidRPr="00BA3155">
        <w:rPr>
          <w:color w:val="000000"/>
          <w:sz w:val="22"/>
          <w:szCs w:val="22"/>
          <w:lang w:eastAsia="en-US"/>
        </w:rPr>
        <w:t xml:space="preserve"> ;</w:t>
      </w:r>
      <w:r w:rsidRPr="004D059D">
        <w:rPr>
          <w:color w:val="000000"/>
          <w:sz w:val="22"/>
          <w:szCs w:val="22"/>
          <w:lang w:eastAsia="en-US"/>
        </w:rPr>
        <w:t xml:space="preserve"> </w:t>
      </w:r>
    </w:p>
    <w:p w:rsidR="00E97DA5" w:rsidRPr="004D059D" w:rsidRDefault="00E97DA5" w:rsidP="00157035">
      <w:pPr>
        <w:widowControl w:val="0"/>
        <w:numPr>
          <w:ilvl w:val="1"/>
          <w:numId w:val="111"/>
        </w:numPr>
        <w:tabs>
          <w:tab w:val="left" w:pos="940"/>
          <w:tab w:val="left" w:pos="1440"/>
        </w:tabs>
        <w:autoSpaceDE w:val="0"/>
        <w:autoSpaceDN w:val="0"/>
        <w:adjustRightInd w:val="0"/>
        <w:ind w:left="426" w:right="-847"/>
        <w:rPr>
          <w:color w:val="000000"/>
          <w:sz w:val="22"/>
          <w:szCs w:val="22"/>
          <w:lang w:eastAsia="en-US"/>
        </w:rPr>
      </w:pPr>
      <w:r w:rsidRPr="004D059D">
        <w:rPr>
          <w:color w:val="000000"/>
          <w:sz w:val="22"/>
          <w:szCs w:val="22"/>
          <w:lang w:eastAsia="en-US"/>
        </w:rPr>
        <w:t xml:space="preserve">conduite des consultations publiques conformément aux TDR ; </w:t>
      </w:r>
    </w:p>
    <w:p w:rsidR="00A73FB0" w:rsidRDefault="00E97DA5" w:rsidP="00157035">
      <w:pPr>
        <w:widowControl w:val="0"/>
        <w:numPr>
          <w:ilvl w:val="1"/>
          <w:numId w:val="111"/>
        </w:numPr>
        <w:tabs>
          <w:tab w:val="left" w:pos="940"/>
          <w:tab w:val="left" w:pos="1440"/>
        </w:tabs>
        <w:autoSpaceDE w:val="0"/>
        <w:autoSpaceDN w:val="0"/>
        <w:adjustRightInd w:val="0"/>
        <w:ind w:left="426" w:right="-847"/>
        <w:rPr>
          <w:color w:val="000000"/>
          <w:sz w:val="22"/>
          <w:szCs w:val="22"/>
          <w:lang w:eastAsia="en-US"/>
        </w:rPr>
      </w:pPr>
      <w:r w:rsidRPr="00BA3155">
        <w:rPr>
          <w:color w:val="000000"/>
          <w:sz w:val="22"/>
          <w:szCs w:val="22"/>
          <w:lang w:eastAsia="en-US"/>
        </w:rPr>
        <w:t xml:space="preserve">revue </w:t>
      </w:r>
      <w:r w:rsidRPr="00531D7E">
        <w:rPr>
          <w:color w:val="000000"/>
          <w:sz w:val="22"/>
          <w:szCs w:val="22"/>
          <w:lang w:eastAsia="en-US"/>
        </w:rPr>
        <w:t xml:space="preserve">des </w:t>
      </w:r>
      <w:r w:rsidR="00531D7E">
        <w:rPr>
          <w:color w:val="000000"/>
          <w:sz w:val="22"/>
          <w:szCs w:val="22"/>
          <w:lang w:eastAsia="en-US"/>
        </w:rPr>
        <w:t xml:space="preserve">AEI </w:t>
      </w:r>
      <w:r w:rsidRPr="004D059D">
        <w:rPr>
          <w:color w:val="000000"/>
          <w:sz w:val="22"/>
          <w:szCs w:val="22"/>
          <w:lang w:eastAsia="en-US"/>
        </w:rPr>
        <w:t xml:space="preserve">et soumission à l’AAAC </w:t>
      </w:r>
      <w:r w:rsidR="00E45CCE" w:rsidRPr="004D059D">
        <w:rPr>
          <w:color w:val="000000"/>
          <w:sz w:val="22"/>
          <w:szCs w:val="22"/>
          <w:lang w:eastAsia="en-US"/>
        </w:rPr>
        <w:t xml:space="preserve">et à la Banque mondiale </w:t>
      </w:r>
      <w:r w:rsidRPr="004D059D">
        <w:rPr>
          <w:color w:val="000000"/>
          <w:sz w:val="22"/>
          <w:szCs w:val="22"/>
          <w:lang w:eastAsia="en-US"/>
        </w:rPr>
        <w:t xml:space="preserve">pour </w:t>
      </w:r>
      <w:r w:rsidR="00BD7FC8" w:rsidRPr="004D059D">
        <w:rPr>
          <w:color w:val="000000"/>
          <w:sz w:val="22"/>
          <w:szCs w:val="22"/>
          <w:lang w:eastAsia="en-US"/>
        </w:rPr>
        <w:t>valid</w:t>
      </w:r>
      <w:r w:rsidR="005F19D2" w:rsidRPr="004D059D">
        <w:rPr>
          <w:color w:val="000000"/>
          <w:sz w:val="22"/>
          <w:szCs w:val="22"/>
          <w:lang w:eastAsia="en-US"/>
        </w:rPr>
        <w:t>ation</w:t>
      </w:r>
      <w:r w:rsidRPr="004D059D">
        <w:rPr>
          <w:color w:val="000000"/>
          <w:sz w:val="22"/>
          <w:szCs w:val="22"/>
          <w:lang w:eastAsia="en-US"/>
        </w:rPr>
        <w:t xml:space="preserve">. </w:t>
      </w:r>
    </w:p>
    <w:p w:rsidR="00531D7E" w:rsidRPr="004D059D" w:rsidRDefault="00531D7E" w:rsidP="00531D7E">
      <w:pPr>
        <w:widowControl w:val="0"/>
        <w:tabs>
          <w:tab w:val="left" w:pos="940"/>
          <w:tab w:val="left" w:pos="1440"/>
        </w:tabs>
        <w:autoSpaceDE w:val="0"/>
        <w:autoSpaceDN w:val="0"/>
        <w:adjustRightInd w:val="0"/>
        <w:ind w:left="426" w:right="-847"/>
        <w:rPr>
          <w:color w:val="000000"/>
          <w:sz w:val="22"/>
          <w:szCs w:val="22"/>
          <w:lang w:eastAsia="en-US"/>
        </w:rPr>
      </w:pPr>
    </w:p>
    <w:p w:rsidR="00E97DA5" w:rsidRPr="00A05698" w:rsidRDefault="00E97DA5" w:rsidP="00C62592">
      <w:pPr>
        <w:ind w:left="-284" w:right="-851"/>
        <w:jc w:val="both"/>
      </w:pPr>
      <w:r w:rsidRPr="00A05698">
        <w:t xml:space="preserve"> </w:t>
      </w:r>
      <w:r w:rsidRPr="00BA3155">
        <w:t>L</w:t>
      </w:r>
      <w:r w:rsidR="00A73BE0" w:rsidRPr="00BA3155">
        <w:t>’</w:t>
      </w:r>
      <w:r w:rsidR="00A73BE0" w:rsidRPr="00531D7E">
        <w:t>AEI</w:t>
      </w:r>
      <w:r w:rsidRPr="00A05698">
        <w:t xml:space="preserve"> sera élaboré par des consultants qualifiés qui seront recrutés par l’UCP. </w:t>
      </w:r>
    </w:p>
    <w:p w:rsidR="00C62592" w:rsidRPr="00A05698" w:rsidRDefault="00C62592" w:rsidP="00C62592">
      <w:pPr>
        <w:ind w:left="-284" w:right="-851"/>
        <w:jc w:val="both"/>
      </w:pPr>
    </w:p>
    <w:p w:rsidR="00E82355" w:rsidRPr="00A05698" w:rsidRDefault="00804947" w:rsidP="00C87747">
      <w:pPr>
        <w:pStyle w:val="Primeiroavanodecorpodetexto2"/>
        <w:spacing w:after="0" w:line="240" w:lineRule="auto"/>
        <w:jc w:val="center"/>
        <w:rPr>
          <w:rFonts w:ascii="Times New Roman" w:hAnsi="Times New Roman"/>
          <w:b/>
        </w:rPr>
      </w:pPr>
      <w:bookmarkStart w:id="275" w:name="_Toc73522624"/>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60566C">
        <w:rPr>
          <w:rFonts w:ascii="Times New Roman" w:hAnsi="Times New Roman"/>
          <w:b/>
          <w:noProof/>
        </w:rPr>
        <w:t>18</w:t>
      </w:r>
      <w:r w:rsidRPr="00A05698">
        <w:rPr>
          <w:rFonts w:ascii="Times New Roman" w:hAnsi="Times New Roman"/>
          <w:b/>
        </w:rPr>
        <w:fldChar w:fldCharType="end"/>
      </w:r>
      <w:r w:rsidR="00E82355" w:rsidRPr="00A05698">
        <w:rPr>
          <w:rFonts w:ascii="Times New Roman" w:hAnsi="Times New Roman"/>
          <w:b/>
        </w:rPr>
        <w:t xml:space="preserve">: Procédures pour les micro-projets nécessitant </w:t>
      </w:r>
      <w:r w:rsidR="00E82355" w:rsidRPr="00531D7E">
        <w:rPr>
          <w:rFonts w:ascii="Times New Roman" w:hAnsi="Times New Roman"/>
          <w:b/>
        </w:rPr>
        <w:t>un</w:t>
      </w:r>
      <w:r w:rsidR="00A73BE0" w:rsidRPr="00531D7E">
        <w:rPr>
          <w:rFonts w:ascii="Times New Roman" w:hAnsi="Times New Roman"/>
          <w:b/>
        </w:rPr>
        <w:t>e</w:t>
      </w:r>
      <w:r w:rsidR="00E82355" w:rsidRPr="00531D7E">
        <w:rPr>
          <w:rFonts w:ascii="Times New Roman" w:hAnsi="Times New Roman"/>
          <w:b/>
        </w:rPr>
        <w:t xml:space="preserve"> </w:t>
      </w:r>
      <w:r w:rsidR="00A73BE0" w:rsidRPr="00531D7E">
        <w:rPr>
          <w:rFonts w:ascii="Times New Roman" w:hAnsi="Times New Roman"/>
          <w:b/>
        </w:rPr>
        <w:t>AEI</w:t>
      </w:r>
      <w:bookmarkEnd w:id="275"/>
      <w:r w:rsidR="00E82355" w:rsidRPr="00A05698">
        <w:rPr>
          <w:rFonts w:ascii="Times New Roman" w:hAnsi="Times New Roman"/>
          <w:b/>
        </w:rPr>
        <w:t xml:space="preserve"> </w:t>
      </w:r>
    </w:p>
    <w:tbl>
      <w:tblPr>
        <w:tblW w:w="10173" w:type="dxa"/>
        <w:tblInd w:w="-118" w:type="dxa"/>
        <w:tblBorders>
          <w:top w:val="nil"/>
          <w:left w:val="nil"/>
          <w:right w:val="nil"/>
        </w:tblBorders>
        <w:tblLook w:val="0000" w:firstRow="0" w:lastRow="0" w:firstColumn="0" w:lastColumn="0" w:noHBand="0" w:noVBand="0"/>
      </w:tblPr>
      <w:tblGrid>
        <w:gridCol w:w="2022"/>
        <w:gridCol w:w="8151"/>
      </w:tblGrid>
      <w:tr w:rsidR="006C792F" w:rsidRPr="004D059D" w:rsidTr="006C792F">
        <w:tc>
          <w:tcPr>
            <w:tcW w:w="2022"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20" w:type="nil"/>
              <w:left w:w="20" w:type="nil"/>
              <w:bottom w:w="20" w:type="nil"/>
              <w:right w:w="20" w:type="nil"/>
            </w:tcMar>
            <w:vAlign w:val="center"/>
          </w:tcPr>
          <w:p w:rsidR="00E82355" w:rsidRPr="004D059D" w:rsidRDefault="00E82355" w:rsidP="006C792F">
            <w:pPr>
              <w:widowControl w:val="0"/>
              <w:autoSpaceDE w:val="0"/>
              <w:autoSpaceDN w:val="0"/>
              <w:adjustRightInd w:val="0"/>
              <w:jc w:val="center"/>
              <w:rPr>
                <w:color w:val="000000"/>
                <w:sz w:val="21"/>
                <w:szCs w:val="21"/>
                <w:lang w:eastAsia="en-US"/>
              </w:rPr>
            </w:pPr>
            <w:r w:rsidRPr="004D059D">
              <w:rPr>
                <w:noProof/>
                <w:color w:val="000000"/>
                <w:sz w:val="21"/>
                <w:szCs w:val="21"/>
                <w:lang w:val="pt-PT" w:eastAsia="pt-PT"/>
              </w:rPr>
              <w:drawing>
                <wp:inline distT="0" distB="0" distL="0" distR="0" wp14:anchorId="2D64662C" wp14:editId="7FB07960">
                  <wp:extent cx="6350" cy="63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4D059D">
              <w:rPr>
                <w:b/>
                <w:bCs/>
                <w:color w:val="000000"/>
                <w:sz w:val="21"/>
                <w:szCs w:val="21"/>
                <w:lang w:eastAsia="en-US"/>
              </w:rPr>
              <w:t>Etapes</w:t>
            </w:r>
          </w:p>
        </w:tc>
        <w:tc>
          <w:tcPr>
            <w:tcW w:w="815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20" w:type="nil"/>
              <w:left w:w="20" w:type="nil"/>
              <w:bottom w:w="20" w:type="nil"/>
              <w:right w:w="20" w:type="nil"/>
            </w:tcMar>
            <w:vAlign w:val="center"/>
          </w:tcPr>
          <w:p w:rsidR="00E82355" w:rsidRPr="004D059D" w:rsidRDefault="00E82355" w:rsidP="006C792F">
            <w:pPr>
              <w:widowControl w:val="0"/>
              <w:autoSpaceDE w:val="0"/>
              <w:autoSpaceDN w:val="0"/>
              <w:adjustRightInd w:val="0"/>
              <w:jc w:val="center"/>
              <w:rPr>
                <w:color w:val="000000"/>
                <w:sz w:val="21"/>
                <w:szCs w:val="21"/>
                <w:lang w:eastAsia="en-US"/>
              </w:rPr>
            </w:pPr>
            <w:r w:rsidRPr="004D059D">
              <w:rPr>
                <w:noProof/>
                <w:color w:val="000000"/>
                <w:sz w:val="21"/>
                <w:szCs w:val="21"/>
                <w:lang w:val="pt-PT" w:eastAsia="pt-PT"/>
              </w:rPr>
              <w:drawing>
                <wp:inline distT="0" distB="0" distL="0" distR="0" wp14:anchorId="302D5E73" wp14:editId="578D1DF2">
                  <wp:extent cx="6350" cy="63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4D059D">
              <w:rPr>
                <w:b/>
                <w:bCs/>
                <w:color w:val="000000"/>
                <w:sz w:val="21"/>
                <w:szCs w:val="21"/>
                <w:lang w:eastAsia="en-US"/>
              </w:rPr>
              <w:t>Activités</w:t>
            </w:r>
          </w:p>
        </w:tc>
      </w:tr>
      <w:tr w:rsidR="00E82355" w:rsidRPr="004D059D" w:rsidTr="006C792F">
        <w:tblPrEx>
          <w:tblBorders>
            <w:top w:val="none" w:sz="0" w:space="0" w:color="auto"/>
          </w:tblBorders>
        </w:tblPrEx>
        <w:tc>
          <w:tcPr>
            <w:tcW w:w="202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4D059D" w:rsidRDefault="00E82355" w:rsidP="00C62592">
            <w:pPr>
              <w:widowControl w:val="0"/>
              <w:autoSpaceDE w:val="0"/>
              <w:autoSpaceDN w:val="0"/>
              <w:adjustRightInd w:val="0"/>
              <w:rPr>
                <w:color w:val="000000"/>
                <w:sz w:val="21"/>
                <w:szCs w:val="21"/>
                <w:lang w:eastAsia="en-US"/>
              </w:rPr>
            </w:pPr>
            <w:r w:rsidRPr="004D059D">
              <w:rPr>
                <w:color w:val="000000"/>
                <w:sz w:val="21"/>
                <w:szCs w:val="21"/>
                <w:lang w:eastAsia="en-US"/>
              </w:rPr>
              <w:t xml:space="preserve">Première étape </w:t>
            </w:r>
          </w:p>
        </w:tc>
        <w:tc>
          <w:tcPr>
            <w:tcW w:w="81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4D059D" w:rsidRDefault="00E82355" w:rsidP="00C62592">
            <w:pPr>
              <w:widowControl w:val="0"/>
              <w:autoSpaceDE w:val="0"/>
              <w:autoSpaceDN w:val="0"/>
              <w:adjustRightInd w:val="0"/>
              <w:rPr>
                <w:color w:val="000000"/>
                <w:sz w:val="21"/>
                <w:szCs w:val="21"/>
                <w:lang w:eastAsia="en-US"/>
              </w:rPr>
            </w:pPr>
            <w:r w:rsidRPr="004D059D">
              <w:rPr>
                <w:color w:val="000000"/>
                <w:sz w:val="21"/>
                <w:szCs w:val="21"/>
                <w:lang w:eastAsia="en-US"/>
              </w:rPr>
              <w:t xml:space="preserve">Préparation de TDR </w:t>
            </w:r>
          </w:p>
          <w:p w:rsidR="00E82355" w:rsidRPr="004D059D" w:rsidRDefault="00E82355" w:rsidP="00531D7E">
            <w:pPr>
              <w:widowControl w:val="0"/>
              <w:autoSpaceDE w:val="0"/>
              <w:autoSpaceDN w:val="0"/>
              <w:adjustRightInd w:val="0"/>
              <w:rPr>
                <w:color w:val="000000"/>
                <w:sz w:val="21"/>
                <w:szCs w:val="21"/>
                <w:lang w:eastAsia="en-US"/>
              </w:rPr>
            </w:pPr>
            <w:r w:rsidRPr="004D059D">
              <w:rPr>
                <w:color w:val="000000"/>
                <w:sz w:val="21"/>
                <w:szCs w:val="21"/>
                <w:lang w:eastAsia="en-US"/>
              </w:rPr>
              <w:t xml:space="preserve">Selon les résultats de l’identification et l’ampleur nécessaire </w:t>
            </w:r>
            <w:r w:rsidRPr="00BA3155">
              <w:rPr>
                <w:color w:val="000000"/>
                <w:sz w:val="21"/>
                <w:szCs w:val="21"/>
                <w:lang w:eastAsia="en-US"/>
              </w:rPr>
              <w:t>d</w:t>
            </w:r>
            <w:r w:rsidR="00A73BE0" w:rsidRPr="00BA3155">
              <w:rPr>
                <w:color w:val="000000"/>
                <w:sz w:val="21"/>
                <w:szCs w:val="21"/>
                <w:lang w:eastAsia="en-US"/>
              </w:rPr>
              <w:t>’</w:t>
            </w:r>
            <w:r w:rsidRPr="00BA3155">
              <w:rPr>
                <w:color w:val="000000"/>
                <w:sz w:val="21"/>
                <w:szCs w:val="21"/>
                <w:lang w:eastAsia="en-US"/>
              </w:rPr>
              <w:t>u</w:t>
            </w:r>
            <w:r w:rsidR="00A73BE0" w:rsidRPr="00BA3155">
              <w:rPr>
                <w:color w:val="000000"/>
                <w:sz w:val="21"/>
                <w:szCs w:val="21"/>
                <w:lang w:eastAsia="en-US"/>
              </w:rPr>
              <w:t>ne</w:t>
            </w:r>
            <w:r w:rsidRPr="00BA3155">
              <w:rPr>
                <w:color w:val="000000"/>
                <w:sz w:val="21"/>
                <w:szCs w:val="21"/>
                <w:lang w:eastAsia="en-US"/>
              </w:rPr>
              <w:t xml:space="preserve"> </w:t>
            </w:r>
            <w:r w:rsidR="00A73BE0" w:rsidRPr="00531D7E">
              <w:rPr>
                <w:color w:val="000000"/>
                <w:sz w:val="21"/>
                <w:szCs w:val="21"/>
                <w:lang w:eastAsia="en-US"/>
              </w:rPr>
              <w:t>AEI</w:t>
            </w:r>
            <w:r w:rsidRPr="00BA3155">
              <w:rPr>
                <w:color w:val="000000"/>
                <w:sz w:val="21"/>
                <w:szCs w:val="21"/>
                <w:lang w:eastAsia="en-US"/>
              </w:rPr>
              <w:t>,</w:t>
            </w:r>
            <w:r w:rsidRPr="004D059D">
              <w:rPr>
                <w:color w:val="000000"/>
                <w:sz w:val="21"/>
                <w:szCs w:val="21"/>
                <w:lang w:eastAsia="en-US"/>
              </w:rPr>
              <w:t xml:space="preserve"> des TDR seront préparés. </w:t>
            </w:r>
          </w:p>
        </w:tc>
      </w:tr>
      <w:tr w:rsidR="00E82355" w:rsidRPr="004D059D" w:rsidTr="006C792F">
        <w:tblPrEx>
          <w:tblBorders>
            <w:top w:val="none" w:sz="0" w:space="0" w:color="auto"/>
          </w:tblBorders>
        </w:tblPrEx>
        <w:tc>
          <w:tcPr>
            <w:tcW w:w="202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4D059D" w:rsidRDefault="00E82355" w:rsidP="006C792F">
            <w:pPr>
              <w:widowControl w:val="0"/>
              <w:autoSpaceDE w:val="0"/>
              <w:autoSpaceDN w:val="0"/>
              <w:adjustRightInd w:val="0"/>
              <w:rPr>
                <w:color w:val="000000"/>
                <w:sz w:val="21"/>
                <w:szCs w:val="21"/>
                <w:lang w:eastAsia="en-US"/>
              </w:rPr>
            </w:pPr>
            <w:r w:rsidRPr="004D059D">
              <w:rPr>
                <w:noProof/>
                <w:color w:val="000000"/>
                <w:sz w:val="21"/>
                <w:szCs w:val="21"/>
                <w:lang w:val="pt-PT" w:eastAsia="pt-PT"/>
              </w:rPr>
              <w:drawing>
                <wp:inline distT="0" distB="0" distL="0" distR="0" wp14:anchorId="5BC2A148" wp14:editId="54B2353A">
                  <wp:extent cx="6350" cy="63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4D059D">
              <w:rPr>
                <w:color w:val="000000"/>
                <w:sz w:val="21"/>
                <w:szCs w:val="21"/>
                <w:lang w:eastAsia="en-US"/>
              </w:rPr>
              <w:t xml:space="preserve">Deuxième étape </w:t>
            </w:r>
          </w:p>
        </w:tc>
        <w:tc>
          <w:tcPr>
            <w:tcW w:w="81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4D059D" w:rsidRDefault="006C792F" w:rsidP="00C62592">
            <w:pPr>
              <w:widowControl w:val="0"/>
              <w:autoSpaceDE w:val="0"/>
              <w:autoSpaceDN w:val="0"/>
              <w:adjustRightInd w:val="0"/>
              <w:rPr>
                <w:color w:val="000000"/>
                <w:sz w:val="21"/>
                <w:szCs w:val="21"/>
                <w:lang w:eastAsia="en-US"/>
              </w:rPr>
            </w:pPr>
            <w:r w:rsidRPr="004D059D">
              <w:rPr>
                <w:color w:val="000000"/>
                <w:sz w:val="21"/>
                <w:szCs w:val="21"/>
                <w:lang w:eastAsia="en-US"/>
              </w:rPr>
              <w:t>Choix</w:t>
            </w:r>
            <w:r w:rsidR="00E82355" w:rsidRPr="004D059D">
              <w:rPr>
                <w:color w:val="000000"/>
                <w:sz w:val="21"/>
                <w:szCs w:val="21"/>
                <w:lang w:eastAsia="en-US"/>
              </w:rPr>
              <w:t xml:space="preserve"> de consultant </w:t>
            </w:r>
          </w:p>
        </w:tc>
      </w:tr>
      <w:tr w:rsidR="00E82355" w:rsidRPr="004D059D" w:rsidTr="006C792F">
        <w:tblPrEx>
          <w:tblBorders>
            <w:top w:val="none" w:sz="0" w:space="0" w:color="auto"/>
          </w:tblBorders>
        </w:tblPrEx>
        <w:tc>
          <w:tcPr>
            <w:tcW w:w="202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4D059D" w:rsidRDefault="00E82355" w:rsidP="00C62592">
            <w:pPr>
              <w:widowControl w:val="0"/>
              <w:autoSpaceDE w:val="0"/>
              <w:autoSpaceDN w:val="0"/>
              <w:adjustRightInd w:val="0"/>
              <w:rPr>
                <w:color w:val="000000"/>
                <w:sz w:val="21"/>
                <w:szCs w:val="21"/>
                <w:lang w:eastAsia="en-US"/>
              </w:rPr>
            </w:pPr>
            <w:r w:rsidRPr="004D059D">
              <w:rPr>
                <w:noProof/>
                <w:color w:val="000000"/>
                <w:sz w:val="21"/>
                <w:szCs w:val="21"/>
                <w:lang w:val="pt-PT" w:eastAsia="pt-PT"/>
              </w:rPr>
              <w:drawing>
                <wp:inline distT="0" distB="0" distL="0" distR="0" wp14:anchorId="53B0C564" wp14:editId="3F916691">
                  <wp:extent cx="6350" cy="63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4D059D">
              <w:rPr>
                <w:color w:val="000000"/>
                <w:sz w:val="21"/>
                <w:szCs w:val="21"/>
                <w:lang w:eastAsia="en-US"/>
              </w:rPr>
              <w:t xml:space="preserve">Troisième étape </w:t>
            </w:r>
          </w:p>
        </w:tc>
        <w:tc>
          <w:tcPr>
            <w:tcW w:w="81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531D7E" w:rsidRDefault="00E82355" w:rsidP="00531D7E">
            <w:pPr>
              <w:widowControl w:val="0"/>
              <w:autoSpaceDE w:val="0"/>
              <w:autoSpaceDN w:val="0"/>
              <w:adjustRightInd w:val="0"/>
              <w:rPr>
                <w:color w:val="000000"/>
                <w:sz w:val="21"/>
                <w:szCs w:val="21"/>
                <w:lang w:eastAsia="en-US"/>
              </w:rPr>
            </w:pPr>
            <w:r w:rsidRPr="00531D7E">
              <w:rPr>
                <w:color w:val="000000"/>
                <w:sz w:val="21"/>
                <w:szCs w:val="21"/>
                <w:lang w:eastAsia="en-US"/>
              </w:rPr>
              <w:t xml:space="preserve">Réalisation </w:t>
            </w:r>
            <w:r w:rsidR="00A73BE0" w:rsidRPr="00531D7E">
              <w:rPr>
                <w:color w:val="000000"/>
                <w:sz w:val="21"/>
                <w:szCs w:val="21"/>
                <w:lang w:eastAsia="en-US"/>
              </w:rPr>
              <w:t>AEI</w:t>
            </w:r>
            <w:r w:rsidRPr="00531D7E">
              <w:rPr>
                <w:color w:val="000000"/>
                <w:sz w:val="21"/>
                <w:szCs w:val="21"/>
                <w:lang w:eastAsia="en-US"/>
              </w:rPr>
              <w:t xml:space="preserve"> avec consultation du public </w:t>
            </w:r>
          </w:p>
          <w:p w:rsidR="00531D7E" w:rsidRPr="004D059D" w:rsidRDefault="00531D7E" w:rsidP="00531D7E">
            <w:pPr>
              <w:widowControl w:val="0"/>
              <w:autoSpaceDE w:val="0"/>
              <w:autoSpaceDN w:val="0"/>
              <w:adjustRightInd w:val="0"/>
              <w:rPr>
                <w:color w:val="000000"/>
                <w:sz w:val="21"/>
                <w:szCs w:val="21"/>
                <w:lang w:eastAsia="en-US"/>
              </w:rPr>
            </w:pPr>
            <w:r w:rsidRPr="00BA3155">
              <w:rPr>
                <w:color w:val="000000"/>
                <w:sz w:val="21"/>
                <w:szCs w:val="21"/>
                <w:lang w:eastAsia="en-US"/>
              </w:rPr>
              <w:t>L’AEI sera</w:t>
            </w:r>
            <w:r w:rsidRPr="004D059D">
              <w:rPr>
                <w:color w:val="000000"/>
                <w:sz w:val="21"/>
                <w:szCs w:val="21"/>
                <w:lang w:eastAsia="en-US"/>
              </w:rPr>
              <w:t xml:space="preserve"> préparée par un consultant et le rapport suivra le format suivant : </w:t>
            </w:r>
          </w:p>
          <w:p w:rsidR="00531D7E" w:rsidRPr="004D059D" w:rsidRDefault="00531D7E" w:rsidP="00531D7E">
            <w:pPr>
              <w:widowControl w:val="0"/>
              <w:numPr>
                <w:ilvl w:val="0"/>
                <w:numId w:val="191"/>
              </w:numPr>
              <w:tabs>
                <w:tab w:val="left" w:pos="220"/>
              </w:tabs>
              <w:autoSpaceDE w:val="0"/>
              <w:autoSpaceDN w:val="0"/>
              <w:adjustRightInd w:val="0"/>
              <w:rPr>
                <w:color w:val="000000"/>
                <w:sz w:val="21"/>
                <w:szCs w:val="21"/>
                <w:lang w:eastAsia="en-US"/>
              </w:rPr>
            </w:pPr>
            <w:r w:rsidRPr="004D059D">
              <w:rPr>
                <w:color w:val="000000"/>
                <w:sz w:val="21"/>
                <w:szCs w:val="21"/>
                <w:lang w:eastAsia="en-US"/>
              </w:rPr>
              <w:t xml:space="preserve">Description de la zone de l’étude </w:t>
            </w:r>
          </w:p>
          <w:p w:rsidR="00531D7E" w:rsidRPr="004D059D" w:rsidRDefault="00531D7E" w:rsidP="00531D7E">
            <w:pPr>
              <w:widowControl w:val="0"/>
              <w:numPr>
                <w:ilvl w:val="0"/>
                <w:numId w:val="191"/>
              </w:numPr>
              <w:tabs>
                <w:tab w:val="left" w:pos="220"/>
              </w:tabs>
              <w:autoSpaceDE w:val="0"/>
              <w:autoSpaceDN w:val="0"/>
              <w:adjustRightInd w:val="0"/>
              <w:rPr>
                <w:color w:val="000000"/>
                <w:sz w:val="21"/>
                <w:szCs w:val="21"/>
                <w:lang w:eastAsia="en-US"/>
              </w:rPr>
            </w:pPr>
            <w:r w:rsidRPr="004D059D">
              <w:rPr>
                <w:color w:val="000000"/>
                <w:sz w:val="21"/>
                <w:szCs w:val="21"/>
                <w:lang w:eastAsia="en-US"/>
              </w:rPr>
              <w:t xml:space="preserve">Description du sous projet </w:t>
            </w:r>
          </w:p>
          <w:p w:rsidR="00531D7E" w:rsidRPr="004D059D" w:rsidRDefault="00531D7E" w:rsidP="00531D7E">
            <w:pPr>
              <w:widowControl w:val="0"/>
              <w:numPr>
                <w:ilvl w:val="0"/>
                <w:numId w:val="191"/>
              </w:numPr>
              <w:tabs>
                <w:tab w:val="left" w:pos="220"/>
              </w:tabs>
              <w:autoSpaceDE w:val="0"/>
              <w:autoSpaceDN w:val="0"/>
              <w:adjustRightInd w:val="0"/>
              <w:rPr>
                <w:color w:val="000000"/>
                <w:sz w:val="21"/>
                <w:szCs w:val="21"/>
                <w:lang w:eastAsia="en-US"/>
              </w:rPr>
            </w:pPr>
            <w:r w:rsidRPr="004D059D">
              <w:rPr>
                <w:color w:val="000000"/>
                <w:sz w:val="21"/>
                <w:szCs w:val="21"/>
                <w:lang w:eastAsia="en-US"/>
              </w:rPr>
              <w:t xml:space="preserve">Description de l’environnement </w:t>
            </w:r>
          </w:p>
          <w:p w:rsidR="00531D7E" w:rsidRPr="004D059D" w:rsidRDefault="00531D7E" w:rsidP="00531D7E">
            <w:pPr>
              <w:widowControl w:val="0"/>
              <w:numPr>
                <w:ilvl w:val="0"/>
                <w:numId w:val="191"/>
              </w:numPr>
              <w:tabs>
                <w:tab w:val="left" w:pos="220"/>
              </w:tabs>
              <w:autoSpaceDE w:val="0"/>
              <w:autoSpaceDN w:val="0"/>
              <w:adjustRightInd w:val="0"/>
              <w:rPr>
                <w:color w:val="000000"/>
                <w:sz w:val="21"/>
                <w:szCs w:val="21"/>
                <w:lang w:eastAsia="en-US"/>
              </w:rPr>
            </w:pPr>
            <w:r w:rsidRPr="004D059D">
              <w:rPr>
                <w:color w:val="000000"/>
                <w:sz w:val="21"/>
                <w:szCs w:val="21"/>
                <w:lang w:eastAsia="en-US"/>
              </w:rPr>
              <w:t xml:space="preserve">Considérations juridiques et réglementaires </w:t>
            </w:r>
          </w:p>
          <w:p w:rsidR="00531D7E" w:rsidRPr="004D059D" w:rsidRDefault="00531D7E" w:rsidP="00531D7E">
            <w:pPr>
              <w:widowControl w:val="0"/>
              <w:numPr>
                <w:ilvl w:val="0"/>
                <w:numId w:val="191"/>
              </w:numPr>
              <w:tabs>
                <w:tab w:val="left" w:pos="220"/>
              </w:tabs>
              <w:autoSpaceDE w:val="0"/>
              <w:autoSpaceDN w:val="0"/>
              <w:adjustRightInd w:val="0"/>
              <w:rPr>
                <w:color w:val="000000"/>
                <w:sz w:val="21"/>
                <w:szCs w:val="21"/>
                <w:lang w:eastAsia="en-US"/>
              </w:rPr>
            </w:pPr>
            <w:r w:rsidRPr="004D059D">
              <w:rPr>
                <w:color w:val="000000"/>
                <w:sz w:val="21"/>
                <w:szCs w:val="21"/>
                <w:lang w:eastAsia="en-US"/>
              </w:rPr>
              <w:t xml:space="preserve">Détermination des impacts éventuels des sous projet proposés </w:t>
            </w:r>
          </w:p>
          <w:p w:rsidR="00531D7E" w:rsidRPr="004D059D" w:rsidRDefault="00531D7E" w:rsidP="00531D7E">
            <w:pPr>
              <w:widowControl w:val="0"/>
              <w:numPr>
                <w:ilvl w:val="0"/>
                <w:numId w:val="191"/>
              </w:numPr>
              <w:tabs>
                <w:tab w:val="left" w:pos="220"/>
              </w:tabs>
              <w:autoSpaceDE w:val="0"/>
              <w:autoSpaceDN w:val="0"/>
              <w:adjustRightInd w:val="0"/>
              <w:rPr>
                <w:color w:val="000000"/>
                <w:sz w:val="21"/>
                <w:szCs w:val="21"/>
                <w:lang w:eastAsia="en-US"/>
              </w:rPr>
            </w:pPr>
            <w:r w:rsidRPr="004D059D">
              <w:rPr>
                <w:color w:val="000000"/>
                <w:sz w:val="21"/>
                <w:szCs w:val="21"/>
                <w:lang w:eastAsia="en-US"/>
              </w:rPr>
              <w:t xml:space="preserve">Analyse d’options alternatives, y compris l’option « sans projet » </w:t>
            </w:r>
          </w:p>
          <w:p w:rsidR="00531D7E" w:rsidRPr="004D059D" w:rsidRDefault="00531D7E" w:rsidP="00531D7E">
            <w:pPr>
              <w:widowControl w:val="0"/>
              <w:numPr>
                <w:ilvl w:val="0"/>
                <w:numId w:val="191"/>
              </w:numPr>
              <w:tabs>
                <w:tab w:val="left" w:pos="220"/>
              </w:tabs>
              <w:autoSpaceDE w:val="0"/>
              <w:autoSpaceDN w:val="0"/>
              <w:adjustRightInd w:val="0"/>
              <w:rPr>
                <w:color w:val="000000"/>
                <w:sz w:val="21"/>
                <w:szCs w:val="21"/>
                <w:lang w:eastAsia="en-US"/>
              </w:rPr>
            </w:pPr>
            <w:r w:rsidRPr="004D059D">
              <w:rPr>
                <w:color w:val="000000"/>
                <w:sz w:val="21"/>
                <w:szCs w:val="21"/>
                <w:lang w:eastAsia="en-US"/>
              </w:rPr>
              <w:t xml:space="preserve">Processus de consultations publiques </w:t>
            </w:r>
          </w:p>
          <w:p w:rsidR="00531D7E" w:rsidRPr="00531D7E" w:rsidRDefault="00531D7E" w:rsidP="00531D7E">
            <w:pPr>
              <w:pStyle w:val="PargrafodaLista"/>
              <w:widowControl w:val="0"/>
              <w:numPr>
                <w:ilvl w:val="0"/>
                <w:numId w:val="191"/>
              </w:numPr>
              <w:autoSpaceDE w:val="0"/>
              <w:autoSpaceDN w:val="0"/>
              <w:adjustRightInd w:val="0"/>
              <w:rPr>
                <w:color w:val="000000"/>
                <w:sz w:val="21"/>
                <w:szCs w:val="21"/>
                <w:lang w:eastAsia="en-US"/>
              </w:rPr>
            </w:pPr>
            <w:r w:rsidRPr="004D059D">
              <w:rPr>
                <w:color w:val="000000"/>
                <w:sz w:val="21"/>
                <w:szCs w:val="21"/>
                <w:lang w:eastAsia="en-US"/>
              </w:rPr>
              <w:t>Dével</w:t>
            </w:r>
            <w:r w:rsidRPr="00531D7E">
              <w:rPr>
                <w:rFonts w:ascii="Times New Roman" w:eastAsiaTheme="minorHAnsi" w:hAnsi="Times New Roman"/>
                <w:color w:val="000000"/>
                <w:sz w:val="21"/>
                <w:szCs w:val="21"/>
                <w:lang w:eastAsia="en-US"/>
              </w:rPr>
              <w:t>oppement de mesures d’atténuation et d’un plan de suivi, y compris le renforcement des capacités institutionnelles et l’estimation des coûts</w:t>
            </w:r>
          </w:p>
        </w:tc>
      </w:tr>
      <w:tr w:rsidR="00E82355" w:rsidRPr="004D059D" w:rsidTr="006C792F">
        <w:tblPrEx>
          <w:tblBorders>
            <w:top w:val="none" w:sz="0" w:space="0" w:color="auto"/>
          </w:tblBorders>
        </w:tblPrEx>
        <w:tc>
          <w:tcPr>
            <w:tcW w:w="202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4D059D" w:rsidRDefault="00E82355" w:rsidP="00C62592">
            <w:pPr>
              <w:widowControl w:val="0"/>
              <w:autoSpaceDE w:val="0"/>
              <w:autoSpaceDN w:val="0"/>
              <w:adjustRightInd w:val="0"/>
              <w:rPr>
                <w:color w:val="000000"/>
                <w:sz w:val="21"/>
                <w:szCs w:val="21"/>
                <w:lang w:eastAsia="en-US"/>
              </w:rPr>
            </w:pPr>
            <w:r w:rsidRPr="004D059D">
              <w:rPr>
                <w:color w:val="000000"/>
                <w:sz w:val="21"/>
                <w:szCs w:val="21"/>
                <w:lang w:eastAsia="en-US"/>
              </w:rPr>
              <w:t xml:space="preserve">Quatrième étape </w:t>
            </w:r>
          </w:p>
        </w:tc>
        <w:tc>
          <w:tcPr>
            <w:tcW w:w="81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BA3155" w:rsidRDefault="00E82355" w:rsidP="00A73BE0">
            <w:pPr>
              <w:widowControl w:val="0"/>
              <w:autoSpaceDE w:val="0"/>
              <w:autoSpaceDN w:val="0"/>
              <w:adjustRightInd w:val="0"/>
              <w:rPr>
                <w:color w:val="000000"/>
                <w:sz w:val="21"/>
                <w:szCs w:val="21"/>
                <w:lang w:eastAsia="en-US"/>
              </w:rPr>
            </w:pPr>
            <w:r w:rsidRPr="00BA3155">
              <w:rPr>
                <w:color w:val="000000"/>
                <w:sz w:val="21"/>
                <w:szCs w:val="21"/>
                <w:lang w:eastAsia="en-US"/>
              </w:rPr>
              <w:t xml:space="preserve">Revue et approbation </w:t>
            </w:r>
            <w:r w:rsidR="00A73BE0" w:rsidRPr="00531D7E">
              <w:rPr>
                <w:color w:val="000000"/>
                <w:sz w:val="21"/>
                <w:szCs w:val="21"/>
                <w:lang w:eastAsia="en-US"/>
              </w:rPr>
              <w:t>AEI</w:t>
            </w:r>
            <w:r w:rsidR="00531D7E">
              <w:rPr>
                <w:color w:val="000000"/>
                <w:sz w:val="21"/>
                <w:szCs w:val="21"/>
                <w:lang w:eastAsia="en-US"/>
              </w:rPr>
              <w:t xml:space="preserve"> </w:t>
            </w:r>
            <w:r w:rsidRPr="00BA3155">
              <w:rPr>
                <w:color w:val="000000"/>
                <w:sz w:val="21"/>
                <w:szCs w:val="21"/>
                <w:lang w:eastAsia="en-US"/>
              </w:rPr>
              <w:t xml:space="preserve">pour le sous projet. </w:t>
            </w:r>
          </w:p>
        </w:tc>
      </w:tr>
      <w:tr w:rsidR="00E82355" w:rsidRPr="004D059D" w:rsidTr="006C792F">
        <w:tc>
          <w:tcPr>
            <w:tcW w:w="202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4D059D" w:rsidRDefault="00E82355" w:rsidP="00C62592">
            <w:pPr>
              <w:widowControl w:val="0"/>
              <w:autoSpaceDE w:val="0"/>
              <w:autoSpaceDN w:val="0"/>
              <w:adjustRightInd w:val="0"/>
              <w:rPr>
                <w:color w:val="000000"/>
                <w:sz w:val="21"/>
                <w:szCs w:val="21"/>
                <w:lang w:eastAsia="en-US"/>
              </w:rPr>
            </w:pPr>
            <w:r w:rsidRPr="004D059D">
              <w:rPr>
                <w:color w:val="000000"/>
                <w:sz w:val="21"/>
                <w:szCs w:val="21"/>
                <w:lang w:eastAsia="en-US"/>
              </w:rPr>
              <w:t xml:space="preserve">Cinquième étape </w:t>
            </w:r>
          </w:p>
        </w:tc>
        <w:tc>
          <w:tcPr>
            <w:tcW w:w="81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E82355" w:rsidRPr="00BA3155" w:rsidRDefault="00E82355" w:rsidP="00C62592">
            <w:pPr>
              <w:widowControl w:val="0"/>
              <w:autoSpaceDE w:val="0"/>
              <w:autoSpaceDN w:val="0"/>
              <w:adjustRightInd w:val="0"/>
              <w:rPr>
                <w:color w:val="000000"/>
                <w:sz w:val="21"/>
                <w:szCs w:val="21"/>
                <w:lang w:eastAsia="en-US"/>
              </w:rPr>
            </w:pPr>
            <w:r w:rsidRPr="00BA3155">
              <w:rPr>
                <w:noProof/>
                <w:color w:val="000000"/>
                <w:sz w:val="21"/>
                <w:szCs w:val="21"/>
                <w:lang w:val="pt-PT" w:eastAsia="pt-PT"/>
              </w:rPr>
              <w:drawing>
                <wp:inline distT="0" distB="0" distL="0" distR="0" wp14:anchorId="1EAC55D2" wp14:editId="54651ADA">
                  <wp:extent cx="6350" cy="6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A3155">
              <w:rPr>
                <w:color w:val="000000"/>
                <w:sz w:val="21"/>
                <w:szCs w:val="21"/>
                <w:lang w:eastAsia="en-US"/>
              </w:rPr>
              <w:t xml:space="preserve">Publication/Diffusion </w:t>
            </w:r>
            <w:r w:rsidR="00A73BE0" w:rsidRPr="00531D7E">
              <w:rPr>
                <w:color w:val="000000"/>
                <w:sz w:val="21"/>
                <w:szCs w:val="21"/>
                <w:lang w:eastAsia="en-US"/>
              </w:rPr>
              <w:t>AEI</w:t>
            </w:r>
            <w:r w:rsidRPr="00BA3155">
              <w:rPr>
                <w:color w:val="000000"/>
                <w:sz w:val="21"/>
                <w:szCs w:val="21"/>
                <w:lang w:eastAsia="en-US"/>
              </w:rPr>
              <w:t xml:space="preserve"> </w:t>
            </w:r>
          </w:p>
        </w:tc>
      </w:tr>
    </w:tbl>
    <w:p w:rsidR="00224BC6" w:rsidRPr="00E26C91" w:rsidRDefault="00224BC6" w:rsidP="00224BC6">
      <w:pPr>
        <w:ind w:left="-284" w:right="-851"/>
        <w:jc w:val="both"/>
        <w:rPr>
          <w:sz w:val="22"/>
          <w:szCs w:val="22"/>
        </w:rPr>
      </w:pPr>
    </w:p>
    <w:p w:rsidR="00E82355" w:rsidRPr="00A05698" w:rsidRDefault="00E82355" w:rsidP="00224BC6">
      <w:pPr>
        <w:ind w:left="-284" w:right="-851"/>
        <w:jc w:val="both"/>
      </w:pPr>
      <w:r w:rsidRPr="00A05698">
        <w:t xml:space="preserve">En cas de réalisation </w:t>
      </w:r>
      <w:r w:rsidRPr="00BA3155">
        <w:t xml:space="preserve">des </w:t>
      </w:r>
      <w:r w:rsidR="00A73BE0" w:rsidRPr="00531D7E">
        <w:t>AEI</w:t>
      </w:r>
      <w:r w:rsidRPr="00BA3155">
        <w:t>, l’AAAC, avec l’appui des autres services techniques concernés, va procéder à leur examen en vue leur approbation (ou rejet). Dans le cadre de l’examen d’un</w:t>
      </w:r>
      <w:r w:rsidR="00A73BE0" w:rsidRPr="00BA3155">
        <w:t>e</w:t>
      </w:r>
      <w:r w:rsidRPr="00BA3155">
        <w:t xml:space="preserve"> </w:t>
      </w:r>
      <w:r w:rsidR="00A73BE0" w:rsidRPr="00531D7E">
        <w:t>AEI</w:t>
      </w:r>
      <w:r w:rsidR="004256BF" w:rsidRPr="00BA3155">
        <w:t>,</w:t>
      </w:r>
      <w:r w:rsidRPr="00BA3155">
        <w:t xml:space="preserve"> l’AAAC peut demander un complément d'informations au consultant ayant réalisé </w:t>
      </w:r>
      <w:r w:rsidR="00531D7E" w:rsidRPr="00BA3155">
        <w:t>l’AEI</w:t>
      </w:r>
      <w:r w:rsidRPr="00BA3155">
        <w:t xml:space="preserve"> ou au Projet. Par la suite, l’AAAC donne, par écrit, à l’unité de coordination du Projet, un avis sur la faisab</w:t>
      </w:r>
      <w:r w:rsidR="007365E5" w:rsidRPr="00BA3155">
        <w:t>ilité</w:t>
      </w:r>
      <w:r w:rsidR="007365E5" w:rsidRPr="00A05698">
        <w:t xml:space="preserve"> environnementale du </w:t>
      </w:r>
      <w:r w:rsidRPr="00A05698">
        <w:t xml:space="preserve">projet. En cas d'avis défavorable, celui-ci doit être dûment motivé. </w:t>
      </w:r>
    </w:p>
    <w:p w:rsidR="00224BC6" w:rsidRPr="00A05698" w:rsidRDefault="00224BC6" w:rsidP="00224BC6">
      <w:pPr>
        <w:ind w:left="-284" w:right="-851"/>
        <w:jc w:val="both"/>
      </w:pPr>
    </w:p>
    <w:p w:rsidR="004E4D18" w:rsidRPr="00A05698" w:rsidRDefault="004E4D18" w:rsidP="00157035">
      <w:pPr>
        <w:pStyle w:val="PargrafodaLista"/>
        <w:widowControl w:val="0"/>
        <w:numPr>
          <w:ilvl w:val="0"/>
          <w:numId w:val="110"/>
        </w:numPr>
        <w:tabs>
          <w:tab w:val="left" w:pos="220"/>
          <w:tab w:val="left" w:pos="720"/>
        </w:tabs>
        <w:autoSpaceDE w:val="0"/>
        <w:autoSpaceDN w:val="0"/>
        <w:adjustRightInd w:val="0"/>
        <w:spacing w:after="240"/>
        <w:ind w:right="-847"/>
        <w:rPr>
          <w:rFonts w:ascii="Times New Roman" w:hAnsi="Times New Roman"/>
          <w:i/>
          <w:iCs/>
          <w:color w:val="000000"/>
          <w:sz w:val="24"/>
          <w:szCs w:val="24"/>
          <w:u w:val="single"/>
          <w:lang w:eastAsia="en-US"/>
        </w:rPr>
      </w:pPr>
      <w:r w:rsidRPr="00A05698">
        <w:rPr>
          <w:rFonts w:ascii="Times New Roman" w:hAnsi="Times New Roman"/>
          <w:i/>
          <w:iCs/>
          <w:color w:val="000000"/>
          <w:sz w:val="24"/>
          <w:szCs w:val="24"/>
          <w:u w:val="single"/>
          <w:lang w:eastAsia="en-US"/>
        </w:rPr>
        <w:t xml:space="preserve">Etape 4 : Consultations et participation publiques et diffusion : </w:t>
      </w:r>
    </w:p>
    <w:p w:rsidR="00224BC6" w:rsidRPr="00A05698" w:rsidRDefault="004E4D18" w:rsidP="00224BC6">
      <w:pPr>
        <w:ind w:left="-284" w:right="-851"/>
        <w:jc w:val="both"/>
      </w:pPr>
      <w:r w:rsidRPr="00A05698">
        <w:t xml:space="preserve">Dans </w:t>
      </w:r>
      <w:r w:rsidR="00B62342">
        <w:t xml:space="preserve">la </w:t>
      </w:r>
      <w:r w:rsidRPr="00A05698">
        <w:t>loi sur l’évaluation environnementale, le 3ème alinéa de l’article 15 (élaboration des EIE</w:t>
      </w:r>
      <w:r w:rsidR="00A70E5A">
        <w:t>S</w:t>
      </w:r>
      <w:r w:rsidRPr="00A05698">
        <w:t>) de la section III des EIE</w:t>
      </w:r>
      <w:r w:rsidR="00E840BA">
        <w:t>S</w:t>
      </w:r>
      <w:r w:rsidRPr="00A05698">
        <w:t xml:space="preserve"> dispose que les informations contenues dans les EIE</w:t>
      </w:r>
      <w:r w:rsidR="00E840BA">
        <w:t>S</w:t>
      </w:r>
      <w:r w:rsidRPr="00A05698">
        <w:t xml:space="preserve"> devront être portées à l’attention et à la disposition du public, ce qui est en conformité avec</w:t>
      </w:r>
      <w:r w:rsidR="00B3059F">
        <w:t xml:space="preserve"> la NES </w:t>
      </w:r>
      <w:r w:rsidR="00033F85">
        <w:t>N°</w:t>
      </w:r>
      <w:r w:rsidR="00B3059F">
        <w:t>10 de la Banque mondiale</w:t>
      </w:r>
      <w:r w:rsidR="00B3059F" w:rsidRPr="00A05698" w:rsidDel="00B3059F">
        <w:t xml:space="preserve"> </w:t>
      </w:r>
      <w:r w:rsidRPr="00A05698">
        <w:t xml:space="preserve">décrivant les exigences de consultation et de diffusion. </w:t>
      </w:r>
    </w:p>
    <w:p w:rsidR="00224BC6" w:rsidRPr="00A05698" w:rsidRDefault="00224BC6" w:rsidP="00224BC6">
      <w:pPr>
        <w:ind w:left="-284" w:right="-851"/>
        <w:jc w:val="both"/>
      </w:pPr>
    </w:p>
    <w:p w:rsidR="00224BC6" w:rsidRPr="00A05698" w:rsidRDefault="004E4D18" w:rsidP="00224BC6">
      <w:pPr>
        <w:ind w:left="-284" w:right="-851"/>
        <w:jc w:val="both"/>
      </w:pPr>
      <w:r w:rsidRPr="00A05698">
        <w:t>Aussi, le Projet devra adopter ce mécanisme de participation publique, comme élément constitutif de l'étude d'impact environnemental</w:t>
      </w:r>
      <w:r w:rsidR="002C30DE">
        <w:t>.</w:t>
      </w:r>
    </w:p>
    <w:p w:rsidR="00A47174" w:rsidRPr="00A05698" w:rsidRDefault="004E4D18" w:rsidP="00224BC6">
      <w:pPr>
        <w:ind w:left="-284" w:right="-851"/>
        <w:jc w:val="both"/>
      </w:pPr>
      <w:r w:rsidRPr="00A05698">
        <w:t xml:space="preserve">Ce mécanisme devra obéir à la procédure suivante : </w:t>
      </w:r>
    </w:p>
    <w:p w:rsidR="00F900D3" w:rsidRPr="00540C5C" w:rsidRDefault="004E4D18" w:rsidP="00157035">
      <w:pPr>
        <w:pStyle w:val="PargrafodaLista"/>
        <w:widowControl w:val="0"/>
        <w:numPr>
          <w:ilvl w:val="0"/>
          <w:numId w:val="67"/>
        </w:numPr>
        <w:autoSpaceDE w:val="0"/>
        <w:autoSpaceDN w:val="0"/>
        <w:adjustRightInd w:val="0"/>
        <w:spacing w:after="240" w:line="240" w:lineRule="auto"/>
        <w:ind w:right="-989"/>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annonce de l'initiative par affichage dans les mairies, gouvernorats, secteurs et sections, par voie de presse (écrite ou parlée) ; </w:t>
      </w:r>
    </w:p>
    <w:p w:rsidR="00F900D3" w:rsidRPr="00540C5C" w:rsidRDefault="004E4D18" w:rsidP="00157035">
      <w:pPr>
        <w:pStyle w:val="PargrafodaLista"/>
        <w:widowControl w:val="0"/>
        <w:numPr>
          <w:ilvl w:val="0"/>
          <w:numId w:val="67"/>
        </w:numPr>
        <w:autoSpaceDE w:val="0"/>
        <w:autoSpaceDN w:val="0"/>
        <w:adjustRightInd w:val="0"/>
        <w:spacing w:after="240" w:line="240" w:lineRule="auto"/>
        <w:ind w:right="-989"/>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dépôt des documents dans les localités concernées ; </w:t>
      </w:r>
    </w:p>
    <w:p w:rsidR="00F900D3" w:rsidRPr="00540C5C" w:rsidRDefault="004E4D18" w:rsidP="00157035">
      <w:pPr>
        <w:pStyle w:val="PargrafodaLista"/>
        <w:widowControl w:val="0"/>
        <w:numPr>
          <w:ilvl w:val="0"/>
          <w:numId w:val="67"/>
        </w:numPr>
        <w:autoSpaceDE w:val="0"/>
        <w:autoSpaceDN w:val="0"/>
        <w:adjustRightInd w:val="0"/>
        <w:spacing w:after="240" w:line="240" w:lineRule="auto"/>
        <w:ind w:right="-989"/>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tenue d'une réunion d'information ; </w:t>
      </w:r>
    </w:p>
    <w:p w:rsidR="00F900D3" w:rsidRPr="00540C5C" w:rsidRDefault="004E4D18" w:rsidP="00157035">
      <w:pPr>
        <w:pStyle w:val="PargrafodaLista"/>
        <w:widowControl w:val="0"/>
        <w:numPr>
          <w:ilvl w:val="0"/>
          <w:numId w:val="67"/>
        </w:numPr>
        <w:autoSpaceDE w:val="0"/>
        <w:autoSpaceDN w:val="0"/>
        <w:adjustRightInd w:val="0"/>
        <w:spacing w:after="240" w:line="240" w:lineRule="auto"/>
        <w:ind w:right="-989"/>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collecte de commentaires écrits et oraux ; </w:t>
      </w:r>
    </w:p>
    <w:p w:rsidR="00F900D3" w:rsidRPr="00540C5C" w:rsidRDefault="004E4D18" w:rsidP="00157035">
      <w:pPr>
        <w:pStyle w:val="PargrafodaLista"/>
        <w:widowControl w:val="0"/>
        <w:numPr>
          <w:ilvl w:val="0"/>
          <w:numId w:val="67"/>
        </w:numPr>
        <w:autoSpaceDE w:val="0"/>
        <w:autoSpaceDN w:val="0"/>
        <w:adjustRightInd w:val="0"/>
        <w:spacing w:after="240" w:line="240" w:lineRule="auto"/>
        <w:ind w:right="-989"/>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négociations en cas de besoin ; et </w:t>
      </w:r>
    </w:p>
    <w:p w:rsidR="004E4D18" w:rsidRPr="00540C5C" w:rsidRDefault="004E4D18" w:rsidP="00157035">
      <w:pPr>
        <w:pStyle w:val="PargrafodaLista"/>
        <w:widowControl w:val="0"/>
        <w:numPr>
          <w:ilvl w:val="0"/>
          <w:numId w:val="67"/>
        </w:numPr>
        <w:autoSpaceDE w:val="0"/>
        <w:autoSpaceDN w:val="0"/>
        <w:adjustRightInd w:val="0"/>
        <w:spacing w:after="240" w:line="240" w:lineRule="auto"/>
        <w:ind w:right="-989"/>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élaboration du rapport. </w:t>
      </w:r>
    </w:p>
    <w:p w:rsidR="00B87BB7" w:rsidRPr="00A05698" w:rsidRDefault="004E4D18" w:rsidP="00B87BB7">
      <w:pPr>
        <w:ind w:left="-284" w:right="-851"/>
        <w:jc w:val="both"/>
      </w:pPr>
      <w:r w:rsidRPr="00A05698">
        <w:t xml:space="preserve">En cas de sous projet à impacts négatifs importants nécessitant </w:t>
      </w:r>
      <w:r w:rsidRPr="00A57DCB">
        <w:t>un</w:t>
      </w:r>
      <w:r w:rsidR="00A73BE0" w:rsidRPr="00A57DCB">
        <w:t>e</w:t>
      </w:r>
      <w:r w:rsidRPr="00A57DCB">
        <w:t xml:space="preserve"> </w:t>
      </w:r>
      <w:r w:rsidR="00A73BE0" w:rsidRPr="00A57DCB">
        <w:t>AEI</w:t>
      </w:r>
      <w:r w:rsidRPr="00A57DCB">
        <w:t>,</w:t>
      </w:r>
      <w:r w:rsidRPr="00A05698">
        <w:t xml:space="preserve"> un exemplaire du rapport sera déposé au niveau de la région concernée qui dispose d’un délai raisonnable pour faire ses</w:t>
      </w:r>
      <w:r w:rsidR="00F900D3" w:rsidRPr="00A05698">
        <w:t xml:space="preserve"> </w:t>
      </w:r>
      <w:r w:rsidRPr="00A05698">
        <w:t xml:space="preserve">observations et ses remarques par des commentaires écrits. </w:t>
      </w:r>
    </w:p>
    <w:p w:rsidR="00B87BB7" w:rsidRPr="00A05698" w:rsidRDefault="00B87BB7" w:rsidP="00B87BB7">
      <w:pPr>
        <w:ind w:left="-284" w:right="-851"/>
        <w:jc w:val="both"/>
      </w:pPr>
    </w:p>
    <w:p w:rsidR="00B54100" w:rsidRDefault="00B54100" w:rsidP="00902D51">
      <w:pPr>
        <w:ind w:left="-284" w:right="-851"/>
        <w:jc w:val="both"/>
      </w:pPr>
      <w:r w:rsidRPr="00A05698">
        <w:t xml:space="preserve">Les </w:t>
      </w:r>
      <w:r w:rsidR="00960112">
        <w:t>AEI</w:t>
      </w:r>
      <w:r w:rsidRPr="00A05698">
        <w:t xml:space="preserve"> doivent aussi être approuvées par la banque mondiale et</w:t>
      </w:r>
      <w:r w:rsidR="008237C3" w:rsidRPr="00A05698">
        <w:t xml:space="preserve"> le rapport est</w:t>
      </w:r>
      <w:r w:rsidRPr="00A05698">
        <w:t xml:space="preserve"> publié dans </w:t>
      </w:r>
      <w:r w:rsidR="004D1BD0" w:rsidRPr="00A05698">
        <w:t>son site</w:t>
      </w:r>
      <w:r w:rsidRPr="00A05698">
        <w:t xml:space="preserve"> web.</w:t>
      </w:r>
    </w:p>
    <w:p w:rsidR="002B51E1" w:rsidRDefault="002B51E1" w:rsidP="00902D51">
      <w:pPr>
        <w:ind w:left="-284" w:right="-851"/>
        <w:jc w:val="both"/>
      </w:pPr>
    </w:p>
    <w:p w:rsidR="002B51E1" w:rsidRPr="00345951" w:rsidRDefault="002B51E1" w:rsidP="00345951">
      <w:pPr>
        <w:pStyle w:val="PargrafodaLista"/>
        <w:numPr>
          <w:ilvl w:val="2"/>
          <w:numId w:val="99"/>
        </w:numPr>
        <w:spacing w:after="120" w:line="240" w:lineRule="auto"/>
        <w:ind w:left="851" w:right="-847" w:hanging="709"/>
        <w:outlineLvl w:val="1"/>
        <w:rPr>
          <w:b/>
          <w:bCs/>
        </w:rPr>
      </w:pPr>
      <w:bookmarkStart w:id="276" w:name="_Toc73459754"/>
      <w:r w:rsidRPr="00345951">
        <w:rPr>
          <w:rFonts w:ascii="Times New Roman" w:hAnsi="Times New Roman"/>
          <w:b/>
          <w:bCs/>
          <w:sz w:val="24"/>
          <w:szCs w:val="24"/>
        </w:rPr>
        <w:t>Intégration dans DAO du sous-projet de toutes les mesures de la phase des travaux devant être contractées avec l’entreprise, la préparation et l’approbation des PGES-Chantiers, et l’exécution des mesures E&amp;S</w:t>
      </w:r>
      <w:bookmarkEnd w:id="276"/>
    </w:p>
    <w:p w:rsidR="002B51E1" w:rsidRDefault="002B51E1" w:rsidP="00345951">
      <w:pPr>
        <w:ind w:right="-851"/>
        <w:jc w:val="both"/>
      </w:pPr>
    </w:p>
    <w:p w:rsidR="002B51E1" w:rsidRDefault="002B51E1" w:rsidP="002B51E1">
      <w:pPr>
        <w:ind w:left="-284" w:right="-851"/>
        <w:jc w:val="both"/>
      </w:pPr>
      <w:r>
        <w:t xml:space="preserve">L’UCP veillera à intégrer les recommandations et mesures de gestion environnementale et sociale dans les dossiers d’appel d’offres et d’exécution </w:t>
      </w:r>
      <w:r w:rsidR="00C67F65">
        <w:t>des travaux</w:t>
      </w:r>
      <w:r>
        <w:t xml:space="preserve"> prévus dans le cadre du projet PUSA.  Ces recommandations et mesures seront intégrées dans le cahier de charge de chaque promoteur/gestionnaire.</w:t>
      </w:r>
    </w:p>
    <w:p w:rsidR="002B51E1" w:rsidRDefault="002B51E1" w:rsidP="00902D51">
      <w:pPr>
        <w:ind w:left="-284" w:right="-851"/>
        <w:jc w:val="both"/>
      </w:pPr>
    </w:p>
    <w:p w:rsidR="002B51E1" w:rsidRDefault="00C67F65" w:rsidP="00487693">
      <w:pPr>
        <w:ind w:left="-284" w:right="-851"/>
        <w:jc w:val="both"/>
      </w:pPr>
      <w:r>
        <w:t xml:space="preserve">De plus, toutes les entreprises et prestataires devant exécuter des travaux dans le cadre du PUSA devront préparer et mettre en œuvre un Plan de Gestion Environnementale et Sociale (PGES –Entreprise) sur la base du PGES du </w:t>
      </w:r>
      <w:r w:rsidR="00487693">
        <w:t>sous projet concerné</w:t>
      </w:r>
      <w:r>
        <w:t>.  L’UCP approuvera les PGES-Entreprise avec l’appui des structures techniques chargées du suivi de la mise en œuvre et du Spécia</w:t>
      </w:r>
      <w:r w:rsidR="00487693">
        <w:t xml:space="preserve">liste en Passation des Marchés </w:t>
      </w:r>
      <w:r>
        <w:t xml:space="preserve">(SPM).  De même, l’UCP devra veiller à intégrer </w:t>
      </w:r>
      <w:r w:rsidR="00487693">
        <w:t xml:space="preserve">dans les cahiers </w:t>
      </w:r>
      <w:r w:rsidR="00A57DCB">
        <w:t xml:space="preserve">de charges des promoteurs les mesures environnementales et sociales à </w:t>
      </w:r>
      <w:r w:rsidR="0060566C">
        <w:t>mettre en œuvre lors de</w:t>
      </w:r>
      <w:r>
        <w:t xml:space="preserve"> l’exploitation des infrastructures</w:t>
      </w:r>
    </w:p>
    <w:p w:rsidR="00487693" w:rsidRDefault="00487693" w:rsidP="00C67F65">
      <w:pPr>
        <w:ind w:left="-284" w:right="-851"/>
        <w:jc w:val="both"/>
      </w:pPr>
    </w:p>
    <w:p w:rsidR="00487693" w:rsidRPr="00345951" w:rsidRDefault="00487693" w:rsidP="00345951">
      <w:pPr>
        <w:pStyle w:val="PargrafodaLista"/>
        <w:numPr>
          <w:ilvl w:val="2"/>
          <w:numId w:val="99"/>
        </w:numPr>
        <w:spacing w:after="120" w:line="240" w:lineRule="auto"/>
        <w:ind w:left="851" w:right="-847" w:hanging="709"/>
        <w:outlineLvl w:val="1"/>
        <w:rPr>
          <w:b/>
          <w:bCs/>
        </w:rPr>
      </w:pPr>
      <w:bookmarkStart w:id="277" w:name="_Toc73459755"/>
      <w:r w:rsidRPr="00487693">
        <w:rPr>
          <w:rFonts w:ascii="Times New Roman" w:hAnsi="Times New Roman"/>
          <w:b/>
          <w:bCs/>
          <w:sz w:val="24"/>
          <w:szCs w:val="24"/>
        </w:rPr>
        <w:t>La</w:t>
      </w:r>
      <w:r w:rsidRPr="00345951">
        <w:rPr>
          <w:rFonts w:ascii="Times New Roman" w:hAnsi="Times New Roman"/>
          <w:b/>
          <w:bCs/>
          <w:sz w:val="24"/>
          <w:szCs w:val="24"/>
        </w:rPr>
        <w:t xml:space="preserve"> supervision et le suivi-évaluation</w:t>
      </w:r>
      <w:bookmarkEnd w:id="277"/>
    </w:p>
    <w:p w:rsidR="00487693" w:rsidRDefault="00487693" w:rsidP="0060566C">
      <w:pPr>
        <w:ind w:left="-284" w:right="-851"/>
        <w:jc w:val="both"/>
      </w:pPr>
      <w:r>
        <w:t>Le bureau de contrôle qui supervise l’exécution des mesures par les entreprises, le spécialiste E&amp;S de l’UCP qui supervise la mise en œuvre de tout le projet, l’AAAC à la mission régalienne nationale de suivi des projets et programmes, évaluation à mi-parcours et à la fin du projet pour des consultants</w:t>
      </w:r>
    </w:p>
    <w:p w:rsidR="002B51E1" w:rsidRPr="00A05698" w:rsidRDefault="002B51E1" w:rsidP="00902D51">
      <w:pPr>
        <w:ind w:left="-284" w:right="-851"/>
        <w:jc w:val="both"/>
      </w:pPr>
    </w:p>
    <w:p w:rsidR="00902D51" w:rsidRDefault="00102548" w:rsidP="0060566C">
      <w:pPr>
        <w:ind w:left="-284" w:right="-851"/>
        <w:jc w:val="both"/>
      </w:pPr>
      <w:r w:rsidRPr="0060566C">
        <w:t>Le tableau ci-dessous présente les provisions des rapports réguliers et les responsabilités lors de la mise en œuvre des activités du projet.</w:t>
      </w:r>
    </w:p>
    <w:p w:rsidR="00102548" w:rsidRDefault="00102548" w:rsidP="00102548">
      <w:pPr>
        <w:tabs>
          <w:tab w:val="left" w:pos="1515"/>
        </w:tabs>
        <w:ind w:left="-284" w:right="-851"/>
        <w:jc w:val="both"/>
      </w:pPr>
      <w:r>
        <w:tab/>
      </w:r>
    </w:p>
    <w:tbl>
      <w:tblPr>
        <w:tblStyle w:val="Tabelacomgrelha"/>
        <w:tblW w:w="9498" w:type="dxa"/>
        <w:tblLook w:val="04A0" w:firstRow="1" w:lastRow="0" w:firstColumn="1" w:lastColumn="0" w:noHBand="0" w:noVBand="1"/>
      </w:tblPr>
      <w:tblGrid>
        <w:gridCol w:w="3911"/>
        <w:gridCol w:w="2359"/>
        <w:gridCol w:w="3228"/>
      </w:tblGrid>
      <w:tr w:rsidR="00102548" w:rsidRPr="00270B17" w:rsidTr="00DE2CBB">
        <w:tc>
          <w:tcPr>
            <w:tcW w:w="3911" w:type="dxa"/>
          </w:tcPr>
          <w:p w:rsidR="00102548" w:rsidRPr="00270B17" w:rsidRDefault="00102548" w:rsidP="00DE2CBB">
            <w:pPr>
              <w:widowControl w:val="0"/>
              <w:tabs>
                <w:tab w:val="left" w:pos="220"/>
                <w:tab w:val="left" w:pos="720"/>
              </w:tabs>
              <w:autoSpaceDE w:val="0"/>
              <w:autoSpaceDN w:val="0"/>
              <w:adjustRightInd w:val="0"/>
              <w:jc w:val="center"/>
              <w:rPr>
                <w:rFonts w:ascii="Times" w:hAnsi="Times" w:cs="Times"/>
                <w:b/>
                <w:color w:val="000000"/>
                <w:lang w:eastAsia="en-US"/>
              </w:rPr>
            </w:pPr>
            <w:r w:rsidRPr="00270B17">
              <w:rPr>
                <w:b/>
              </w:rPr>
              <w:t>Activités</w:t>
            </w:r>
          </w:p>
        </w:tc>
        <w:tc>
          <w:tcPr>
            <w:tcW w:w="2359" w:type="dxa"/>
          </w:tcPr>
          <w:p w:rsidR="00102548" w:rsidRPr="00270B17" w:rsidRDefault="00102548" w:rsidP="00DE2CBB">
            <w:pPr>
              <w:widowControl w:val="0"/>
              <w:tabs>
                <w:tab w:val="left" w:pos="220"/>
                <w:tab w:val="left" w:pos="720"/>
              </w:tabs>
              <w:autoSpaceDE w:val="0"/>
              <w:autoSpaceDN w:val="0"/>
              <w:adjustRightInd w:val="0"/>
              <w:jc w:val="center"/>
              <w:rPr>
                <w:rFonts w:ascii="Times" w:hAnsi="Times" w:cs="Times"/>
                <w:b/>
                <w:color w:val="000000"/>
                <w:lang w:eastAsia="en-US"/>
              </w:rPr>
            </w:pPr>
            <w:r w:rsidRPr="00270B17">
              <w:rPr>
                <w:b/>
              </w:rPr>
              <w:t>Responsable</w:t>
            </w:r>
            <w:r>
              <w:rPr>
                <w:b/>
              </w:rPr>
              <w:t>s</w:t>
            </w:r>
          </w:p>
        </w:tc>
        <w:tc>
          <w:tcPr>
            <w:tcW w:w="3228" w:type="dxa"/>
          </w:tcPr>
          <w:p w:rsidR="00102548" w:rsidRPr="00270B17" w:rsidRDefault="00102548" w:rsidP="00DE2CBB">
            <w:pPr>
              <w:widowControl w:val="0"/>
              <w:tabs>
                <w:tab w:val="left" w:pos="220"/>
                <w:tab w:val="left" w:pos="720"/>
              </w:tabs>
              <w:autoSpaceDE w:val="0"/>
              <w:autoSpaceDN w:val="0"/>
              <w:adjustRightInd w:val="0"/>
              <w:jc w:val="center"/>
              <w:rPr>
                <w:rFonts w:ascii="Times" w:hAnsi="Times" w:cs="Times"/>
                <w:b/>
                <w:color w:val="000000"/>
                <w:lang w:eastAsia="en-US"/>
              </w:rPr>
            </w:pPr>
            <w:r w:rsidRPr="00270B17">
              <w:rPr>
                <w:rFonts w:ascii="Times" w:hAnsi="Times" w:cs="Times"/>
                <w:b/>
                <w:color w:val="000000"/>
                <w:lang w:eastAsia="en-US"/>
              </w:rPr>
              <w:t>Approbation</w:t>
            </w:r>
            <w:r>
              <w:rPr>
                <w:rFonts w:ascii="Times" w:hAnsi="Times" w:cs="Times"/>
                <w:b/>
                <w:color w:val="000000"/>
                <w:lang w:eastAsia="en-US"/>
              </w:rPr>
              <w:t>s</w:t>
            </w:r>
          </w:p>
        </w:tc>
      </w:tr>
      <w:tr w:rsidR="00102548" w:rsidTr="00DE2CBB">
        <w:tc>
          <w:tcPr>
            <w:tcW w:w="3911" w:type="dxa"/>
          </w:tcPr>
          <w:p w:rsidR="00102548" w:rsidRDefault="00102548" w:rsidP="00DE2CBB">
            <w:pPr>
              <w:widowControl w:val="0"/>
              <w:tabs>
                <w:tab w:val="left" w:pos="220"/>
                <w:tab w:val="left" w:pos="720"/>
              </w:tabs>
              <w:autoSpaceDE w:val="0"/>
              <w:autoSpaceDN w:val="0"/>
              <w:adjustRightInd w:val="0"/>
              <w:jc w:val="both"/>
              <w:rPr>
                <w:rFonts w:ascii="Times" w:hAnsi="Times" w:cs="Times"/>
                <w:color w:val="000000"/>
                <w:lang w:eastAsia="en-US"/>
              </w:rPr>
            </w:pPr>
            <w:r w:rsidRPr="00475565">
              <w:rPr>
                <w:sz w:val="21"/>
                <w:szCs w:val="21"/>
              </w:rPr>
              <w:t>Screeni</w:t>
            </w:r>
            <w:r>
              <w:rPr>
                <w:sz w:val="21"/>
                <w:szCs w:val="21"/>
              </w:rPr>
              <w:t>ng-remplissage des formulaires</w:t>
            </w:r>
            <w:r w:rsidRPr="00475565">
              <w:rPr>
                <w:sz w:val="21"/>
                <w:szCs w:val="21"/>
              </w:rPr>
              <w:t xml:space="preserve"> et détermination du type d’instrument spécifique de sauvegarde</w:t>
            </w:r>
          </w:p>
        </w:tc>
        <w:tc>
          <w:tcPr>
            <w:tcW w:w="2359" w:type="dxa"/>
          </w:tcPr>
          <w:p w:rsidR="00102548" w:rsidRDefault="00102548" w:rsidP="00DE2CBB">
            <w:pPr>
              <w:widowControl w:val="0"/>
              <w:tabs>
                <w:tab w:val="left" w:pos="220"/>
                <w:tab w:val="left" w:pos="720"/>
              </w:tabs>
              <w:autoSpaceDE w:val="0"/>
              <w:autoSpaceDN w:val="0"/>
              <w:adjustRightInd w:val="0"/>
              <w:jc w:val="both"/>
              <w:rPr>
                <w:rFonts w:ascii="Times" w:hAnsi="Times" w:cs="Times"/>
                <w:color w:val="000000"/>
                <w:lang w:eastAsia="en-US"/>
              </w:rPr>
            </w:pPr>
            <w:r w:rsidRPr="003B15C0">
              <w:rPr>
                <w:color w:val="000000"/>
                <w:sz w:val="22"/>
                <w:szCs w:val="22"/>
                <w:lang w:eastAsia="en-US"/>
              </w:rPr>
              <w:t>SSE</w:t>
            </w:r>
            <w:r>
              <w:rPr>
                <w:color w:val="000000"/>
                <w:sz w:val="22"/>
                <w:szCs w:val="22"/>
                <w:lang w:eastAsia="en-US"/>
              </w:rPr>
              <w:t>S</w:t>
            </w:r>
            <w:r w:rsidRPr="003B15C0">
              <w:rPr>
                <w:color w:val="000000"/>
                <w:sz w:val="22"/>
                <w:szCs w:val="22"/>
                <w:lang w:eastAsia="en-US"/>
              </w:rPr>
              <w:t>/SSS</w:t>
            </w:r>
            <w:r>
              <w:rPr>
                <w:color w:val="000000"/>
                <w:sz w:val="22"/>
                <w:szCs w:val="22"/>
                <w:lang w:eastAsia="en-US"/>
              </w:rPr>
              <w:t>/FAO</w:t>
            </w:r>
          </w:p>
        </w:tc>
        <w:tc>
          <w:tcPr>
            <w:tcW w:w="3228" w:type="dxa"/>
          </w:tcPr>
          <w:p w:rsidR="00102548" w:rsidRDefault="00102548" w:rsidP="00DE2CBB">
            <w:pPr>
              <w:widowControl w:val="0"/>
              <w:tabs>
                <w:tab w:val="left" w:pos="220"/>
                <w:tab w:val="left" w:pos="720"/>
              </w:tabs>
              <w:autoSpaceDE w:val="0"/>
              <w:autoSpaceDN w:val="0"/>
              <w:adjustRightInd w:val="0"/>
              <w:jc w:val="both"/>
              <w:rPr>
                <w:rFonts w:ascii="Times" w:hAnsi="Times" w:cs="Times"/>
                <w:color w:val="000000"/>
                <w:lang w:eastAsia="en-US"/>
              </w:rPr>
            </w:pPr>
            <w:r>
              <w:rPr>
                <w:color w:val="000000"/>
                <w:sz w:val="22"/>
                <w:szCs w:val="22"/>
                <w:lang w:eastAsia="en-US"/>
              </w:rPr>
              <w:t>AAAC/Banque Mondiale</w:t>
            </w:r>
          </w:p>
        </w:tc>
      </w:tr>
      <w:tr w:rsidR="00102548" w:rsidTr="00DE2CBB">
        <w:tc>
          <w:tcPr>
            <w:tcW w:w="3911" w:type="dxa"/>
          </w:tcPr>
          <w:p w:rsidR="00102548" w:rsidRPr="00475565" w:rsidRDefault="00102548" w:rsidP="00DE2CBB">
            <w:pPr>
              <w:widowControl w:val="0"/>
              <w:tabs>
                <w:tab w:val="left" w:pos="220"/>
                <w:tab w:val="left" w:pos="720"/>
              </w:tabs>
              <w:autoSpaceDE w:val="0"/>
              <w:autoSpaceDN w:val="0"/>
              <w:adjustRightInd w:val="0"/>
              <w:jc w:val="both"/>
              <w:rPr>
                <w:sz w:val="21"/>
                <w:szCs w:val="21"/>
              </w:rPr>
            </w:pPr>
            <w:r w:rsidRPr="00475565">
              <w:rPr>
                <w:sz w:val="21"/>
                <w:szCs w:val="21"/>
              </w:rPr>
              <w:t>Préparation des TDR</w:t>
            </w:r>
          </w:p>
        </w:tc>
        <w:tc>
          <w:tcPr>
            <w:tcW w:w="2359" w:type="dxa"/>
          </w:tcPr>
          <w:p w:rsidR="00102548" w:rsidRDefault="00102548" w:rsidP="00DE2CBB">
            <w:pPr>
              <w:widowControl w:val="0"/>
              <w:tabs>
                <w:tab w:val="left" w:pos="220"/>
                <w:tab w:val="left" w:pos="720"/>
              </w:tabs>
              <w:autoSpaceDE w:val="0"/>
              <w:autoSpaceDN w:val="0"/>
              <w:adjustRightInd w:val="0"/>
              <w:jc w:val="both"/>
              <w:rPr>
                <w:rFonts w:ascii="Times" w:hAnsi="Times" w:cs="Times"/>
                <w:color w:val="000000"/>
                <w:lang w:eastAsia="en-US"/>
              </w:rPr>
            </w:pPr>
            <w:r w:rsidRPr="003B15C0">
              <w:rPr>
                <w:color w:val="000000"/>
                <w:sz w:val="22"/>
                <w:szCs w:val="22"/>
                <w:lang w:eastAsia="en-US"/>
              </w:rPr>
              <w:t>SSE</w:t>
            </w:r>
            <w:r>
              <w:rPr>
                <w:color w:val="000000"/>
                <w:sz w:val="22"/>
                <w:szCs w:val="22"/>
                <w:lang w:eastAsia="en-US"/>
              </w:rPr>
              <w:t>S</w:t>
            </w:r>
          </w:p>
        </w:tc>
        <w:tc>
          <w:tcPr>
            <w:tcW w:w="3228" w:type="dxa"/>
          </w:tcPr>
          <w:p w:rsidR="00102548" w:rsidRDefault="00102548" w:rsidP="00DE2CBB">
            <w:pPr>
              <w:widowControl w:val="0"/>
              <w:tabs>
                <w:tab w:val="left" w:pos="220"/>
                <w:tab w:val="left" w:pos="720"/>
              </w:tabs>
              <w:autoSpaceDE w:val="0"/>
              <w:autoSpaceDN w:val="0"/>
              <w:adjustRightInd w:val="0"/>
              <w:jc w:val="both"/>
              <w:rPr>
                <w:rFonts w:ascii="Times" w:hAnsi="Times" w:cs="Times"/>
                <w:color w:val="000000"/>
                <w:lang w:eastAsia="en-US"/>
              </w:rPr>
            </w:pPr>
            <w:r>
              <w:rPr>
                <w:color w:val="000000"/>
                <w:sz w:val="22"/>
                <w:szCs w:val="22"/>
                <w:lang w:eastAsia="en-US"/>
              </w:rPr>
              <w:t>AAAC/Banque Mondiale</w:t>
            </w:r>
          </w:p>
        </w:tc>
      </w:tr>
      <w:tr w:rsidR="00102548" w:rsidTr="00DE2CBB">
        <w:trPr>
          <w:trHeight w:val="515"/>
        </w:trPr>
        <w:tc>
          <w:tcPr>
            <w:tcW w:w="3911" w:type="dxa"/>
          </w:tcPr>
          <w:p w:rsidR="00102548" w:rsidRPr="00475565" w:rsidRDefault="00102548" w:rsidP="00DE2CBB">
            <w:pPr>
              <w:widowControl w:val="0"/>
              <w:tabs>
                <w:tab w:val="left" w:pos="220"/>
                <w:tab w:val="left" w:pos="720"/>
              </w:tabs>
              <w:autoSpaceDE w:val="0"/>
              <w:autoSpaceDN w:val="0"/>
              <w:adjustRightInd w:val="0"/>
              <w:jc w:val="both"/>
              <w:rPr>
                <w:sz w:val="21"/>
                <w:szCs w:val="21"/>
              </w:rPr>
            </w:pPr>
            <w:r w:rsidRPr="00475565">
              <w:rPr>
                <w:sz w:val="21"/>
                <w:szCs w:val="21"/>
              </w:rPr>
              <w:t xml:space="preserve">Réalisation </w:t>
            </w:r>
            <w:r>
              <w:rPr>
                <w:sz w:val="21"/>
                <w:szCs w:val="21"/>
              </w:rPr>
              <w:t>des AEI</w:t>
            </w:r>
            <w:r w:rsidRPr="00475565">
              <w:rPr>
                <w:sz w:val="21"/>
                <w:szCs w:val="21"/>
              </w:rPr>
              <w:t xml:space="preserve"> y compris la consultation du publique</w:t>
            </w:r>
          </w:p>
        </w:tc>
        <w:tc>
          <w:tcPr>
            <w:tcW w:w="2359" w:type="dxa"/>
          </w:tcPr>
          <w:p w:rsidR="00102548" w:rsidRPr="003B15C0"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Consultant</w:t>
            </w:r>
          </w:p>
        </w:tc>
        <w:tc>
          <w:tcPr>
            <w:tcW w:w="3228"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AAAC/Banque Mondiale</w:t>
            </w:r>
          </w:p>
        </w:tc>
      </w:tr>
      <w:tr w:rsidR="00102548" w:rsidTr="00DE2CBB">
        <w:tc>
          <w:tcPr>
            <w:tcW w:w="3911" w:type="dxa"/>
          </w:tcPr>
          <w:p w:rsidR="00102548" w:rsidRPr="00817804" w:rsidRDefault="00102548" w:rsidP="00DE2CBB">
            <w:pPr>
              <w:rPr>
                <w:rFonts w:eastAsia="Times New Roman" w:cs="Calibri"/>
                <w:sz w:val="19"/>
                <w:szCs w:val="19"/>
                <w:lang w:val="fr-CA" w:eastAsia="en-US"/>
              </w:rPr>
            </w:pPr>
            <w:r w:rsidRPr="00F96430">
              <w:rPr>
                <w:sz w:val="20"/>
                <w:szCs w:val="20"/>
              </w:rPr>
              <w:t>Réalisation des directives, bonnes pratiques agricoles et manuel d’entretien des infrastructures agricoles</w:t>
            </w:r>
            <w:r w:rsidRPr="00FF68A0">
              <w:rPr>
                <w:rFonts w:eastAsia="Times New Roman" w:cs="Calibri"/>
                <w:sz w:val="19"/>
                <w:szCs w:val="19"/>
                <w:lang w:val="fr-CA" w:eastAsia="en-US"/>
              </w:rPr>
              <w:t xml:space="preserve"> </w:t>
            </w:r>
          </w:p>
        </w:tc>
        <w:tc>
          <w:tcPr>
            <w:tcW w:w="2359" w:type="dxa"/>
          </w:tcPr>
          <w:p w:rsidR="00102548" w:rsidRDefault="00102548" w:rsidP="00DE2CBB">
            <w:pPr>
              <w:widowControl w:val="0"/>
              <w:tabs>
                <w:tab w:val="left" w:pos="220"/>
                <w:tab w:val="left" w:pos="720"/>
                <w:tab w:val="right" w:pos="2051"/>
              </w:tabs>
              <w:autoSpaceDE w:val="0"/>
              <w:autoSpaceDN w:val="0"/>
              <w:adjustRightInd w:val="0"/>
              <w:jc w:val="both"/>
              <w:rPr>
                <w:color w:val="000000"/>
                <w:sz w:val="22"/>
                <w:szCs w:val="22"/>
                <w:lang w:eastAsia="en-US"/>
              </w:rPr>
            </w:pPr>
            <w:r w:rsidRPr="00FF68A0">
              <w:rPr>
                <w:rFonts w:eastAsia="Times New Roman" w:cs="Calibri"/>
                <w:sz w:val="19"/>
                <w:szCs w:val="19"/>
                <w:lang w:val="fr-CA" w:eastAsia="en-US"/>
              </w:rPr>
              <w:t>D</w:t>
            </w:r>
            <w:r>
              <w:rPr>
                <w:rFonts w:eastAsia="Times New Roman" w:cs="Calibri"/>
                <w:sz w:val="19"/>
                <w:szCs w:val="19"/>
                <w:lang w:val="fr-CA" w:eastAsia="en-US"/>
              </w:rPr>
              <w:t>G</w:t>
            </w:r>
            <w:r w:rsidRPr="00FF68A0">
              <w:rPr>
                <w:rFonts w:eastAsia="Times New Roman" w:cs="Calibri"/>
                <w:sz w:val="19"/>
                <w:szCs w:val="19"/>
                <w:lang w:val="fr-CA" w:eastAsia="en-US"/>
              </w:rPr>
              <w:t>A</w:t>
            </w:r>
            <w:r>
              <w:rPr>
                <w:rFonts w:eastAsia="Times New Roman" w:cs="Calibri"/>
                <w:sz w:val="19"/>
                <w:szCs w:val="19"/>
                <w:lang w:val="fr-CA" w:eastAsia="en-US"/>
              </w:rPr>
              <w:t>/DPV/consultant/ONG</w:t>
            </w:r>
            <w:r>
              <w:rPr>
                <w:rFonts w:eastAsia="Times New Roman" w:cs="Calibri"/>
                <w:sz w:val="19"/>
                <w:szCs w:val="19"/>
                <w:lang w:val="fr-CA" w:eastAsia="en-US"/>
              </w:rPr>
              <w:tab/>
            </w:r>
          </w:p>
        </w:tc>
        <w:tc>
          <w:tcPr>
            <w:tcW w:w="3228"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sidRPr="003B15C0">
              <w:rPr>
                <w:color w:val="000000"/>
                <w:sz w:val="22"/>
                <w:szCs w:val="22"/>
                <w:lang w:eastAsia="en-US"/>
              </w:rPr>
              <w:t>SSE</w:t>
            </w:r>
            <w:r>
              <w:rPr>
                <w:color w:val="000000"/>
                <w:sz w:val="22"/>
                <w:szCs w:val="22"/>
                <w:lang w:eastAsia="en-US"/>
              </w:rPr>
              <w:t>S/FAO/ Banque Mondiale</w:t>
            </w:r>
          </w:p>
        </w:tc>
      </w:tr>
      <w:tr w:rsidR="00102548" w:rsidTr="00DE2CBB">
        <w:tc>
          <w:tcPr>
            <w:tcW w:w="3911" w:type="dxa"/>
          </w:tcPr>
          <w:p w:rsidR="00102548" w:rsidRPr="00475565" w:rsidRDefault="00102548" w:rsidP="00DE2CBB">
            <w:pPr>
              <w:widowControl w:val="0"/>
              <w:tabs>
                <w:tab w:val="left" w:pos="220"/>
                <w:tab w:val="left" w:pos="720"/>
              </w:tabs>
              <w:autoSpaceDE w:val="0"/>
              <w:autoSpaceDN w:val="0"/>
              <w:adjustRightInd w:val="0"/>
              <w:jc w:val="both"/>
              <w:rPr>
                <w:sz w:val="21"/>
                <w:szCs w:val="21"/>
              </w:rPr>
            </w:pPr>
            <w:r>
              <w:rPr>
                <w:sz w:val="21"/>
                <w:szCs w:val="21"/>
              </w:rPr>
              <w:t xml:space="preserve">Réalisation des </w:t>
            </w:r>
            <w:r w:rsidRPr="00475565">
              <w:rPr>
                <w:sz w:val="21"/>
                <w:szCs w:val="21"/>
              </w:rPr>
              <w:t xml:space="preserve">PGES </w:t>
            </w:r>
            <w:r>
              <w:rPr>
                <w:sz w:val="21"/>
                <w:szCs w:val="21"/>
              </w:rPr>
              <w:t>de chantier mensuelle</w:t>
            </w:r>
          </w:p>
        </w:tc>
        <w:tc>
          <w:tcPr>
            <w:tcW w:w="2359" w:type="dxa"/>
          </w:tcPr>
          <w:p w:rsidR="00102548" w:rsidRPr="003B15C0"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ENTREPRISE</w:t>
            </w:r>
          </w:p>
        </w:tc>
        <w:tc>
          <w:tcPr>
            <w:tcW w:w="3228"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SSES/</w:t>
            </w:r>
            <w:r w:rsidRPr="003B15C0">
              <w:rPr>
                <w:color w:val="000000"/>
                <w:sz w:val="22"/>
                <w:szCs w:val="22"/>
                <w:lang w:eastAsia="en-US"/>
              </w:rPr>
              <w:t xml:space="preserve"> Bureaux de contrô</w:t>
            </w:r>
            <w:r>
              <w:rPr>
                <w:color w:val="000000"/>
                <w:sz w:val="22"/>
                <w:szCs w:val="22"/>
                <w:lang w:eastAsia="en-US"/>
              </w:rPr>
              <w:t>le </w:t>
            </w:r>
          </w:p>
        </w:tc>
      </w:tr>
      <w:tr w:rsidR="00102548" w:rsidTr="00DE2CBB">
        <w:tc>
          <w:tcPr>
            <w:tcW w:w="3911" w:type="dxa"/>
          </w:tcPr>
          <w:p w:rsidR="00102548" w:rsidRDefault="00102548" w:rsidP="00DE2CBB">
            <w:pPr>
              <w:widowControl w:val="0"/>
              <w:tabs>
                <w:tab w:val="left" w:pos="220"/>
                <w:tab w:val="left" w:pos="720"/>
              </w:tabs>
              <w:autoSpaceDE w:val="0"/>
              <w:autoSpaceDN w:val="0"/>
              <w:adjustRightInd w:val="0"/>
              <w:jc w:val="both"/>
              <w:rPr>
                <w:sz w:val="21"/>
                <w:szCs w:val="21"/>
              </w:rPr>
            </w:pPr>
            <w:r w:rsidRPr="00567F82">
              <w:rPr>
                <w:sz w:val="21"/>
                <w:szCs w:val="21"/>
              </w:rPr>
              <w:t>Elaboration d'un plan de gestion des déchets</w:t>
            </w:r>
          </w:p>
        </w:tc>
        <w:tc>
          <w:tcPr>
            <w:tcW w:w="2359"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ENTREPRISE</w:t>
            </w:r>
          </w:p>
        </w:tc>
        <w:tc>
          <w:tcPr>
            <w:tcW w:w="3228"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SSES/</w:t>
            </w:r>
            <w:r w:rsidRPr="003B15C0">
              <w:rPr>
                <w:color w:val="000000"/>
                <w:sz w:val="22"/>
                <w:szCs w:val="22"/>
                <w:lang w:eastAsia="en-US"/>
              </w:rPr>
              <w:t xml:space="preserve"> Bureaux de contrô</w:t>
            </w:r>
            <w:r>
              <w:rPr>
                <w:color w:val="000000"/>
                <w:sz w:val="22"/>
                <w:szCs w:val="22"/>
                <w:lang w:eastAsia="en-US"/>
              </w:rPr>
              <w:t>le/ Banque Mondiale</w:t>
            </w:r>
          </w:p>
        </w:tc>
      </w:tr>
      <w:tr w:rsidR="00102548" w:rsidTr="00DE2CBB">
        <w:tc>
          <w:tcPr>
            <w:tcW w:w="3911" w:type="dxa"/>
          </w:tcPr>
          <w:p w:rsidR="00102548" w:rsidRDefault="00102548" w:rsidP="00DE2CBB">
            <w:pPr>
              <w:widowControl w:val="0"/>
              <w:tabs>
                <w:tab w:val="left" w:pos="220"/>
                <w:tab w:val="left" w:pos="720"/>
              </w:tabs>
              <w:autoSpaceDE w:val="0"/>
              <w:autoSpaceDN w:val="0"/>
              <w:adjustRightInd w:val="0"/>
              <w:jc w:val="both"/>
              <w:rPr>
                <w:sz w:val="21"/>
                <w:szCs w:val="21"/>
              </w:rPr>
            </w:pPr>
            <w:r>
              <w:rPr>
                <w:color w:val="000000"/>
                <w:sz w:val="22"/>
                <w:szCs w:val="22"/>
                <w:lang w:eastAsia="en-US"/>
              </w:rPr>
              <w:t>Réalisation</w:t>
            </w:r>
            <w:r w:rsidRPr="003B15C0">
              <w:rPr>
                <w:color w:val="000000"/>
                <w:sz w:val="22"/>
                <w:szCs w:val="22"/>
                <w:lang w:eastAsia="en-US"/>
              </w:rPr>
              <w:t xml:space="preserve"> des rapports</w:t>
            </w:r>
            <w:r>
              <w:rPr>
                <w:rFonts w:ascii="Times" w:hAnsi="Times" w:cs="Times"/>
                <w:color w:val="000000"/>
                <w:sz w:val="22"/>
                <w:szCs w:val="22"/>
                <w:lang w:eastAsia="en-US"/>
              </w:rPr>
              <w:t xml:space="preserve"> </w:t>
            </w:r>
            <w:r w:rsidRPr="003B15C0">
              <w:rPr>
                <w:color w:val="000000"/>
                <w:sz w:val="22"/>
                <w:szCs w:val="22"/>
                <w:lang w:eastAsia="en-US"/>
              </w:rPr>
              <w:t>semestriels sur la conformité environnementale et sociale du projet</w:t>
            </w:r>
          </w:p>
        </w:tc>
        <w:tc>
          <w:tcPr>
            <w:tcW w:w="2359"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sidRPr="003B15C0">
              <w:rPr>
                <w:color w:val="000000"/>
                <w:sz w:val="22"/>
                <w:szCs w:val="22"/>
                <w:lang w:eastAsia="en-US"/>
              </w:rPr>
              <w:t>SSE</w:t>
            </w:r>
            <w:r>
              <w:rPr>
                <w:color w:val="000000"/>
                <w:sz w:val="22"/>
                <w:szCs w:val="22"/>
                <w:lang w:eastAsia="en-US"/>
              </w:rPr>
              <w:t>S</w:t>
            </w:r>
            <w:r w:rsidRPr="003B15C0">
              <w:rPr>
                <w:color w:val="000000"/>
                <w:sz w:val="22"/>
                <w:szCs w:val="22"/>
                <w:lang w:eastAsia="en-US"/>
              </w:rPr>
              <w:t>/SSS</w:t>
            </w:r>
            <w:r>
              <w:rPr>
                <w:color w:val="000000"/>
                <w:sz w:val="22"/>
                <w:szCs w:val="22"/>
                <w:lang w:eastAsia="en-US"/>
              </w:rPr>
              <w:t>/FOA</w:t>
            </w:r>
          </w:p>
        </w:tc>
        <w:tc>
          <w:tcPr>
            <w:tcW w:w="3228"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Banque Mondiale</w:t>
            </w:r>
          </w:p>
        </w:tc>
      </w:tr>
      <w:tr w:rsidR="00102548" w:rsidTr="00DE2CBB">
        <w:tc>
          <w:tcPr>
            <w:tcW w:w="3911"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Réalisation des r</w:t>
            </w:r>
            <w:r w:rsidRPr="003B15C0">
              <w:rPr>
                <w:color w:val="000000"/>
                <w:sz w:val="22"/>
                <w:szCs w:val="22"/>
                <w:lang w:eastAsia="en-US"/>
              </w:rPr>
              <w:t xml:space="preserve">apports mensuels </w:t>
            </w:r>
            <w:r>
              <w:rPr>
                <w:rFonts w:ascii="MS Mincho" w:eastAsia="MS Mincho" w:hAnsi="MS Mincho" w:cs="MS Mincho"/>
                <w:color w:val="000000"/>
                <w:sz w:val="22"/>
                <w:szCs w:val="22"/>
                <w:lang w:eastAsia="en-US"/>
              </w:rPr>
              <w:t>s</w:t>
            </w:r>
            <w:r w:rsidRPr="003B15C0">
              <w:rPr>
                <w:color w:val="000000"/>
                <w:sz w:val="22"/>
                <w:szCs w:val="22"/>
                <w:lang w:eastAsia="en-US"/>
              </w:rPr>
              <w:t xml:space="preserve">ur l’exécution des clauses environnementales et sociales par les entreprises </w:t>
            </w:r>
            <w:r>
              <w:rPr>
                <w:color w:val="000000"/>
                <w:sz w:val="22"/>
                <w:szCs w:val="22"/>
                <w:lang w:eastAsia="en-US"/>
              </w:rPr>
              <w:t>et la FAO</w:t>
            </w:r>
            <w:r w:rsidRPr="003B15C0">
              <w:rPr>
                <w:color w:val="000000"/>
                <w:sz w:val="22"/>
                <w:szCs w:val="22"/>
                <w:lang w:eastAsia="en-US"/>
              </w:rPr>
              <w:t xml:space="preserve"> ;</w:t>
            </w:r>
          </w:p>
        </w:tc>
        <w:tc>
          <w:tcPr>
            <w:tcW w:w="2359" w:type="dxa"/>
          </w:tcPr>
          <w:p w:rsidR="00102548" w:rsidRPr="003B15C0" w:rsidRDefault="00102548" w:rsidP="00DE2CBB">
            <w:pPr>
              <w:widowControl w:val="0"/>
              <w:tabs>
                <w:tab w:val="left" w:pos="220"/>
                <w:tab w:val="left" w:pos="720"/>
              </w:tabs>
              <w:autoSpaceDE w:val="0"/>
              <w:autoSpaceDN w:val="0"/>
              <w:adjustRightInd w:val="0"/>
              <w:jc w:val="both"/>
              <w:rPr>
                <w:color w:val="000000"/>
                <w:sz w:val="22"/>
                <w:szCs w:val="22"/>
                <w:lang w:eastAsia="en-US"/>
              </w:rPr>
            </w:pPr>
            <w:r w:rsidRPr="003B15C0">
              <w:rPr>
                <w:color w:val="000000"/>
                <w:sz w:val="22"/>
                <w:szCs w:val="22"/>
                <w:lang w:eastAsia="en-US"/>
              </w:rPr>
              <w:t>Bureaux de contrô</w:t>
            </w:r>
            <w:r>
              <w:rPr>
                <w:color w:val="000000"/>
                <w:sz w:val="22"/>
                <w:szCs w:val="22"/>
                <w:lang w:eastAsia="en-US"/>
              </w:rPr>
              <w:t>le </w:t>
            </w:r>
          </w:p>
        </w:tc>
        <w:tc>
          <w:tcPr>
            <w:tcW w:w="3228"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Banque Mondiale</w:t>
            </w:r>
          </w:p>
        </w:tc>
      </w:tr>
      <w:tr w:rsidR="00102548" w:rsidTr="00DE2CBB">
        <w:tc>
          <w:tcPr>
            <w:tcW w:w="3911"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sz w:val="21"/>
                <w:szCs w:val="21"/>
              </w:rPr>
              <w:t xml:space="preserve">Réalisation des rapports de </w:t>
            </w:r>
            <w:r w:rsidRPr="00475565">
              <w:rPr>
                <w:sz w:val="21"/>
                <w:szCs w:val="21"/>
              </w:rPr>
              <w:t>Suivi environnemental et social</w:t>
            </w:r>
            <w:r>
              <w:rPr>
                <w:sz w:val="21"/>
                <w:szCs w:val="21"/>
              </w:rPr>
              <w:t xml:space="preserve"> mensuelle</w:t>
            </w:r>
          </w:p>
        </w:tc>
        <w:tc>
          <w:tcPr>
            <w:tcW w:w="2359" w:type="dxa"/>
          </w:tcPr>
          <w:p w:rsidR="00102548" w:rsidRPr="003B15C0"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AAAC</w:t>
            </w:r>
          </w:p>
        </w:tc>
        <w:tc>
          <w:tcPr>
            <w:tcW w:w="3228"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Banque Mondiale</w:t>
            </w:r>
          </w:p>
        </w:tc>
      </w:tr>
      <w:tr w:rsidR="00102548" w:rsidTr="00DE2CBB">
        <w:tc>
          <w:tcPr>
            <w:tcW w:w="3911" w:type="dxa"/>
          </w:tcPr>
          <w:p w:rsidR="00102548" w:rsidRDefault="00102548" w:rsidP="00DE2CBB">
            <w:pPr>
              <w:widowControl w:val="0"/>
              <w:tabs>
                <w:tab w:val="left" w:pos="220"/>
                <w:tab w:val="left" w:pos="720"/>
              </w:tabs>
              <w:autoSpaceDE w:val="0"/>
              <w:autoSpaceDN w:val="0"/>
              <w:adjustRightInd w:val="0"/>
              <w:jc w:val="both"/>
              <w:rPr>
                <w:sz w:val="21"/>
                <w:szCs w:val="21"/>
              </w:rPr>
            </w:pPr>
            <w:r>
              <w:rPr>
                <w:color w:val="000000"/>
                <w:sz w:val="22"/>
                <w:szCs w:val="22"/>
                <w:lang w:eastAsia="en-US"/>
              </w:rPr>
              <w:t xml:space="preserve">Réalisation des rapports </w:t>
            </w:r>
            <w:r w:rsidRPr="003B15C0">
              <w:rPr>
                <w:color w:val="000000"/>
                <w:sz w:val="22"/>
                <w:szCs w:val="22"/>
                <w:lang w:eastAsia="en-US"/>
              </w:rPr>
              <w:t>évaluation/audit de la mise en œuvre du CGES</w:t>
            </w:r>
            <w:r>
              <w:rPr>
                <w:color w:val="000000"/>
                <w:sz w:val="22"/>
                <w:szCs w:val="22"/>
                <w:lang w:eastAsia="en-US"/>
              </w:rPr>
              <w:t>, des PGES</w:t>
            </w:r>
            <w:r w:rsidRPr="003B15C0">
              <w:rPr>
                <w:color w:val="000000"/>
                <w:sz w:val="22"/>
                <w:szCs w:val="22"/>
                <w:lang w:eastAsia="en-US"/>
              </w:rPr>
              <w:t xml:space="preserve"> à mi-parcours et à la fin du proje</w:t>
            </w:r>
            <w:r>
              <w:rPr>
                <w:color w:val="000000"/>
                <w:sz w:val="22"/>
                <w:szCs w:val="22"/>
                <w:lang w:eastAsia="en-US"/>
              </w:rPr>
              <w:t>t</w:t>
            </w:r>
          </w:p>
        </w:tc>
        <w:tc>
          <w:tcPr>
            <w:tcW w:w="2359"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sidRPr="003B15C0">
              <w:rPr>
                <w:color w:val="000000"/>
                <w:sz w:val="22"/>
                <w:szCs w:val="22"/>
                <w:lang w:eastAsia="en-US"/>
              </w:rPr>
              <w:t>Consultants indépendants</w:t>
            </w:r>
          </w:p>
        </w:tc>
        <w:tc>
          <w:tcPr>
            <w:tcW w:w="3228"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Banque Mondiale</w:t>
            </w:r>
          </w:p>
        </w:tc>
      </w:tr>
      <w:tr w:rsidR="00102548" w:rsidTr="00DE2CBB">
        <w:tc>
          <w:tcPr>
            <w:tcW w:w="3911"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 xml:space="preserve">Diffusion de tous les </w:t>
            </w:r>
            <w:r w:rsidRPr="003B15C0">
              <w:rPr>
                <w:color w:val="000000"/>
                <w:sz w:val="22"/>
                <w:szCs w:val="22"/>
                <w:lang w:eastAsia="en-US"/>
              </w:rPr>
              <w:t>rapports</w:t>
            </w:r>
            <w:r>
              <w:rPr>
                <w:color w:val="000000"/>
                <w:sz w:val="22"/>
                <w:szCs w:val="22"/>
                <w:lang w:eastAsia="en-US"/>
              </w:rPr>
              <w:t xml:space="preserve"> ou d’incident</w:t>
            </w:r>
          </w:p>
        </w:tc>
        <w:tc>
          <w:tcPr>
            <w:tcW w:w="2359" w:type="dxa"/>
          </w:tcPr>
          <w:p w:rsidR="00102548" w:rsidRPr="003B15C0"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Coordonnateur /SSES</w:t>
            </w:r>
          </w:p>
        </w:tc>
        <w:tc>
          <w:tcPr>
            <w:tcW w:w="3228" w:type="dxa"/>
          </w:tcPr>
          <w:p w:rsidR="00102548" w:rsidRDefault="00102548" w:rsidP="00DE2CBB">
            <w:pPr>
              <w:widowControl w:val="0"/>
              <w:tabs>
                <w:tab w:val="left" w:pos="220"/>
                <w:tab w:val="left" w:pos="720"/>
              </w:tabs>
              <w:autoSpaceDE w:val="0"/>
              <w:autoSpaceDN w:val="0"/>
              <w:adjustRightInd w:val="0"/>
              <w:jc w:val="both"/>
              <w:rPr>
                <w:color w:val="000000"/>
                <w:sz w:val="22"/>
                <w:szCs w:val="22"/>
                <w:lang w:eastAsia="en-US"/>
              </w:rPr>
            </w:pPr>
            <w:r>
              <w:rPr>
                <w:color w:val="000000"/>
                <w:sz w:val="22"/>
                <w:szCs w:val="22"/>
                <w:lang w:eastAsia="en-US"/>
              </w:rPr>
              <w:t>Banque Mondiale</w:t>
            </w:r>
          </w:p>
        </w:tc>
      </w:tr>
    </w:tbl>
    <w:p w:rsidR="004E4D18" w:rsidRPr="00A05698" w:rsidRDefault="004E4D18" w:rsidP="002E7358">
      <w:pPr>
        <w:widowControl w:val="0"/>
        <w:autoSpaceDE w:val="0"/>
        <w:autoSpaceDN w:val="0"/>
        <w:adjustRightInd w:val="0"/>
        <w:spacing w:after="240"/>
        <w:ind w:right="-847"/>
        <w:jc w:val="both"/>
      </w:pPr>
    </w:p>
    <w:p w:rsidR="00364223" w:rsidRPr="00540C5C" w:rsidRDefault="00364223" w:rsidP="00157035">
      <w:pPr>
        <w:pStyle w:val="PargrafodaLista"/>
        <w:numPr>
          <w:ilvl w:val="1"/>
          <w:numId w:val="99"/>
        </w:numPr>
        <w:spacing w:after="120" w:line="240" w:lineRule="auto"/>
        <w:ind w:right="-847"/>
        <w:outlineLvl w:val="1"/>
        <w:rPr>
          <w:rFonts w:ascii="Times New Roman" w:hAnsi="Times New Roman"/>
          <w:b/>
          <w:bCs/>
          <w:sz w:val="24"/>
          <w:szCs w:val="24"/>
        </w:rPr>
      </w:pPr>
      <w:bookmarkStart w:id="278" w:name="_Toc495851546"/>
      <w:bookmarkStart w:id="279" w:name="_Toc531092433"/>
      <w:bookmarkStart w:id="280" w:name="_Toc73459756"/>
      <w:r w:rsidRPr="00A05698">
        <w:rPr>
          <w:rFonts w:ascii="Times New Roman" w:hAnsi="Times New Roman"/>
          <w:b/>
          <w:bCs/>
          <w:sz w:val="24"/>
          <w:szCs w:val="24"/>
        </w:rPr>
        <w:t>Arrangements institutionnels et recommandations de mise en œuvre du CGES</w:t>
      </w:r>
      <w:bookmarkEnd w:id="278"/>
      <w:bookmarkEnd w:id="279"/>
      <w:bookmarkEnd w:id="280"/>
    </w:p>
    <w:p w:rsidR="00364223" w:rsidRPr="00A05698" w:rsidRDefault="00364223" w:rsidP="00540C5C">
      <w:pPr>
        <w:widowControl w:val="0"/>
        <w:autoSpaceDE w:val="0"/>
        <w:autoSpaceDN w:val="0"/>
        <w:adjustRightInd w:val="0"/>
        <w:ind w:right="-847"/>
        <w:jc w:val="both"/>
      </w:pPr>
      <w:r w:rsidRPr="00A05698">
        <w:t>Ce</w:t>
      </w:r>
      <w:r w:rsidR="00B62342">
        <w:t xml:space="preserve"> chapitre</w:t>
      </w:r>
      <w:r w:rsidRPr="00A05698">
        <w:t xml:space="preserve"> décrit les rôles et responsabilités concernant la mise en œuvre des mesures enviro</w:t>
      </w:r>
      <w:r w:rsidR="00C33F4D" w:rsidRPr="00A05698">
        <w:t>nnementales prévues pour le projet PUSA</w:t>
      </w:r>
      <w:r w:rsidRPr="00A05698">
        <w:t>.</w:t>
      </w:r>
    </w:p>
    <w:p w:rsidR="00364223" w:rsidRPr="00A05698" w:rsidRDefault="00364223" w:rsidP="00540C5C">
      <w:pPr>
        <w:tabs>
          <w:tab w:val="left" w:pos="426"/>
        </w:tabs>
        <w:contextualSpacing/>
        <w:rPr>
          <w:sz w:val="22"/>
          <w:szCs w:val="22"/>
          <w:u w:val="single"/>
        </w:rPr>
      </w:pPr>
      <w:r w:rsidRPr="00A05698">
        <w:rPr>
          <w:sz w:val="22"/>
          <w:szCs w:val="22"/>
          <w:u w:val="single"/>
        </w:rPr>
        <w:t>Arrangements institutionnels pour la mise en œuvre du CGES :</w:t>
      </w:r>
    </w:p>
    <w:p w:rsidR="00364223" w:rsidRPr="00A05698" w:rsidRDefault="00364223" w:rsidP="00540C5C">
      <w:pPr>
        <w:tabs>
          <w:tab w:val="left" w:pos="426"/>
        </w:tabs>
        <w:contextualSpacing/>
        <w:rPr>
          <w:sz w:val="22"/>
          <w:szCs w:val="22"/>
          <w:u w:val="single"/>
        </w:rPr>
      </w:pPr>
    </w:p>
    <w:p w:rsidR="00364223" w:rsidRPr="00475565" w:rsidRDefault="00364223" w:rsidP="00157035">
      <w:pPr>
        <w:numPr>
          <w:ilvl w:val="0"/>
          <w:numId w:val="68"/>
        </w:numPr>
        <w:ind w:right="-847"/>
        <w:jc w:val="both"/>
        <w:rPr>
          <w:sz w:val="22"/>
          <w:szCs w:val="22"/>
        </w:rPr>
      </w:pPr>
      <w:r w:rsidRPr="00475565">
        <w:rPr>
          <w:b/>
          <w:i/>
          <w:sz w:val="22"/>
          <w:szCs w:val="22"/>
        </w:rPr>
        <w:t xml:space="preserve">L’UCP : </w:t>
      </w:r>
      <w:r w:rsidRPr="00475565">
        <w:rPr>
          <w:sz w:val="22"/>
          <w:szCs w:val="22"/>
        </w:rPr>
        <w:t>elle aura la responsabilité globale de la mise en œuvre du présent CGES et des instruments et autres mesures de sauvegarde environnementale et sociale relatives au programme. Elle assure, la préparation desdits documents, l’obtention des certificats et permis requis par la réglementation nationale pertinente avant toute action. Elle rend compte</w:t>
      </w:r>
      <w:r w:rsidR="0050327C">
        <w:rPr>
          <w:sz w:val="22"/>
          <w:szCs w:val="22"/>
        </w:rPr>
        <w:t xml:space="preserve">, à travers </w:t>
      </w:r>
      <w:r w:rsidR="00CA3631">
        <w:rPr>
          <w:sz w:val="22"/>
          <w:szCs w:val="22"/>
        </w:rPr>
        <w:t>son</w:t>
      </w:r>
      <w:r w:rsidR="0050327C">
        <w:rPr>
          <w:sz w:val="22"/>
          <w:szCs w:val="22"/>
        </w:rPr>
        <w:t xml:space="preserve"> Coordonnateur,</w:t>
      </w:r>
      <w:r w:rsidRPr="00475565">
        <w:rPr>
          <w:sz w:val="22"/>
          <w:szCs w:val="22"/>
        </w:rPr>
        <w:t xml:space="preserve"> au comité de pilotage de toutes les diligences, et s’assure que la Banque </w:t>
      </w:r>
      <w:r w:rsidR="00982C79" w:rsidRPr="00475565">
        <w:rPr>
          <w:sz w:val="22"/>
          <w:szCs w:val="22"/>
        </w:rPr>
        <w:t>Mondiale</w:t>
      </w:r>
      <w:r w:rsidR="00276298">
        <w:rPr>
          <w:sz w:val="22"/>
          <w:szCs w:val="22"/>
        </w:rPr>
        <w:t>,</w:t>
      </w:r>
      <w:r w:rsidR="00982C79" w:rsidRPr="00475565">
        <w:rPr>
          <w:sz w:val="22"/>
          <w:szCs w:val="22"/>
        </w:rPr>
        <w:t xml:space="preserve"> </w:t>
      </w:r>
      <w:r w:rsidR="006B6963">
        <w:rPr>
          <w:sz w:val="22"/>
          <w:szCs w:val="22"/>
        </w:rPr>
        <w:t>la</w:t>
      </w:r>
      <w:r w:rsidR="00982C79" w:rsidRPr="00475565">
        <w:rPr>
          <w:sz w:val="22"/>
          <w:szCs w:val="22"/>
        </w:rPr>
        <w:t xml:space="preserve"> FAO</w:t>
      </w:r>
      <w:r w:rsidR="00FA1E53">
        <w:rPr>
          <w:sz w:val="22"/>
          <w:szCs w:val="22"/>
        </w:rPr>
        <w:t>,</w:t>
      </w:r>
      <w:r w:rsidR="006B6963">
        <w:rPr>
          <w:sz w:val="22"/>
          <w:szCs w:val="22"/>
        </w:rPr>
        <w:t xml:space="preserve"> l’AAC</w:t>
      </w:r>
      <w:r w:rsidR="00FA1E53">
        <w:rPr>
          <w:sz w:val="22"/>
          <w:szCs w:val="22"/>
        </w:rPr>
        <w:t>,</w:t>
      </w:r>
      <w:r w:rsidR="00982C79" w:rsidRPr="00475565">
        <w:rPr>
          <w:sz w:val="22"/>
          <w:szCs w:val="22"/>
        </w:rPr>
        <w:t xml:space="preserve"> </w:t>
      </w:r>
      <w:r w:rsidRPr="00475565">
        <w:rPr>
          <w:sz w:val="22"/>
          <w:szCs w:val="22"/>
        </w:rPr>
        <w:t>et les autres acteurs reçoivent tous les rapports</w:t>
      </w:r>
      <w:r w:rsidR="00B23C22">
        <w:rPr>
          <w:sz w:val="22"/>
          <w:szCs w:val="22"/>
        </w:rPr>
        <w:t xml:space="preserve"> trimestriels produits par l’</w:t>
      </w:r>
      <w:r w:rsidR="00031172">
        <w:rPr>
          <w:sz w:val="22"/>
          <w:szCs w:val="22"/>
        </w:rPr>
        <w:t xml:space="preserve">UCP sur la </w:t>
      </w:r>
      <w:r w:rsidR="00E0578E">
        <w:rPr>
          <w:sz w:val="22"/>
          <w:szCs w:val="22"/>
        </w:rPr>
        <w:t>performance</w:t>
      </w:r>
      <w:r w:rsidRPr="00475565">
        <w:rPr>
          <w:sz w:val="22"/>
          <w:szCs w:val="22"/>
        </w:rPr>
        <w:t xml:space="preserve"> environnementale et sociale</w:t>
      </w:r>
      <w:r w:rsidR="00E0578E">
        <w:rPr>
          <w:sz w:val="22"/>
          <w:szCs w:val="22"/>
        </w:rPr>
        <w:t xml:space="preserve"> du projet</w:t>
      </w:r>
      <w:r w:rsidRPr="00475565">
        <w:rPr>
          <w:sz w:val="22"/>
          <w:szCs w:val="22"/>
        </w:rPr>
        <w:t xml:space="preserve">. </w:t>
      </w:r>
    </w:p>
    <w:p w:rsidR="00364223" w:rsidRPr="00475565" w:rsidRDefault="00364223" w:rsidP="00540C5C">
      <w:pPr>
        <w:ind w:left="720"/>
        <w:jc w:val="both"/>
        <w:rPr>
          <w:sz w:val="22"/>
          <w:szCs w:val="22"/>
        </w:rPr>
      </w:pPr>
    </w:p>
    <w:p w:rsidR="00364223" w:rsidRPr="00475565" w:rsidRDefault="00364223" w:rsidP="00157035">
      <w:pPr>
        <w:numPr>
          <w:ilvl w:val="0"/>
          <w:numId w:val="68"/>
        </w:numPr>
        <w:ind w:right="-847"/>
        <w:jc w:val="both"/>
        <w:rPr>
          <w:sz w:val="22"/>
          <w:szCs w:val="22"/>
        </w:rPr>
      </w:pPr>
      <w:r w:rsidRPr="00475565">
        <w:rPr>
          <w:b/>
          <w:i/>
          <w:sz w:val="22"/>
          <w:szCs w:val="22"/>
        </w:rPr>
        <w:t xml:space="preserve">L’Autorité Compétente d’Évaluation Environnementale (AAAC) : </w:t>
      </w:r>
      <w:r w:rsidRPr="00475565">
        <w:rPr>
          <w:sz w:val="22"/>
          <w:szCs w:val="22"/>
        </w:rPr>
        <w:t>L’AAAC (i) validera la classification environnementale des sous-projets, (ii) assurera le suivi environnemental et social des activités du projet, mais aussi l’approbation des éventuelles EIES ainsi que l’adoption et la diffusion des informations issues du CGES et des EIES. Au niveau régional, l’AAAC s’appuie sur les Cabinets de Planification Régionale (CPR) pour le suivi de proximité.</w:t>
      </w:r>
    </w:p>
    <w:p w:rsidR="00364223" w:rsidRPr="00475565" w:rsidRDefault="00364223" w:rsidP="00540C5C">
      <w:pPr>
        <w:ind w:left="708"/>
        <w:jc w:val="both"/>
        <w:rPr>
          <w:sz w:val="22"/>
          <w:szCs w:val="22"/>
        </w:rPr>
      </w:pPr>
    </w:p>
    <w:p w:rsidR="00364223" w:rsidRPr="00475565" w:rsidRDefault="00364223" w:rsidP="00540C5C">
      <w:pPr>
        <w:tabs>
          <w:tab w:val="left" w:pos="426"/>
        </w:tabs>
        <w:contextualSpacing/>
        <w:rPr>
          <w:sz w:val="22"/>
          <w:szCs w:val="22"/>
          <w:u w:val="single"/>
        </w:rPr>
      </w:pPr>
      <w:r w:rsidRPr="00475565">
        <w:rPr>
          <w:sz w:val="22"/>
          <w:szCs w:val="22"/>
          <w:u w:val="single"/>
        </w:rPr>
        <w:t>Rôles et responsabilités pour la mise en œuvre des mesures de gestion environnementales et sociales</w:t>
      </w:r>
    </w:p>
    <w:p w:rsidR="00364223" w:rsidRPr="00475565" w:rsidRDefault="00364223" w:rsidP="00540C5C">
      <w:pPr>
        <w:tabs>
          <w:tab w:val="left" w:pos="426"/>
        </w:tabs>
        <w:contextualSpacing/>
        <w:rPr>
          <w:sz w:val="22"/>
          <w:szCs w:val="22"/>
          <w:u w:val="single"/>
        </w:rPr>
      </w:pPr>
    </w:p>
    <w:p w:rsidR="00364223" w:rsidRPr="00475565" w:rsidRDefault="00364223" w:rsidP="00157035">
      <w:pPr>
        <w:pStyle w:val="PargrafodaLista"/>
        <w:numPr>
          <w:ilvl w:val="0"/>
          <w:numId w:val="69"/>
        </w:numPr>
        <w:spacing w:after="0" w:line="240" w:lineRule="auto"/>
        <w:ind w:right="-847"/>
        <w:jc w:val="both"/>
        <w:rPr>
          <w:rFonts w:ascii="Times New Roman" w:hAnsi="Times New Roman"/>
          <w:sz w:val="22"/>
          <w:szCs w:val="22"/>
        </w:rPr>
      </w:pPr>
      <w:r w:rsidRPr="00475565">
        <w:rPr>
          <w:rFonts w:ascii="Times New Roman" w:hAnsi="Times New Roman"/>
          <w:b/>
          <w:i/>
          <w:sz w:val="22"/>
          <w:szCs w:val="22"/>
        </w:rPr>
        <w:t xml:space="preserve">L’UCP </w:t>
      </w:r>
      <w:r w:rsidRPr="00475565">
        <w:rPr>
          <w:rFonts w:ascii="Times New Roman" w:hAnsi="Times New Roman"/>
          <w:sz w:val="22"/>
          <w:szCs w:val="22"/>
        </w:rPr>
        <w:t xml:space="preserve">est responsable de l’approbation de la catégorisation et la diffusion du rapport de surveillance. </w:t>
      </w:r>
      <w:r w:rsidR="001C30E0" w:rsidRPr="00475565">
        <w:rPr>
          <w:rFonts w:ascii="Times New Roman" w:hAnsi="Times New Roman"/>
          <w:sz w:val="22"/>
          <w:szCs w:val="22"/>
        </w:rPr>
        <w:t>Il</w:t>
      </w:r>
      <w:r w:rsidRPr="00475565">
        <w:rPr>
          <w:rFonts w:ascii="Times New Roman" w:hAnsi="Times New Roman"/>
          <w:sz w:val="22"/>
          <w:szCs w:val="22"/>
        </w:rPr>
        <w:t xml:space="preserve"> va appuyer </w:t>
      </w:r>
      <w:r w:rsidR="001C30E0" w:rsidRPr="00475565">
        <w:rPr>
          <w:rFonts w:ascii="Times New Roman" w:hAnsi="Times New Roman"/>
          <w:sz w:val="22"/>
          <w:szCs w:val="22"/>
        </w:rPr>
        <w:t xml:space="preserve">les </w:t>
      </w:r>
      <w:r w:rsidR="001C30E0" w:rsidRPr="00475565">
        <w:rPr>
          <w:rFonts w:ascii="Times New Roman" w:hAnsi="Times New Roman"/>
          <w:color w:val="000000"/>
          <w:sz w:val="22"/>
          <w:szCs w:val="22"/>
        </w:rPr>
        <w:t>activités</w:t>
      </w:r>
      <w:r w:rsidRPr="00475565">
        <w:rPr>
          <w:rFonts w:ascii="Times New Roman" w:hAnsi="Times New Roman"/>
          <w:color w:val="000000"/>
          <w:sz w:val="22"/>
          <w:szCs w:val="22"/>
        </w:rPr>
        <w:t xml:space="preserve"> de renforcement des capacités des autres structures impliquées dans la mise en œuvre du projet, et est responsable de l’application des mesures de sauvegarde du projet.</w:t>
      </w:r>
    </w:p>
    <w:p w:rsidR="00364223" w:rsidRPr="00475565" w:rsidRDefault="00364223" w:rsidP="00540C5C">
      <w:pPr>
        <w:ind w:left="360"/>
        <w:rPr>
          <w:sz w:val="22"/>
          <w:szCs w:val="22"/>
        </w:rPr>
      </w:pPr>
    </w:p>
    <w:p w:rsidR="00364223" w:rsidRPr="00475565" w:rsidRDefault="00364223" w:rsidP="00157035">
      <w:pPr>
        <w:numPr>
          <w:ilvl w:val="0"/>
          <w:numId w:val="70"/>
        </w:numPr>
        <w:ind w:right="-847"/>
        <w:jc w:val="both"/>
        <w:rPr>
          <w:sz w:val="22"/>
          <w:szCs w:val="22"/>
        </w:rPr>
      </w:pPr>
      <w:r w:rsidRPr="00475565">
        <w:rPr>
          <w:b/>
          <w:i/>
          <w:sz w:val="22"/>
          <w:szCs w:val="22"/>
        </w:rPr>
        <w:t>Le Spécialiste en Sauvegardes Environnementales et Sociales (SSES)</w:t>
      </w:r>
      <w:r w:rsidRPr="00475565">
        <w:rPr>
          <w:sz w:val="22"/>
          <w:szCs w:val="22"/>
        </w:rPr>
        <w:t xml:space="preserve">  est responsable de : la sélection environnementale et sociale (Screening-remplissage des formulaires), et </w:t>
      </w:r>
      <w:r w:rsidR="0025747A" w:rsidRPr="00475565">
        <w:rPr>
          <w:sz w:val="22"/>
          <w:szCs w:val="22"/>
        </w:rPr>
        <w:t xml:space="preserve">la </w:t>
      </w:r>
      <w:r w:rsidRPr="00475565">
        <w:rPr>
          <w:sz w:val="22"/>
          <w:szCs w:val="22"/>
        </w:rPr>
        <w:t>détermination du type d’instrument spécifique de sauvegarde ; la préparation et l’approbation des TDR ; la réalisation de l’étude y compris la consultation du public ; la validation du document et l’obtention du certificat de conformité environnementale ; la publication du document ; l’approbation du PGES entreprise ; l’exécution/Mise en œuvre des mesures non contractualisées avec l’entreprise de construction ; la surveillance interne de  la mise en œuvre des mesures environnementales et sociales ; le renforcement des capacités des acteurs sur la mise en œuvre  environnementales et sociales et l’audit de mise en œuvre des mesures environnementales et sociales. Ils s’assurent de la qualité de tous documents de sauvegardes du projet en particu</w:t>
      </w:r>
      <w:r w:rsidR="00430564" w:rsidRPr="00475565">
        <w:rPr>
          <w:sz w:val="22"/>
          <w:szCs w:val="22"/>
        </w:rPr>
        <w:t>lier ceux à transmettre à la Banque Mondiale</w:t>
      </w:r>
      <w:r w:rsidR="00A77D67">
        <w:rPr>
          <w:sz w:val="22"/>
          <w:szCs w:val="22"/>
        </w:rPr>
        <w:t>,</w:t>
      </w:r>
      <w:r w:rsidR="00430564" w:rsidRPr="00475565">
        <w:rPr>
          <w:sz w:val="22"/>
          <w:szCs w:val="22"/>
        </w:rPr>
        <w:t xml:space="preserve"> la FAO</w:t>
      </w:r>
      <w:r w:rsidR="00A77D67">
        <w:rPr>
          <w:sz w:val="22"/>
          <w:szCs w:val="22"/>
        </w:rPr>
        <w:t>, et l’AAAC</w:t>
      </w:r>
      <w:r w:rsidRPr="00475565">
        <w:rPr>
          <w:sz w:val="22"/>
          <w:szCs w:val="22"/>
        </w:rPr>
        <w:t xml:space="preserve">. </w:t>
      </w:r>
      <w:r w:rsidR="002B42E3" w:rsidRPr="00475565">
        <w:rPr>
          <w:sz w:val="22"/>
          <w:szCs w:val="22"/>
        </w:rPr>
        <w:t>Il est responsable aussi de la mise en œuvre des actions relatives à la prévention, atténuation et réponse aux risques d’EAS/HS.</w:t>
      </w:r>
      <w:r w:rsidR="005D15B2">
        <w:rPr>
          <w:sz w:val="22"/>
          <w:szCs w:val="22"/>
        </w:rPr>
        <w:t xml:space="preserve"> </w:t>
      </w:r>
    </w:p>
    <w:p w:rsidR="00364223" w:rsidRPr="00475565" w:rsidRDefault="00364223" w:rsidP="00540C5C">
      <w:pPr>
        <w:ind w:left="720"/>
        <w:jc w:val="both"/>
        <w:rPr>
          <w:sz w:val="22"/>
          <w:szCs w:val="22"/>
        </w:rPr>
      </w:pPr>
    </w:p>
    <w:p w:rsidR="00364223" w:rsidRPr="00475565" w:rsidRDefault="00364223" w:rsidP="00157035">
      <w:pPr>
        <w:numPr>
          <w:ilvl w:val="0"/>
          <w:numId w:val="70"/>
        </w:numPr>
        <w:ind w:right="-847"/>
        <w:jc w:val="both"/>
        <w:rPr>
          <w:sz w:val="22"/>
          <w:szCs w:val="22"/>
        </w:rPr>
      </w:pPr>
      <w:r w:rsidRPr="00475565">
        <w:rPr>
          <w:b/>
          <w:i/>
          <w:sz w:val="22"/>
          <w:szCs w:val="22"/>
        </w:rPr>
        <w:t xml:space="preserve">Le Responsable en Passation de Marchés (RPM) de </w:t>
      </w:r>
      <w:r w:rsidR="009C3BC4" w:rsidRPr="00475565">
        <w:rPr>
          <w:b/>
          <w:i/>
          <w:sz w:val="22"/>
          <w:szCs w:val="22"/>
        </w:rPr>
        <w:t>l’UCP</w:t>
      </w:r>
      <w:r w:rsidR="009C3BC4" w:rsidRPr="00475565">
        <w:rPr>
          <w:b/>
          <w:sz w:val="22"/>
          <w:szCs w:val="22"/>
        </w:rPr>
        <w:t xml:space="preserve"> :</w:t>
      </w:r>
      <w:r w:rsidRPr="00475565">
        <w:rPr>
          <w:sz w:val="22"/>
          <w:szCs w:val="22"/>
        </w:rPr>
        <w:t xml:space="preserve"> veille à l’inclusion des activités suivantes dans les plans de passation des marchés et prépare les documents contractuels y relatifs (études, intégration des mesures de sauvegardes dans le dossier d’appel d’offres ; PGES entreprise, exécution et mise en œuvre des mesures environnementales et sociales ; renforcement des capacités ; surveillance et audit).</w:t>
      </w:r>
    </w:p>
    <w:p w:rsidR="00364223" w:rsidRPr="00475565" w:rsidRDefault="00364223" w:rsidP="00540C5C">
      <w:pPr>
        <w:pStyle w:val="PargrafodaLista"/>
        <w:spacing w:after="0" w:line="240" w:lineRule="auto"/>
        <w:rPr>
          <w:rFonts w:ascii="Times New Roman" w:hAnsi="Times New Roman"/>
          <w:sz w:val="22"/>
          <w:szCs w:val="22"/>
        </w:rPr>
      </w:pPr>
    </w:p>
    <w:p w:rsidR="00364223" w:rsidRDefault="00364223" w:rsidP="00157035">
      <w:pPr>
        <w:pStyle w:val="PargrafodaLista"/>
        <w:numPr>
          <w:ilvl w:val="0"/>
          <w:numId w:val="69"/>
        </w:numPr>
        <w:spacing w:after="0" w:line="240" w:lineRule="auto"/>
        <w:ind w:right="-847"/>
        <w:jc w:val="both"/>
        <w:rPr>
          <w:rFonts w:ascii="Times New Roman" w:hAnsi="Times New Roman"/>
          <w:sz w:val="22"/>
          <w:szCs w:val="22"/>
        </w:rPr>
      </w:pPr>
      <w:r w:rsidRPr="00475565">
        <w:rPr>
          <w:rFonts w:ascii="Times New Roman" w:hAnsi="Times New Roman"/>
          <w:b/>
          <w:i/>
          <w:sz w:val="22"/>
          <w:szCs w:val="22"/>
        </w:rPr>
        <w:t xml:space="preserve">Le Responsable Administratif et Financier (RAF) de </w:t>
      </w:r>
      <w:r w:rsidR="009C3BC4" w:rsidRPr="00475565">
        <w:rPr>
          <w:rFonts w:ascii="Times New Roman" w:hAnsi="Times New Roman"/>
          <w:b/>
          <w:i/>
          <w:sz w:val="22"/>
          <w:szCs w:val="22"/>
        </w:rPr>
        <w:t>l’UCP :</w:t>
      </w:r>
      <w:r w:rsidRPr="00475565">
        <w:rPr>
          <w:rFonts w:ascii="Times New Roman" w:hAnsi="Times New Roman"/>
          <w:sz w:val="22"/>
          <w:szCs w:val="22"/>
        </w:rPr>
        <w:t xml:space="preserve"> inclut dans les états financiers les provisions budgétaires relatives à l’Exécution/Mise en œuvre des mesures et à la Surveillance de la mise en œuvre des mesures environnementales et sociales.</w:t>
      </w:r>
    </w:p>
    <w:p w:rsidR="00C67F65" w:rsidRPr="0060566C" w:rsidRDefault="00C67F65" w:rsidP="00345951">
      <w:pPr>
        <w:pStyle w:val="PargrafodaLista"/>
        <w:numPr>
          <w:ilvl w:val="0"/>
          <w:numId w:val="69"/>
        </w:numPr>
        <w:ind w:right="-847"/>
        <w:jc w:val="both"/>
        <w:rPr>
          <w:rFonts w:ascii="Times New Roman" w:hAnsi="Times New Roman"/>
          <w:sz w:val="22"/>
          <w:szCs w:val="22"/>
        </w:rPr>
      </w:pPr>
      <w:r w:rsidRPr="0060566C">
        <w:rPr>
          <w:rFonts w:ascii="Times New Roman" w:hAnsi="Times New Roman"/>
          <w:b/>
          <w:i/>
          <w:sz w:val="22"/>
          <w:szCs w:val="22"/>
        </w:rPr>
        <w:t xml:space="preserve">Bureaux de </w:t>
      </w:r>
      <w:r w:rsidR="0060566C" w:rsidRPr="0060566C">
        <w:rPr>
          <w:rFonts w:ascii="Times New Roman" w:hAnsi="Times New Roman"/>
          <w:b/>
          <w:i/>
          <w:sz w:val="22"/>
          <w:szCs w:val="22"/>
        </w:rPr>
        <w:t>contrôle :</w:t>
      </w:r>
      <w:r w:rsidRPr="0060566C">
        <w:rPr>
          <w:rFonts w:ascii="Times New Roman" w:hAnsi="Times New Roman"/>
          <w:sz w:val="22"/>
          <w:szCs w:val="22"/>
        </w:rPr>
        <w:t xml:space="preserve">  Ils assureront la surveillance environnementale et sociale. En effet, en plus du contrôle traditionnel des travaux, les Bureaux de contrôle recrutés seront chargés de contrôler sur le chantier le respect de </w:t>
      </w:r>
      <w:r w:rsidR="0060566C" w:rsidRPr="0060566C">
        <w:rPr>
          <w:rFonts w:ascii="Times New Roman" w:hAnsi="Times New Roman"/>
          <w:sz w:val="22"/>
          <w:szCs w:val="22"/>
        </w:rPr>
        <w:t>l’application des mesures environnementales et sociales</w:t>
      </w:r>
      <w:r w:rsidRPr="0060566C">
        <w:rPr>
          <w:rFonts w:ascii="Times New Roman" w:hAnsi="Times New Roman"/>
          <w:sz w:val="22"/>
          <w:szCs w:val="22"/>
        </w:rPr>
        <w:t xml:space="preserve">.  Ils sont </w:t>
      </w:r>
      <w:r w:rsidR="0060566C" w:rsidRPr="0060566C">
        <w:rPr>
          <w:rFonts w:ascii="Times New Roman" w:hAnsi="Times New Roman"/>
          <w:sz w:val="22"/>
          <w:szCs w:val="22"/>
        </w:rPr>
        <w:t>responsables au même titre que</w:t>
      </w:r>
      <w:r w:rsidRPr="0060566C">
        <w:rPr>
          <w:rFonts w:ascii="Times New Roman" w:hAnsi="Times New Roman"/>
          <w:sz w:val="22"/>
          <w:szCs w:val="22"/>
        </w:rPr>
        <w:t xml:space="preserve"> l’Entreprise de la sauvegarde de l’environnement et du social pour ce projet. </w:t>
      </w:r>
      <w:r w:rsidR="0060566C" w:rsidRPr="0060566C">
        <w:rPr>
          <w:rFonts w:ascii="Times New Roman" w:hAnsi="Times New Roman"/>
          <w:sz w:val="22"/>
          <w:szCs w:val="22"/>
        </w:rPr>
        <w:t>Le</w:t>
      </w:r>
      <w:r w:rsidRPr="0060566C">
        <w:rPr>
          <w:rFonts w:ascii="Times New Roman" w:hAnsi="Times New Roman"/>
          <w:sz w:val="22"/>
          <w:szCs w:val="22"/>
        </w:rPr>
        <w:t xml:space="preserve"> Bureaux de contrôle qui supervise l’exécution du PGES-chantier et qui doit produire des rapports mensuels sur la conformité E&amp;S du chantier</w:t>
      </w:r>
    </w:p>
    <w:p w:rsidR="00364223" w:rsidRPr="00475565" w:rsidRDefault="00364223" w:rsidP="00540C5C">
      <w:pPr>
        <w:pStyle w:val="PargrafodaLista"/>
        <w:spacing w:after="0" w:line="240" w:lineRule="auto"/>
        <w:rPr>
          <w:rFonts w:ascii="Times New Roman" w:hAnsi="Times New Roman"/>
          <w:sz w:val="22"/>
          <w:szCs w:val="22"/>
        </w:rPr>
      </w:pPr>
    </w:p>
    <w:p w:rsidR="00364223" w:rsidRPr="00475565" w:rsidRDefault="00364223" w:rsidP="00157035">
      <w:pPr>
        <w:pStyle w:val="PargrafodaLista"/>
        <w:numPr>
          <w:ilvl w:val="0"/>
          <w:numId w:val="69"/>
        </w:numPr>
        <w:spacing w:after="0" w:line="240" w:lineRule="auto"/>
        <w:ind w:right="-847"/>
        <w:jc w:val="both"/>
        <w:rPr>
          <w:rFonts w:ascii="Times New Roman" w:hAnsi="Times New Roman"/>
          <w:sz w:val="22"/>
          <w:szCs w:val="22"/>
        </w:rPr>
      </w:pPr>
      <w:r w:rsidRPr="00475565">
        <w:rPr>
          <w:rFonts w:ascii="Times New Roman" w:hAnsi="Times New Roman"/>
          <w:b/>
          <w:i/>
          <w:sz w:val="22"/>
          <w:szCs w:val="22"/>
        </w:rPr>
        <w:t>L’Autorité Compétente d’Évaluation Environnementale (AAAC</w:t>
      </w:r>
      <w:r w:rsidR="001C30E0" w:rsidRPr="00475565">
        <w:rPr>
          <w:rFonts w:ascii="Times New Roman" w:hAnsi="Times New Roman"/>
          <w:b/>
          <w:i/>
          <w:sz w:val="22"/>
          <w:szCs w:val="22"/>
        </w:rPr>
        <w:t>) :</w:t>
      </w:r>
      <w:r w:rsidRPr="00475565">
        <w:rPr>
          <w:rFonts w:ascii="Times New Roman" w:hAnsi="Times New Roman"/>
          <w:sz w:val="22"/>
          <w:szCs w:val="22"/>
        </w:rPr>
        <w:t xml:space="preserve"> elle appuie la préparation et approbation des TDR</w:t>
      </w:r>
      <w:r w:rsidR="00547624">
        <w:rPr>
          <w:rFonts w:ascii="Times New Roman" w:hAnsi="Times New Roman"/>
          <w:sz w:val="22"/>
          <w:szCs w:val="22"/>
        </w:rPr>
        <w:t xml:space="preserve">, la validation du présent CGES, des </w:t>
      </w:r>
      <w:r w:rsidR="000C2ACE">
        <w:rPr>
          <w:rFonts w:ascii="Times New Roman" w:hAnsi="Times New Roman"/>
          <w:sz w:val="22"/>
          <w:szCs w:val="22"/>
        </w:rPr>
        <w:t>AEI</w:t>
      </w:r>
      <w:r w:rsidR="00566D4D">
        <w:rPr>
          <w:rFonts w:ascii="Times New Roman" w:hAnsi="Times New Roman"/>
          <w:sz w:val="22"/>
          <w:szCs w:val="22"/>
        </w:rPr>
        <w:t>,</w:t>
      </w:r>
      <w:r w:rsidRPr="00475565">
        <w:rPr>
          <w:rFonts w:ascii="Times New Roman" w:hAnsi="Times New Roman"/>
          <w:sz w:val="22"/>
          <w:szCs w:val="22"/>
        </w:rPr>
        <w:t xml:space="preserve"> et elle est responsable du Suivi environnemental et social.</w:t>
      </w:r>
    </w:p>
    <w:p w:rsidR="005374C6" w:rsidRPr="00475565" w:rsidRDefault="005374C6" w:rsidP="00540C5C">
      <w:pPr>
        <w:ind w:right="-847"/>
        <w:jc w:val="both"/>
        <w:rPr>
          <w:sz w:val="22"/>
          <w:szCs w:val="22"/>
        </w:rPr>
      </w:pPr>
    </w:p>
    <w:p w:rsidR="005374C6" w:rsidRPr="00475565" w:rsidRDefault="00876765" w:rsidP="00157035">
      <w:pPr>
        <w:pStyle w:val="PargrafodaLista"/>
        <w:numPr>
          <w:ilvl w:val="0"/>
          <w:numId w:val="69"/>
        </w:numPr>
        <w:spacing w:after="0" w:line="240" w:lineRule="auto"/>
        <w:ind w:right="-847"/>
        <w:jc w:val="both"/>
        <w:rPr>
          <w:rFonts w:ascii="Times New Roman" w:hAnsi="Times New Roman"/>
          <w:sz w:val="22"/>
          <w:szCs w:val="22"/>
        </w:rPr>
      </w:pPr>
      <w:r w:rsidRPr="0060566C">
        <w:rPr>
          <w:rFonts w:ascii="Times New Roman" w:hAnsi="Times New Roman"/>
          <w:b/>
          <w:i/>
          <w:sz w:val="22"/>
          <w:szCs w:val="22"/>
        </w:rPr>
        <w:t>La Banque mondiale (BM)</w:t>
      </w:r>
      <w:r w:rsidRPr="00475565">
        <w:rPr>
          <w:rFonts w:ascii="Times New Roman" w:hAnsi="Times New Roman"/>
          <w:b/>
          <w:sz w:val="22"/>
          <w:szCs w:val="22"/>
        </w:rPr>
        <w:t> </w:t>
      </w:r>
      <w:r w:rsidRPr="00475565">
        <w:rPr>
          <w:rFonts w:ascii="Times New Roman" w:hAnsi="Times New Roman"/>
          <w:sz w:val="22"/>
          <w:szCs w:val="22"/>
        </w:rPr>
        <w:t xml:space="preserve">: </w:t>
      </w:r>
      <w:r w:rsidR="00264C0E" w:rsidRPr="00475565">
        <w:rPr>
          <w:rFonts w:ascii="Times New Roman" w:hAnsi="Times New Roman"/>
          <w:sz w:val="22"/>
          <w:szCs w:val="22"/>
        </w:rPr>
        <w:t xml:space="preserve">Elle assure le financement du projet, elle appuie la préparation </w:t>
      </w:r>
      <w:r w:rsidR="00B032B1" w:rsidRPr="00475565">
        <w:rPr>
          <w:rFonts w:ascii="Times New Roman" w:hAnsi="Times New Roman"/>
          <w:sz w:val="22"/>
          <w:szCs w:val="22"/>
        </w:rPr>
        <w:t xml:space="preserve">des TDR </w:t>
      </w:r>
      <w:r w:rsidR="00264C0E" w:rsidRPr="00475565">
        <w:rPr>
          <w:rFonts w:ascii="Times New Roman" w:hAnsi="Times New Roman"/>
          <w:sz w:val="22"/>
          <w:szCs w:val="22"/>
        </w:rPr>
        <w:t xml:space="preserve">et </w:t>
      </w:r>
      <w:r w:rsidR="006F3DCA" w:rsidRPr="00475565">
        <w:rPr>
          <w:rFonts w:ascii="Times New Roman" w:hAnsi="Times New Roman"/>
          <w:sz w:val="22"/>
          <w:szCs w:val="22"/>
        </w:rPr>
        <w:t>à l’approbation du CGES et des EIES</w:t>
      </w:r>
      <w:r w:rsidR="00DD6EB7" w:rsidRPr="00475565">
        <w:rPr>
          <w:rFonts w:ascii="Times New Roman" w:hAnsi="Times New Roman"/>
          <w:sz w:val="22"/>
          <w:szCs w:val="22"/>
        </w:rPr>
        <w:t xml:space="preserve"> ou </w:t>
      </w:r>
      <w:r w:rsidR="00DE6C7F">
        <w:rPr>
          <w:rFonts w:ascii="Times New Roman" w:hAnsi="Times New Roman"/>
          <w:sz w:val="22"/>
          <w:szCs w:val="22"/>
        </w:rPr>
        <w:t>AEI</w:t>
      </w:r>
      <w:r w:rsidR="00DE6C7F" w:rsidRPr="00475565">
        <w:rPr>
          <w:rFonts w:ascii="Times New Roman" w:hAnsi="Times New Roman"/>
          <w:sz w:val="22"/>
          <w:szCs w:val="22"/>
        </w:rPr>
        <w:t xml:space="preserve"> </w:t>
      </w:r>
      <w:r w:rsidR="00322F10" w:rsidRPr="00475565">
        <w:rPr>
          <w:rFonts w:ascii="Times New Roman" w:hAnsi="Times New Roman"/>
          <w:sz w:val="22"/>
          <w:szCs w:val="22"/>
        </w:rPr>
        <w:t xml:space="preserve">et elle intervient dans la gestion et le </w:t>
      </w:r>
      <w:r w:rsidR="00FC2BF6" w:rsidRPr="00475565">
        <w:rPr>
          <w:rFonts w:ascii="Times New Roman" w:hAnsi="Times New Roman"/>
          <w:sz w:val="22"/>
          <w:szCs w:val="22"/>
        </w:rPr>
        <w:t>s</w:t>
      </w:r>
      <w:r w:rsidR="00264C0E" w:rsidRPr="00475565">
        <w:rPr>
          <w:rFonts w:ascii="Times New Roman" w:hAnsi="Times New Roman"/>
          <w:sz w:val="22"/>
          <w:szCs w:val="22"/>
        </w:rPr>
        <w:t>uivi environnemental et social</w:t>
      </w:r>
      <w:r w:rsidR="00FC2BF6" w:rsidRPr="00475565">
        <w:rPr>
          <w:rFonts w:ascii="Times New Roman" w:hAnsi="Times New Roman"/>
          <w:sz w:val="22"/>
          <w:szCs w:val="22"/>
        </w:rPr>
        <w:t xml:space="preserve"> du projet</w:t>
      </w:r>
      <w:r w:rsidR="00264C0E" w:rsidRPr="00475565">
        <w:rPr>
          <w:rFonts w:ascii="Times New Roman" w:hAnsi="Times New Roman"/>
          <w:sz w:val="22"/>
          <w:szCs w:val="22"/>
        </w:rPr>
        <w:t>.</w:t>
      </w:r>
    </w:p>
    <w:p w:rsidR="00364223" w:rsidRPr="00A05698" w:rsidRDefault="00364223" w:rsidP="004F4212">
      <w:pPr>
        <w:pStyle w:val="Legenda"/>
        <w:jc w:val="center"/>
      </w:pPr>
      <w:bookmarkStart w:id="281" w:name="_Toc531092490"/>
    </w:p>
    <w:p w:rsidR="00364223" w:rsidRPr="00A05698" w:rsidRDefault="00014AFD" w:rsidP="003D1D95">
      <w:pPr>
        <w:pStyle w:val="Primeiroavanodecorpodetexto2"/>
        <w:spacing w:after="0" w:line="240" w:lineRule="auto"/>
        <w:jc w:val="center"/>
        <w:rPr>
          <w:rFonts w:ascii="Times New Roman" w:hAnsi="Times New Roman"/>
          <w:b/>
        </w:rPr>
      </w:pPr>
      <w:bookmarkStart w:id="282" w:name="_Toc73522625"/>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60566C">
        <w:rPr>
          <w:rFonts w:ascii="Times New Roman" w:hAnsi="Times New Roman"/>
          <w:b/>
          <w:noProof/>
        </w:rPr>
        <w:t>19</w:t>
      </w:r>
      <w:r w:rsidRPr="00A05698">
        <w:rPr>
          <w:rFonts w:ascii="Times New Roman" w:hAnsi="Times New Roman"/>
          <w:b/>
        </w:rPr>
        <w:fldChar w:fldCharType="end"/>
      </w:r>
      <w:r w:rsidR="00364223" w:rsidRPr="00A05698">
        <w:rPr>
          <w:rFonts w:ascii="Times New Roman" w:hAnsi="Times New Roman"/>
          <w:b/>
        </w:rPr>
        <w:t>: Matrice des rôles et responsabilités au regard de l’arrangement institutionnel de mise en œuvre du CGES</w:t>
      </w:r>
      <w:bookmarkEnd w:id="281"/>
      <w:bookmarkEnd w:id="282"/>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6522"/>
        <w:gridCol w:w="1559"/>
        <w:gridCol w:w="1984"/>
      </w:tblGrid>
      <w:tr w:rsidR="00B85CB9" w:rsidRPr="00475565" w:rsidTr="0060566C">
        <w:trPr>
          <w:jc w:val="center"/>
        </w:trPr>
        <w:tc>
          <w:tcPr>
            <w:tcW w:w="562" w:type="dxa"/>
            <w:shd w:val="clear" w:color="auto" w:fill="E2EFD9" w:themeFill="accent6" w:themeFillTint="33"/>
          </w:tcPr>
          <w:p w:rsidR="00364223" w:rsidRPr="00475565" w:rsidRDefault="00364223" w:rsidP="004F4212">
            <w:pPr>
              <w:rPr>
                <w:b/>
                <w:sz w:val="21"/>
                <w:szCs w:val="21"/>
              </w:rPr>
            </w:pPr>
            <w:r w:rsidRPr="00475565">
              <w:rPr>
                <w:b/>
                <w:sz w:val="21"/>
                <w:szCs w:val="21"/>
              </w:rPr>
              <w:t>No</w:t>
            </w:r>
          </w:p>
        </w:tc>
        <w:tc>
          <w:tcPr>
            <w:tcW w:w="6522" w:type="dxa"/>
            <w:shd w:val="clear" w:color="auto" w:fill="E2EFD9" w:themeFill="accent6" w:themeFillTint="33"/>
          </w:tcPr>
          <w:p w:rsidR="00364223" w:rsidRPr="00475565" w:rsidRDefault="00364223" w:rsidP="004F4212">
            <w:pPr>
              <w:rPr>
                <w:b/>
                <w:sz w:val="21"/>
                <w:szCs w:val="21"/>
              </w:rPr>
            </w:pPr>
            <w:r w:rsidRPr="00475565">
              <w:rPr>
                <w:b/>
                <w:sz w:val="21"/>
                <w:szCs w:val="21"/>
              </w:rPr>
              <w:t>Étapes/Activités</w:t>
            </w:r>
          </w:p>
        </w:tc>
        <w:tc>
          <w:tcPr>
            <w:tcW w:w="1559" w:type="dxa"/>
            <w:shd w:val="clear" w:color="auto" w:fill="E2EFD9" w:themeFill="accent6" w:themeFillTint="33"/>
          </w:tcPr>
          <w:p w:rsidR="00364223" w:rsidRPr="00475565" w:rsidRDefault="00364223" w:rsidP="004F4212">
            <w:pPr>
              <w:rPr>
                <w:b/>
                <w:sz w:val="21"/>
                <w:szCs w:val="21"/>
              </w:rPr>
            </w:pPr>
            <w:r w:rsidRPr="00475565">
              <w:rPr>
                <w:b/>
                <w:sz w:val="21"/>
                <w:szCs w:val="21"/>
              </w:rPr>
              <w:t>Responsable</w:t>
            </w:r>
          </w:p>
        </w:tc>
        <w:tc>
          <w:tcPr>
            <w:tcW w:w="1984" w:type="dxa"/>
            <w:shd w:val="clear" w:color="auto" w:fill="E2EFD9" w:themeFill="accent6" w:themeFillTint="33"/>
          </w:tcPr>
          <w:p w:rsidR="00364223" w:rsidRPr="00475565" w:rsidRDefault="00364223" w:rsidP="004F4212">
            <w:pPr>
              <w:rPr>
                <w:b/>
                <w:sz w:val="21"/>
                <w:szCs w:val="21"/>
              </w:rPr>
            </w:pPr>
            <w:r w:rsidRPr="00475565">
              <w:rPr>
                <w:b/>
                <w:sz w:val="21"/>
                <w:szCs w:val="21"/>
              </w:rPr>
              <w:t>Prestataire</w:t>
            </w:r>
          </w:p>
        </w:tc>
      </w:tr>
      <w:tr w:rsidR="00B85CB9" w:rsidRPr="00475565" w:rsidTr="0060566C">
        <w:trPr>
          <w:jc w:val="center"/>
        </w:trPr>
        <w:tc>
          <w:tcPr>
            <w:tcW w:w="562" w:type="dxa"/>
            <w:vAlign w:val="center"/>
          </w:tcPr>
          <w:p w:rsidR="00364223" w:rsidRPr="00475565" w:rsidRDefault="00364223" w:rsidP="003D08CB">
            <w:pPr>
              <w:jc w:val="center"/>
              <w:rPr>
                <w:sz w:val="21"/>
                <w:szCs w:val="21"/>
              </w:rPr>
            </w:pPr>
            <w:r w:rsidRPr="00475565">
              <w:rPr>
                <w:sz w:val="21"/>
                <w:szCs w:val="21"/>
              </w:rPr>
              <w:t>1.</w:t>
            </w:r>
          </w:p>
        </w:tc>
        <w:tc>
          <w:tcPr>
            <w:tcW w:w="6522" w:type="dxa"/>
          </w:tcPr>
          <w:p w:rsidR="00364223" w:rsidRPr="00475565" w:rsidRDefault="00364223" w:rsidP="00352823">
            <w:pPr>
              <w:rPr>
                <w:sz w:val="21"/>
                <w:szCs w:val="21"/>
              </w:rPr>
            </w:pPr>
            <w:r w:rsidRPr="00475565">
              <w:rPr>
                <w:sz w:val="21"/>
                <w:szCs w:val="21"/>
              </w:rPr>
              <w:t>Identification de la localisation/site et principale</w:t>
            </w:r>
            <w:r w:rsidR="00352823" w:rsidRPr="00475565">
              <w:rPr>
                <w:sz w:val="21"/>
                <w:szCs w:val="21"/>
              </w:rPr>
              <w:t>s caractéristiques techniques des activités du projet PUSA</w:t>
            </w:r>
            <w:r w:rsidRPr="00475565">
              <w:rPr>
                <w:sz w:val="21"/>
                <w:szCs w:val="21"/>
              </w:rPr>
              <w:t xml:space="preserve">  </w:t>
            </w:r>
          </w:p>
        </w:tc>
        <w:tc>
          <w:tcPr>
            <w:tcW w:w="1559" w:type="dxa"/>
            <w:vAlign w:val="center"/>
          </w:tcPr>
          <w:p w:rsidR="00364223" w:rsidRPr="00475565" w:rsidRDefault="00364223" w:rsidP="003D08CB">
            <w:pPr>
              <w:jc w:val="center"/>
              <w:rPr>
                <w:sz w:val="21"/>
                <w:szCs w:val="21"/>
              </w:rPr>
            </w:pPr>
            <w:r w:rsidRPr="00475565">
              <w:rPr>
                <w:sz w:val="21"/>
                <w:szCs w:val="21"/>
              </w:rPr>
              <w:t>Coordonnateur de</w:t>
            </w:r>
            <w:r w:rsidR="00B85CB9" w:rsidRPr="00475565">
              <w:rPr>
                <w:sz w:val="21"/>
                <w:szCs w:val="21"/>
              </w:rPr>
              <w:t xml:space="preserve"> </w:t>
            </w:r>
            <w:r w:rsidRPr="00475565">
              <w:rPr>
                <w:sz w:val="21"/>
                <w:szCs w:val="21"/>
              </w:rPr>
              <w:t>l´UCP</w:t>
            </w:r>
          </w:p>
        </w:tc>
        <w:tc>
          <w:tcPr>
            <w:tcW w:w="1984" w:type="dxa"/>
            <w:vAlign w:val="center"/>
          </w:tcPr>
          <w:p w:rsidR="00364223" w:rsidRPr="00475565" w:rsidRDefault="00B62342" w:rsidP="0060566C">
            <w:pPr>
              <w:jc w:val="center"/>
              <w:rPr>
                <w:sz w:val="21"/>
                <w:szCs w:val="21"/>
              </w:rPr>
            </w:pPr>
            <w:r w:rsidRPr="00475565">
              <w:rPr>
                <w:sz w:val="21"/>
                <w:szCs w:val="21"/>
              </w:rPr>
              <w:t>Consultant</w:t>
            </w:r>
          </w:p>
        </w:tc>
      </w:tr>
      <w:tr w:rsidR="00B85CB9" w:rsidRPr="00475565" w:rsidTr="0060566C">
        <w:trPr>
          <w:trHeight w:val="489"/>
          <w:jc w:val="center"/>
        </w:trPr>
        <w:tc>
          <w:tcPr>
            <w:tcW w:w="562" w:type="dxa"/>
            <w:vAlign w:val="center"/>
          </w:tcPr>
          <w:p w:rsidR="00364223" w:rsidRPr="00475565" w:rsidRDefault="00364223" w:rsidP="003D08CB">
            <w:pPr>
              <w:jc w:val="center"/>
              <w:rPr>
                <w:sz w:val="21"/>
                <w:szCs w:val="21"/>
              </w:rPr>
            </w:pPr>
          </w:p>
          <w:p w:rsidR="00364223" w:rsidRPr="00475565" w:rsidRDefault="00364223" w:rsidP="003D08CB">
            <w:pPr>
              <w:jc w:val="center"/>
              <w:rPr>
                <w:sz w:val="21"/>
                <w:szCs w:val="21"/>
              </w:rPr>
            </w:pPr>
            <w:r w:rsidRPr="00475565">
              <w:rPr>
                <w:sz w:val="21"/>
                <w:szCs w:val="21"/>
              </w:rPr>
              <w:t>2.</w:t>
            </w:r>
          </w:p>
        </w:tc>
        <w:tc>
          <w:tcPr>
            <w:tcW w:w="6522" w:type="dxa"/>
          </w:tcPr>
          <w:p w:rsidR="00364223" w:rsidRPr="00475565" w:rsidRDefault="00364223" w:rsidP="004F4212">
            <w:pPr>
              <w:rPr>
                <w:sz w:val="21"/>
                <w:szCs w:val="21"/>
              </w:rPr>
            </w:pPr>
            <w:r w:rsidRPr="00475565">
              <w:rPr>
                <w:sz w:val="21"/>
                <w:szCs w:val="21"/>
              </w:rPr>
              <w:t xml:space="preserve">Sélection environnementale et sociale (Screening-remplissage des formulaires), et détermination du type d’instrument spécifique de sauvegarde </w:t>
            </w:r>
          </w:p>
        </w:tc>
        <w:tc>
          <w:tcPr>
            <w:tcW w:w="1559" w:type="dxa"/>
            <w:vAlign w:val="center"/>
          </w:tcPr>
          <w:p w:rsidR="00364223" w:rsidRPr="00475565" w:rsidRDefault="00364223" w:rsidP="003D08CB">
            <w:pPr>
              <w:jc w:val="center"/>
              <w:rPr>
                <w:sz w:val="21"/>
                <w:szCs w:val="21"/>
              </w:rPr>
            </w:pPr>
            <w:r w:rsidRPr="00475565">
              <w:rPr>
                <w:sz w:val="21"/>
                <w:szCs w:val="21"/>
              </w:rPr>
              <w:t>SSES</w:t>
            </w:r>
          </w:p>
        </w:tc>
        <w:tc>
          <w:tcPr>
            <w:tcW w:w="1984" w:type="dxa"/>
            <w:vAlign w:val="center"/>
          </w:tcPr>
          <w:p w:rsidR="00364223" w:rsidRPr="00475565" w:rsidRDefault="00364223" w:rsidP="0060566C">
            <w:pPr>
              <w:jc w:val="center"/>
              <w:rPr>
                <w:sz w:val="21"/>
                <w:szCs w:val="21"/>
              </w:rPr>
            </w:pPr>
            <w:r w:rsidRPr="00475565">
              <w:rPr>
                <w:sz w:val="21"/>
                <w:szCs w:val="21"/>
              </w:rPr>
              <w:t>SSES</w:t>
            </w:r>
          </w:p>
        </w:tc>
      </w:tr>
      <w:tr w:rsidR="00B85CB9" w:rsidRPr="00475565" w:rsidTr="0060566C">
        <w:trPr>
          <w:trHeight w:val="55"/>
          <w:jc w:val="center"/>
        </w:trPr>
        <w:tc>
          <w:tcPr>
            <w:tcW w:w="562" w:type="dxa"/>
            <w:vAlign w:val="center"/>
          </w:tcPr>
          <w:p w:rsidR="00364223" w:rsidRPr="00475565" w:rsidRDefault="00364223" w:rsidP="003D08CB">
            <w:pPr>
              <w:jc w:val="center"/>
              <w:rPr>
                <w:sz w:val="21"/>
                <w:szCs w:val="21"/>
              </w:rPr>
            </w:pPr>
            <w:r w:rsidRPr="00475565">
              <w:rPr>
                <w:sz w:val="21"/>
                <w:szCs w:val="21"/>
              </w:rPr>
              <w:t>3.</w:t>
            </w:r>
          </w:p>
        </w:tc>
        <w:tc>
          <w:tcPr>
            <w:tcW w:w="6522" w:type="dxa"/>
          </w:tcPr>
          <w:p w:rsidR="00364223" w:rsidRPr="00475565" w:rsidRDefault="00364223" w:rsidP="004F4212">
            <w:pPr>
              <w:rPr>
                <w:sz w:val="21"/>
                <w:szCs w:val="21"/>
              </w:rPr>
            </w:pPr>
            <w:r w:rsidRPr="00475565">
              <w:rPr>
                <w:sz w:val="21"/>
                <w:szCs w:val="21"/>
              </w:rPr>
              <w:t xml:space="preserve">Approbation de la catégorisation </w:t>
            </w:r>
          </w:p>
        </w:tc>
        <w:tc>
          <w:tcPr>
            <w:tcW w:w="1559" w:type="dxa"/>
            <w:vAlign w:val="center"/>
          </w:tcPr>
          <w:p w:rsidR="00364223" w:rsidRPr="00475565" w:rsidRDefault="00364223" w:rsidP="003D08CB">
            <w:pPr>
              <w:jc w:val="center"/>
              <w:rPr>
                <w:sz w:val="21"/>
                <w:szCs w:val="21"/>
              </w:rPr>
            </w:pPr>
            <w:r w:rsidRPr="00475565">
              <w:rPr>
                <w:sz w:val="21"/>
                <w:szCs w:val="21"/>
              </w:rPr>
              <w:t>UCP</w:t>
            </w:r>
          </w:p>
        </w:tc>
        <w:tc>
          <w:tcPr>
            <w:tcW w:w="1984" w:type="dxa"/>
            <w:vAlign w:val="center"/>
          </w:tcPr>
          <w:p w:rsidR="00364223" w:rsidRPr="00475565" w:rsidRDefault="00364223" w:rsidP="0060566C">
            <w:pPr>
              <w:pStyle w:val="PargrafodaLista"/>
              <w:tabs>
                <w:tab w:val="left" w:pos="0"/>
              </w:tabs>
              <w:spacing w:after="0" w:line="240" w:lineRule="auto"/>
              <w:ind w:left="360"/>
              <w:jc w:val="center"/>
              <w:rPr>
                <w:rFonts w:ascii="Times New Roman" w:hAnsi="Times New Roman"/>
                <w:sz w:val="21"/>
                <w:szCs w:val="21"/>
              </w:rPr>
            </w:pPr>
            <w:r w:rsidRPr="00475565">
              <w:rPr>
                <w:rFonts w:ascii="Times New Roman" w:hAnsi="Times New Roman"/>
                <w:sz w:val="21"/>
                <w:szCs w:val="21"/>
              </w:rPr>
              <w:t>AAAC</w:t>
            </w:r>
          </w:p>
        </w:tc>
      </w:tr>
      <w:tr w:rsidR="00AC2CE2" w:rsidRPr="00475565" w:rsidTr="0060566C">
        <w:trPr>
          <w:trHeight w:val="85"/>
          <w:jc w:val="center"/>
        </w:trPr>
        <w:tc>
          <w:tcPr>
            <w:tcW w:w="562" w:type="dxa"/>
            <w:vMerge w:val="restart"/>
            <w:vAlign w:val="center"/>
          </w:tcPr>
          <w:p w:rsidR="00AC2CE2" w:rsidRPr="00475565" w:rsidRDefault="002465A6" w:rsidP="003D08CB">
            <w:pPr>
              <w:jc w:val="center"/>
              <w:rPr>
                <w:sz w:val="21"/>
                <w:szCs w:val="21"/>
              </w:rPr>
            </w:pPr>
            <w:r w:rsidRPr="00475565">
              <w:rPr>
                <w:sz w:val="21"/>
                <w:szCs w:val="21"/>
              </w:rPr>
              <w:t>4.</w:t>
            </w:r>
          </w:p>
        </w:tc>
        <w:tc>
          <w:tcPr>
            <w:tcW w:w="6522" w:type="dxa"/>
          </w:tcPr>
          <w:p w:rsidR="00AC2CE2" w:rsidRPr="00475565" w:rsidRDefault="00AC2CE2" w:rsidP="004F4212">
            <w:pPr>
              <w:tabs>
                <w:tab w:val="left" w:pos="0"/>
              </w:tabs>
              <w:rPr>
                <w:sz w:val="21"/>
                <w:szCs w:val="21"/>
              </w:rPr>
            </w:pPr>
            <w:r w:rsidRPr="00475565">
              <w:rPr>
                <w:sz w:val="21"/>
                <w:szCs w:val="21"/>
              </w:rPr>
              <w:t>Préparation et approbation des TDR</w:t>
            </w:r>
          </w:p>
        </w:tc>
        <w:tc>
          <w:tcPr>
            <w:tcW w:w="1559" w:type="dxa"/>
            <w:vMerge w:val="restart"/>
            <w:vAlign w:val="center"/>
          </w:tcPr>
          <w:p w:rsidR="00AC2CE2" w:rsidRPr="00475565" w:rsidRDefault="00AC2CE2" w:rsidP="003D08CB">
            <w:pPr>
              <w:jc w:val="center"/>
              <w:rPr>
                <w:sz w:val="21"/>
                <w:szCs w:val="21"/>
              </w:rPr>
            </w:pPr>
            <w:r w:rsidRPr="00475565">
              <w:rPr>
                <w:sz w:val="21"/>
                <w:szCs w:val="21"/>
              </w:rPr>
              <w:t>SSES</w:t>
            </w:r>
          </w:p>
        </w:tc>
        <w:tc>
          <w:tcPr>
            <w:tcW w:w="1984" w:type="dxa"/>
            <w:vAlign w:val="center"/>
          </w:tcPr>
          <w:p w:rsidR="00D16CF9" w:rsidRPr="00475565" w:rsidRDefault="00960112" w:rsidP="0060566C">
            <w:pPr>
              <w:tabs>
                <w:tab w:val="left" w:pos="0"/>
              </w:tabs>
              <w:jc w:val="center"/>
              <w:rPr>
                <w:sz w:val="21"/>
                <w:szCs w:val="21"/>
              </w:rPr>
            </w:pPr>
            <w:r w:rsidRPr="00475565">
              <w:rPr>
                <w:sz w:val="21"/>
                <w:szCs w:val="21"/>
              </w:rPr>
              <w:t>AAAC</w:t>
            </w:r>
            <w:r>
              <w:rPr>
                <w:sz w:val="21"/>
                <w:szCs w:val="21"/>
              </w:rPr>
              <w:t xml:space="preserve"> et Banque Mondiale</w:t>
            </w:r>
          </w:p>
        </w:tc>
      </w:tr>
      <w:tr w:rsidR="00AC2CE2" w:rsidRPr="00475565" w:rsidTr="0060566C">
        <w:trPr>
          <w:trHeight w:val="83"/>
          <w:jc w:val="center"/>
        </w:trPr>
        <w:tc>
          <w:tcPr>
            <w:tcW w:w="562" w:type="dxa"/>
            <w:vMerge/>
            <w:vAlign w:val="center"/>
          </w:tcPr>
          <w:p w:rsidR="00AC2CE2" w:rsidRPr="00475565" w:rsidRDefault="00AC2CE2" w:rsidP="003D08CB">
            <w:pPr>
              <w:jc w:val="center"/>
              <w:rPr>
                <w:sz w:val="21"/>
                <w:szCs w:val="21"/>
              </w:rPr>
            </w:pPr>
          </w:p>
        </w:tc>
        <w:tc>
          <w:tcPr>
            <w:tcW w:w="6522" w:type="dxa"/>
          </w:tcPr>
          <w:p w:rsidR="00AC2CE2" w:rsidRPr="00475565" w:rsidRDefault="00AC2CE2" w:rsidP="00AC2CE2">
            <w:pPr>
              <w:tabs>
                <w:tab w:val="left" w:pos="0"/>
              </w:tabs>
              <w:rPr>
                <w:sz w:val="21"/>
                <w:szCs w:val="21"/>
              </w:rPr>
            </w:pPr>
            <w:r w:rsidRPr="00475565">
              <w:rPr>
                <w:sz w:val="21"/>
                <w:szCs w:val="21"/>
              </w:rPr>
              <w:t>Réalisation de l´étude y compris la consultation du publique</w:t>
            </w:r>
          </w:p>
        </w:tc>
        <w:tc>
          <w:tcPr>
            <w:tcW w:w="1559" w:type="dxa"/>
            <w:vMerge/>
            <w:vAlign w:val="center"/>
          </w:tcPr>
          <w:p w:rsidR="00AC2CE2" w:rsidRPr="00475565" w:rsidRDefault="00AC2CE2" w:rsidP="003D08CB">
            <w:pPr>
              <w:jc w:val="center"/>
              <w:rPr>
                <w:sz w:val="21"/>
                <w:szCs w:val="21"/>
              </w:rPr>
            </w:pPr>
          </w:p>
        </w:tc>
        <w:tc>
          <w:tcPr>
            <w:tcW w:w="1984" w:type="dxa"/>
            <w:vAlign w:val="center"/>
          </w:tcPr>
          <w:p w:rsidR="00AC2CE2" w:rsidRPr="00475565" w:rsidRDefault="00102548" w:rsidP="0060566C">
            <w:pPr>
              <w:tabs>
                <w:tab w:val="left" w:pos="162"/>
              </w:tabs>
              <w:jc w:val="center"/>
              <w:rPr>
                <w:sz w:val="21"/>
                <w:szCs w:val="21"/>
              </w:rPr>
            </w:pPr>
            <w:r>
              <w:rPr>
                <w:sz w:val="21"/>
                <w:szCs w:val="21"/>
              </w:rPr>
              <w:t>Consultant /AAAC</w:t>
            </w:r>
          </w:p>
        </w:tc>
      </w:tr>
      <w:tr w:rsidR="00AC2CE2" w:rsidRPr="00475565" w:rsidTr="0060566C">
        <w:trPr>
          <w:jc w:val="center"/>
        </w:trPr>
        <w:tc>
          <w:tcPr>
            <w:tcW w:w="562" w:type="dxa"/>
            <w:vMerge/>
            <w:vAlign w:val="center"/>
          </w:tcPr>
          <w:p w:rsidR="00AC2CE2" w:rsidRPr="00475565" w:rsidRDefault="00AC2CE2" w:rsidP="003D08CB">
            <w:pPr>
              <w:jc w:val="center"/>
              <w:rPr>
                <w:sz w:val="21"/>
                <w:szCs w:val="21"/>
              </w:rPr>
            </w:pPr>
          </w:p>
        </w:tc>
        <w:tc>
          <w:tcPr>
            <w:tcW w:w="6522" w:type="dxa"/>
          </w:tcPr>
          <w:p w:rsidR="00AC2CE2" w:rsidRPr="00475565" w:rsidRDefault="00AC2CE2" w:rsidP="004F4212">
            <w:pPr>
              <w:rPr>
                <w:sz w:val="21"/>
                <w:szCs w:val="21"/>
              </w:rPr>
            </w:pPr>
            <w:r w:rsidRPr="00475565">
              <w:rPr>
                <w:sz w:val="21"/>
                <w:szCs w:val="21"/>
              </w:rPr>
              <w:t>Validation du document et obtention du certificat de conformité environnementale</w:t>
            </w:r>
          </w:p>
        </w:tc>
        <w:tc>
          <w:tcPr>
            <w:tcW w:w="1559" w:type="dxa"/>
            <w:vMerge/>
            <w:vAlign w:val="center"/>
          </w:tcPr>
          <w:p w:rsidR="00AC2CE2" w:rsidRPr="00475565" w:rsidRDefault="00AC2CE2" w:rsidP="003D08CB">
            <w:pPr>
              <w:jc w:val="center"/>
              <w:rPr>
                <w:sz w:val="21"/>
                <w:szCs w:val="21"/>
              </w:rPr>
            </w:pPr>
          </w:p>
        </w:tc>
        <w:tc>
          <w:tcPr>
            <w:tcW w:w="1984" w:type="dxa"/>
            <w:vAlign w:val="center"/>
          </w:tcPr>
          <w:p w:rsidR="00AC2CE2" w:rsidRPr="00345951" w:rsidRDefault="00102548" w:rsidP="0060566C">
            <w:pPr>
              <w:tabs>
                <w:tab w:val="left" w:pos="0"/>
              </w:tabs>
              <w:jc w:val="center"/>
              <w:rPr>
                <w:sz w:val="21"/>
                <w:szCs w:val="21"/>
              </w:rPr>
            </w:pPr>
            <w:r w:rsidRPr="00345951">
              <w:rPr>
                <w:sz w:val="21"/>
                <w:szCs w:val="21"/>
              </w:rPr>
              <w:t>AAAC</w:t>
            </w:r>
          </w:p>
        </w:tc>
      </w:tr>
      <w:tr w:rsidR="00102548" w:rsidRPr="00475565" w:rsidTr="0060566C">
        <w:trPr>
          <w:jc w:val="center"/>
        </w:trPr>
        <w:tc>
          <w:tcPr>
            <w:tcW w:w="562" w:type="dxa"/>
            <w:vMerge/>
            <w:vAlign w:val="center"/>
          </w:tcPr>
          <w:p w:rsidR="00102548" w:rsidRPr="00475565" w:rsidRDefault="00102548" w:rsidP="00102548">
            <w:pPr>
              <w:jc w:val="center"/>
              <w:rPr>
                <w:sz w:val="21"/>
                <w:szCs w:val="21"/>
              </w:rPr>
            </w:pPr>
          </w:p>
        </w:tc>
        <w:tc>
          <w:tcPr>
            <w:tcW w:w="6522" w:type="dxa"/>
          </w:tcPr>
          <w:p w:rsidR="00102548" w:rsidRPr="00475565" w:rsidRDefault="00102548" w:rsidP="00102548">
            <w:pPr>
              <w:rPr>
                <w:sz w:val="21"/>
                <w:szCs w:val="21"/>
              </w:rPr>
            </w:pPr>
            <w:r w:rsidRPr="00475565">
              <w:rPr>
                <w:sz w:val="21"/>
                <w:szCs w:val="21"/>
              </w:rPr>
              <w:t>Publication du document</w:t>
            </w:r>
          </w:p>
        </w:tc>
        <w:tc>
          <w:tcPr>
            <w:tcW w:w="1559" w:type="dxa"/>
            <w:vMerge/>
            <w:vAlign w:val="center"/>
          </w:tcPr>
          <w:p w:rsidR="00102548" w:rsidRPr="00475565" w:rsidRDefault="00102548" w:rsidP="00102548">
            <w:pPr>
              <w:jc w:val="center"/>
              <w:rPr>
                <w:sz w:val="21"/>
                <w:szCs w:val="21"/>
              </w:rPr>
            </w:pPr>
          </w:p>
        </w:tc>
        <w:tc>
          <w:tcPr>
            <w:tcW w:w="1984" w:type="dxa"/>
            <w:vAlign w:val="center"/>
          </w:tcPr>
          <w:p w:rsidR="00102548" w:rsidRPr="00345951" w:rsidRDefault="00102548" w:rsidP="0060566C">
            <w:pPr>
              <w:tabs>
                <w:tab w:val="left" w:pos="0"/>
              </w:tabs>
              <w:jc w:val="center"/>
              <w:rPr>
                <w:sz w:val="21"/>
                <w:szCs w:val="21"/>
              </w:rPr>
            </w:pPr>
            <w:r w:rsidRPr="00345951">
              <w:rPr>
                <w:sz w:val="21"/>
                <w:szCs w:val="21"/>
              </w:rPr>
              <w:t>AAAC et Banque Mondiale</w:t>
            </w:r>
          </w:p>
        </w:tc>
      </w:tr>
      <w:tr w:rsidR="00102548" w:rsidRPr="00475565" w:rsidTr="0060566C">
        <w:trPr>
          <w:trHeight w:val="529"/>
          <w:jc w:val="center"/>
        </w:trPr>
        <w:tc>
          <w:tcPr>
            <w:tcW w:w="562" w:type="dxa"/>
            <w:vMerge w:val="restart"/>
            <w:vAlign w:val="center"/>
          </w:tcPr>
          <w:p w:rsidR="00102548" w:rsidRPr="00475565" w:rsidRDefault="00102548" w:rsidP="00102548">
            <w:pPr>
              <w:jc w:val="center"/>
              <w:rPr>
                <w:sz w:val="21"/>
                <w:szCs w:val="21"/>
              </w:rPr>
            </w:pPr>
          </w:p>
          <w:p w:rsidR="00102548" w:rsidRPr="00475565" w:rsidRDefault="00102548" w:rsidP="00102548">
            <w:pPr>
              <w:jc w:val="center"/>
              <w:rPr>
                <w:sz w:val="21"/>
                <w:szCs w:val="21"/>
              </w:rPr>
            </w:pPr>
            <w:r w:rsidRPr="00475565">
              <w:rPr>
                <w:sz w:val="21"/>
                <w:szCs w:val="21"/>
              </w:rPr>
              <w:t>5.</w:t>
            </w:r>
          </w:p>
        </w:tc>
        <w:tc>
          <w:tcPr>
            <w:tcW w:w="6522" w:type="dxa"/>
            <w:tcBorders>
              <w:bottom w:val="single" w:sz="4" w:space="0" w:color="auto"/>
            </w:tcBorders>
          </w:tcPr>
          <w:p w:rsidR="00102548" w:rsidRPr="00475565" w:rsidRDefault="00102548" w:rsidP="00102548">
            <w:pPr>
              <w:rPr>
                <w:sz w:val="21"/>
                <w:szCs w:val="21"/>
              </w:rPr>
            </w:pPr>
            <w:r w:rsidRPr="00475565">
              <w:rPr>
                <w:sz w:val="21"/>
                <w:szCs w:val="21"/>
              </w:rPr>
              <w:t>Intégration dans le dossier d´appel d´offres (DAO) du programme, de toutes les mesures de la phase des travaux pouvant être contractées avec l´entreprise</w:t>
            </w:r>
          </w:p>
        </w:tc>
        <w:tc>
          <w:tcPr>
            <w:tcW w:w="1559" w:type="dxa"/>
            <w:tcBorders>
              <w:bottom w:val="single" w:sz="4" w:space="0" w:color="auto"/>
            </w:tcBorders>
            <w:vAlign w:val="center"/>
          </w:tcPr>
          <w:p w:rsidR="00102548" w:rsidRPr="00475565" w:rsidRDefault="00102548" w:rsidP="00102548">
            <w:pPr>
              <w:jc w:val="center"/>
              <w:rPr>
                <w:sz w:val="21"/>
                <w:szCs w:val="21"/>
              </w:rPr>
            </w:pPr>
            <w:r w:rsidRPr="00475565">
              <w:rPr>
                <w:sz w:val="21"/>
                <w:szCs w:val="21"/>
              </w:rPr>
              <w:t>SSES</w:t>
            </w:r>
            <w:r>
              <w:rPr>
                <w:sz w:val="21"/>
                <w:szCs w:val="21"/>
              </w:rPr>
              <w:t>/Spécialiste Passation de Marché</w:t>
            </w:r>
          </w:p>
        </w:tc>
        <w:tc>
          <w:tcPr>
            <w:tcW w:w="1984" w:type="dxa"/>
            <w:tcBorders>
              <w:bottom w:val="single" w:sz="4" w:space="0" w:color="auto"/>
            </w:tcBorders>
            <w:vAlign w:val="center"/>
          </w:tcPr>
          <w:p w:rsidR="00102548" w:rsidRPr="00475565" w:rsidRDefault="00102548" w:rsidP="0060566C">
            <w:pPr>
              <w:jc w:val="center"/>
              <w:rPr>
                <w:sz w:val="21"/>
                <w:szCs w:val="21"/>
              </w:rPr>
            </w:pPr>
            <w:r>
              <w:rPr>
                <w:sz w:val="21"/>
                <w:szCs w:val="21"/>
              </w:rPr>
              <w:t>Bureau d’étude chargé d’élaborer le DAO</w:t>
            </w:r>
          </w:p>
        </w:tc>
      </w:tr>
      <w:tr w:rsidR="00102548" w:rsidRPr="00475565" w:rsidTr="0060566C">
        <w:trPr>
          <w:trHeight w:val="169"/>
          <w:jc w:val="center"/>
        </w:trPr>
        <w:tc>
          <w:tcPr>
            <w:tcW w:w="562" w:type="dxa"/>
            <w:vMerge/>
            <w:vAlign w:val="center"/>
          </w:tcPr>
          <w:p w:rsidR="00102548" w:rsidRPr="00475565" w:rsidRDefault="00102548" w:rsidP="00102548">
            <w:pPr>
              <w:jc w:val="center"/>
              <w:rPr>
                <w:sz w:val="21"/>
                <w:szCs w:val="21"/>
              </w:rPr>
            </w:pPr>
          </w:p>
        </w:tc>
        <w:tc>
          <w:tcPr>
            <w:tcW w:w="6522" w:type="dxa"/>
            <w:tcBorders>
              <w:top w:val="single" w:sz="4" w:space="0" w:color="auto"/>
            </w:tcBorders>
          </w:tcPr>
          <w:p w:rsidR="00102548" w:rsidRPr="00475565" w:rsidRDefault="00102548" w:rsidP="00102548">
            <w:pPr>
              <w:rPr>
                <w:sz w:val="21"/>
                <w:szCs w:val="21"/>
              </w:rPr>
            </w:pPr>
            <w:r w:rsidRPr="00475565">
              <w:rPr>
                <w:sz w:val="21"/>
                <w:szCs w:val="21"/>
              </w:rPr>
              <w:t xml:space="preserve">Approbation du PGES entreprise </w:t>
            </w:r>
          </w:p>
        </w:tc>
        <w:tc>
          <w:tcPr>
            <w:tcW w:w="1559" w:type="dxa"/>
            <w:tcBorders>
              <w:top w:val="single" w:sz="4" w:space="0" w:color="auto"/>
            </w:tcBorders>
            <w:vAlign w:val="center"/>
          </w:tcPr>
          <w:p w:rsidR="00102548" w:rsidRPr="00475565" w:rsidRDefault="00102548" w:rsidP="00102548">
            <w:pPr>
              <w:jc w:val="center"/>
              <w:rPr>
                <w:sz w:val="21"/>
                <w:szCs w:val="21"/>
              </w:rPr>
            </w:pPr>
            <w:r w:rsidRPr="00475565">
              <w:rPr>
                <w:sz w:val="21"/>
                <w:szCs w:val="21"/>
              </w:rPr>
              <w:t>SSES</w:t>
            </w:r>
          </w:p>
        </w:tc>
        <w:tc>
          <w:tcPr>
            <w:tcW w:w="1984" w:type="dxa"/>
            <w:tcBorders>
              <w:top w:val="single" w:sz="4" w:space="0" w:color="auto"/>
            </w:tcBorders>
            <w:vAlign w:val="center"/>
          </w:tcPr>
          <w:p w:rsidR="00102548" w:rsidRPr="00475565" w:rsidRDefault="00102548" w:rsidP="0060566C">
            <w:pPr>
              <w:jc w:val="center"/>
              <w:rPr>
                <w:sz w:val="21"/>
                <w:szCs w:val="21"/>
              </w:rPr>
            </w:pPr>
            <w:r>
              <w:rPr>
                <w:sz w:val="21"/>
                <w:szCs w:val="21"/>
              </w:rPr>
              <w:t>Bureau de contrôle</w:t>
            </w:r>
          </w:p>
        </w:tc>
      </w:tr>
      <w:tr w:rsidR="00102548" w:rsidRPr="00475565" w:rsidTr="0060566C">
        <w:trPr>
          <w:jc w:val="center"/>
        </w:trPr>
        <w:tc>
          <w:tcPr>
            <w:tcW w:w="562" w:type="dxa"/>
            <w:vAlign w:val="center"/>
          </w:tcPr>
          <w:p w:rsidR="00102548" w:rsidRPr="00475565" w:rsidRDefault="00102548" w:rsidP="00102548">
            <w:pPr>
              <w:jc w:val="center"/>
              <w:rPr>
                <w:sz w:val="21"/>
                <w:szCs w:val="21"/>
              </w:rPr>
            </w:pPr>
          </w:p>
          <w:p w:rsidR="00102548" w:rsidRPr="00475565" w:rsidRDefault="00102548" w:rsidP="00102548">
            <w:pPr>
              <w:jc w:val="center"/>
              <w:rPr>
                <w:sz w:val="21"/>
                <w:szCs w:val="21"/>
              </w:rPr>
            </w:pPr>
            <w:r w:rsidRPr="00475565">
              <w:rPr>
                <w:sz w:val="21"/>
                <w:szCs w:val="21"/>
              </w:rPr>
              <w:t>6.</w:t>
            </w:r>
          </w:p>
        </w:tc>
        <w:tc>
          <w:tcPr>
            <w:tcW w:w="6522" w:type="dxa"/>
          </w:tcPr>
          <w:p w:rsidR="00102548" w:rsidRPr="00475565" w:rsidRDefault="00102548" w:rsidP="00102548">
            <w:pPr>
              <w:rPr>
                <w:sz w:val="21"/>
                <w:szCs w:val="21"/>
              </w:rPr>
            </w:pPr>
            <w:r w:rsidRPr="00475565">
              <w:rPr>
                <w:sz w:val="21"/>
                <w:szCs w:val="21"/>
              </w:rPr>
              <w:t>Exécution/Mise en œuvre des mesures non contractualisées avec l´entreprise de construction</w:t>
            </w:r>
          </w:p>
        </w:tc>
        <w:tc>
          <w:tcPr>
            <w:tcW w:w="1559" w:type="dxa"/>
            <w:vAlign w:val="center"/>
          </w:tcPr>
          <w:p w:rsidR="00102548" w:rsidRPr="00475565" w:rsidRDefault="00102548" w:rsidP="00102548">
            <w:pPr>
              <w:jc w:val="center"/>
              <w:rPr>
                <w:sz w:val="21"/>
                <w:szCs w:val="21"/>
              </w:rPr>
            </w:pPr>
            <w:r w:rsidRPr="00475565">
              <w:rPr>
                <w:sz w:val="21"/>
                <w:szCs w:val="21"/>
              </w:rPr>
              <w:t>SSES</w:t>
            </w:r>
          </w:p>
        </w:tc>
        <w:tc>
          <w:tcPr>
            <w:tcW w:w="1984" w:type="dxa"/>
            <w:vAlign w:val="center"/>
          </w:tcPr>
          <w:p w:rsidR="00102548" w:rsidRPr="00345951" w:rsidRDefault="00102548" w:rsidP="0060566C">
            <w:pPr>
              <w:tabs>
                <w:tab w:val="left" w:pos="0"/>
              </w:tabs>
              <w:jc w:val="center"/>
              <w:rPr>
                <w:sz w:val="21"/>
                <w:szCs w:val="21"/>
              </w:rPr>
            </w:pPr>
            <w:r w:rsidRPr="00345951">
              <w:rPr>
                <w:sz w:val="21"/>
                <w:szCs w:val="21"/>
              </w:rPr>
              <w:t>Entreprises</w:t>
            </w:r>
          </w:p>
          <w:p w:rsidR="00102548" w:rsidRPr="00345951" w:rsidRDefault="00102548" w:rsidP="0060566C">
            <w:pPr>
              <w:tabs>
                <w:tab w:val="left" w:pos="0"/>
              </w:tabs>
              <w:jc w:val="center"/>
              <w:rPr>
                <w:sz w:val="21"/>
                <w:szCs w:val="21"/>
              </w:rPr>
            </w:pPr>
            <w:r w:rsidRPr="00345951">
              <w:rPr>
                <w:sz w:val="21"/>
                <w:szCs w:val="21"/>
              </w:rPr>
              <w:t>ONGs</w:t>
            </w:r>
          </w:p>
        </w:tc>
      </w:tr>
      <w:tr w:rsidR="00102548" w:rsidRPr="00475565" w:rsidTr="0060566C">
        <w:trPr>
          <w:jc w:val="center"/>
        </w:trPr>
        <w:tc>
          <w:tcPr>
            <w:tcW w:w="562" w:type="dxa"/>
            <w:vMerge w:val="restart"/>
            <w:vAlign w:val="center"/>
          </w:tcPr>
          <w:p w:rsidR="00102548" w:rsidRPr="00475565" w:rsidRDefault="00102548" w:rsidP="00102548">
            <w:pPr>
              <w:jc w:val="center"/>
              <w:rPr>
                <w:sz w:val="21"/>
                <w:szCs w:val="21"/>
              </w:rPr>
            </w:pPr>
          </w:p>
          <w:p w:rsidR="00102548" w:rsidRPr="00475565" w:rsidRDefault="00102548" w:rsidP="00102548">
            <w:pPr>
              <w:jc w:val="center"/>
              <w:rPr>
                <w:sz w:val="21"/>
                <w:szCs w:val="21"/>
              </w:rPr>
            </w:pPr>
          </w:p>
          <w:p w:rsidR="00102548" w:rsidRPr="00475565" w:rsidRDefault="00102548" w:rsidP="00102548">
            <w:pPr>
              <w:jc w:val="center"/>
              <w:rPr>
                <w:sz w:val="21"/>
                <w:szCs w:val="21"/>
              </w:rPr>
            </w:pPr>
            <w:r w:rsidRPr="00475565">
              <w:rPr>
                <w:sz w:val="21"/>
                <w:szCs w:val="21"/>
              </w:rPr>
              <w:t>7.</w:t>
            </w:r>
          </w:p>
        </w:tc>
        <w:tc>
          <w:tcPr>
            <w:tcW w:w="6522" w:type="dxa"/>
          </w:tcPr>
          <w:p w:rsidR="00102548" w:rsidRDefault="00102548" w:rsidP="00102548">
            <w:pPr>
              <w:rPr>
                <w:sz w:val="21"/>
                <w:szCs w:val="21"/>
              </w:rPr>
            </w:pPr>
            <w:r w:rsidRPr="00475565">
              <w:rPr>
                <w:sz w:val="21"/>
                <w:szCs w:val="21"/>
              </w:rPr>
              <w:t>Surveillance interne de la mise en œuvre des mesures environnementales et sociales</w:t>
            </w:r>
          </w:p>
          <w:p w:rsidR="00102548" w:rsidRPr="00475565" w:rsidRDefault="00102548" w:rsidP="00102548">
            <w:pPr>
              <w:rPr>
                <w:sz w:val="21"/>
                <w:szCs w:val="21"/>
              </w:rPr>
            </w:pPr>
          </w:p>
        </w:tc>
        <w:tc>
          <w:tcPr>
            <w:tcW w:w="1559" w:type="dxa"/>
            <w:vAlign w:val="center"/>
          </w:tcPr>
          <w:p w:rsidR="00102548" w:rsidRPr="00475565" w:rsidRDefault="00102548" w:rsidP="00102548">
            <w:pPr>
              <w:jc w:val="center"/>
              <w:rPr>
                <w:sz w:val="21"/>
                <w:szCs w:val="21"/>
              </w:rPr>
            </w:pPr>
            <w:r w:rsidRPr="00475565">
              <w:rPr>
                <w:sz w:val="21"/>
                <w:szCs w:val="21"/>
              </w:rPr>
              <w:t>SSES</w:t>
            </w:r>
          </w:p>
        </w:tc>
        <w:tc>
          <w:tcPr>
            <w:tcW w:w="1984" w:type="dxa"/>
            <w:vAlign w:val="center"/>
          </w:tcPr>
          <w:p w:rsidR="00102548" w:rsidRPr="00475565" w:rsidRDefault="00102548" w:rsidP="0060566C">
            <w:pPr>
              <w:jc w:val="center"/>
              <w:rPr>
                <w:sz w:val="21"/>
                <w:szCs w:val="21"/>
              </w:rPr>
            </w:pPr>
            <w:r>
              <w:rPr>
                <w:sz w:val="21"/>
                <w:szCs w:val="21"/>
              </w:rPr>
              <w:t>Bureau de contrôle</w:t>
            </w:r>
          </w:p>
        </w:tc>
      </w:tr>
      <w:tr w:rsidR="00102548" w:rsidRPr="00475565" w:rsidTr="0060566C">
        <w:trPr>
          <w:jc w:val="center"/>
        </w:trPr>
        <w:tc>
          <w:tcPr>
            <w:tcW w:w="562" w:type="dxa"/>
            <w:vMerge/>
            <w:vAlign w:val="center"/>
          </w:tcPr>
          <w:p w:rsidR="00102548" w:rsidRPr="00475565" w:rsidRDefault="00102548" w:rsidP="00102548">
            <w:pPr>
              <w:jc w:val="center"/>
              <w:rPr>
                <w:sz w:val="21"/>
                <w:szCs w:val="21"/>
              </w:rPr>
            </w:pPr>
          </w:p>
        </w:tc>
        <w:tc>
          <w:tcPr>
            <w:tcW w:w="6522" w:type="dxa"/>
          </w:tcPr>
          <w:p w:rsidR="00102548" w:rsidRPr="00475565" w:rsidRDefault="00102548" w:rsidP="00102548">
            <w:pPr>
              <w:rPr>
                <w:sz w:val="21"/>
                <w:szCs w:val="21"/>
              </w:rPr>
            </w:pPr>
            <w:r w:rsidRPr="00475565">
              <w:rPr>
                <w:sz w:val="21"/>
                <w:szCs w:val="21"/>
              </w:rPr>
              <w:t xml:space="preserve">Diffusion du rapport de surveillance </w:t>
            </w:r>
          </w:p>
        </w:tc>
        <w:tc>
          <w:tcPr>
            <w:tcW w:w="1559" w:type="dxa"/>
            <w:vAlign w:val="center"/>
          </w:tcPr>
          <w:p w:rsidR="00102548" w:rsidRPr="00475565" w:rsidRDefault="00102548" w:rsidP="00102548">
            <w:pPr>
              <w:jc w:val="center"/>
              <w:rPr>
                <w:sz w:val="21"/>
                <w:szCs w:val="21"/>
              </w:rPr>
            </w:pPr>
            <w:r>
              <w:rPr>
                <w:sz w:val="21"/>
                <w:szCs w:val="21"/>
              </w:rPr>
              <w:t>Coordonnateur de l’</w:t>
            </w:r>
            <w:r w:rsidRPr="00475565">
              <w:rPr>
                <w:sz w:val="21"/>
                <w:szCs w:val="21"/>
              </w:rPr>
              <w:t>UCP</w:t>
            </w:r>
          </w:p>
        </w:tc>
        <w:tc>
          <w:tcPr>
            <w:tcW w:w="1984" w:type="dxa"/>
            <w:vAlign w:val="center"/>
          </w:tcPr>
          <w:p w:rsidR="00102548" w:rsidRDefault="00102548" w:rsidP="0060566C">
            <w:pPr>
              <w:pStyle w:val="PargrafodaLista"/>
              <w:tabs>
                <w:tab w:val="left" w:pos="0"/>
              </w:tabs>
              <w:spacing w:after="0" w:line="240" w:lineRule="auto"/>
              <w:ind w:left="360"/>
              <w:jc w:val="center"/>
              <w:rPr>
                <w:rFonts w:ascii="Times New Roman" w:hAnsi="Times New Roman"/>
                <w:sz w:val="21"/>
                <w:szCs w:val="21"/>
              </w:rPr>
            </w:pPr>
            <w:r>
              <w:rPr>
                <w:rFonts w:ascii="Times New Roman" w:hAnsi="Times New Roman"/>
                <w:sz w:val="21"/>
                <w:szCs w:val="21"/>
              </w:rPr>
              <w:t>Média</w:t>
            </w:r>
          </w:p>
          <w:p w:rsidR="00102548" w:rsidRPr="00475565" w:rsidRDefault="00102548" w:rsidP="0060566C">
            <w:pPr>
              <w:pStyle w:val="PargrafodaLista"/>
              <w:tabs>
                <w:tab w:val="left" w:pos="0"/>
              </w:tabs>
              <w:spacing w:after="0" w:line="240" w:lineRule="auto"/>
              <w:ind w:left="360"/>
              <w:jc w:val="center"/>
              <w:rPr>
                <w:rFonts w:ascii="Times New Roman" w:hAnsi="Times New Roman"/>
                <w:sz w:val="21"/>
                <w:szCs w:val="21"/>
              </w:rPr>
            </w:pPr>
            <w:r>
              <w:rPr>
                <w:rFonts w:ascii="Times New Roman" w:hAnsi="Times New Roman"/>
                <w:sz w:val="21"/>
                <w:szCs w:val="21"/>
              </w:rPr>
              <w:t>Banque mondiale</w:t>
            </w:r>
          </w:p>
        </w:tc>
      </w:tr>
      <w:tr w:rsidR="00102548" w:rsidRPr="00475565" w:rsidTr="0060566C">
        <w:trPr>
          <w:jc w:val="center"/>
        </w:trPr>
        <w:tc>
          <w:tcPr>
            <w:tcW w:w="562" w:type="dxa"/>
            <w:vAlign w:val="center"/>
          </w:tcPr>
          <w:p w:rsidR="00102548" w:rsidRPr="00475565" w:rsidRDefault="00102548" w:rsidP="00102548">
            <w:pPr>
              <w:jc w:val="center"/>
              <w:rPr>
                <w:sz w:val="21"/>
                <w:szCs w:val="21"/>
              </w:rPr>
            </w:pPr>
            <w:r w:rsidRPr="00475565">
              <w:rPr>
                <w:sz w:val="21"/>
                <w:szCs w:val="21"/>
              </w:rPr>
              <w:t>8.</w:t>
            </w:r>
          </w:p>
        </w:tc>
        <w:tc>
          <w:tcPr>
            <w:tcW w:w="6522" w:type="dxa"/>
          </w:tcPr>
          <w:p w:rsidR="00102548" w:rsidRPr="00475565" w:rsidRDefault="00102548" w:rsidP="00102548">
            <w:pPr>
              <w:rPr>
                <w:sz w:val="21"/>
                <w:szCs w:val="21"/>
              </w:rPr>
            </w:pPr>
            <w:r w:rsidRPr="00475565">
              <w:rPr>
                <w:sz w:val="21"/>
                <w:szCs w:val="21"/>
              </w:rPr>
              <w:t>Suivi environnemental et social</w:t>
            </w:r>
          </w:p>
        </w:tc>
        <w:tc>
          <w:tcPr>
            <w:tcW w:w="1559" w:type="dxa"/>
            <w:vAlign w:val="center"/>
          </w:tcPr>
          <w:p w:rsidR="00102548" w:rsidRPr="00475565" w:rsidRDefault="00102548" w:rsidP="00102548">
            <w:pPr>
              <w:jc w:val="center"/>
              <w:rPr>
                <w:sz w:val="21"/>
                <w:szCs w:val="21"/>
              </w:rPr>
            </w:pPr>
            <w:r w:rsidRPr="00475565">
              <w:rPr>
                <w:sz w:val="21"/>
                <w:szCs w:val="21"/>
              </w:rPr>
              <w:t>AAAC</w:t>
            </w:r>
          </w:p>
        </w:tc>
        <w:tc>
          <w:tcPr>
            <w:tcW w:w="1984" w:type="dxa"/>
            <w:vAlign w:val="center"/>
          </w:tcPr>
          <w:p w:rsidR="00102548" w:rsidRPr="00475565" w:rsidRDefault="00102548" w:rsidP="0060566C">
            <w:pPr>
              <w:pStyle w:val="PargrafodaLista"/>
              <w:tabs>
                <w:tab w:val="left" w:pos="0"/>
              </w:tabs>
              <w:spacing w:after="0" w:line="240" w:lineRule="auto"/>
              <w:ind w:left="360"/>
              <w:jc w:val="center"/>
              <w:rPr>
                <w:rFonts w:ascii="Times New Roman" w:hAnsi="Times New Roman"/>
                <w:sz w:val="21"/>
                <w:szCs w:val="21"/>
              </w:rPr>
            </w:pPr>
          </w:p>
        </w:tc>
      </w:tr>
      <w:tr w:rsidR="00102548" w:rsidRPr="00475565" w:rsidTr="0060566C">
        <w:trPr>
          <w:jc w:val="center"/>
        </w:trPr>
        <w:tc>
          <w:tcPr>
            <w:tcW w:w="562" w:type="dxa"/>
            <w:vAlign w:val="center"/>
          </w:tcPr>
          <w:p w:rsidR="00102548" w:rsidRPr="00475565" w:rsidRDefault="00102548" w:rsidP="00102548">
            <w:pPr>
              <w:jc w:val="center"/>
              <w:rPr>
                <w:sz w:val="21"/>
                <w:szCs w:val="21"/>
              </w:rPr>
            </w:pPr>
            <w:r w:rsidRPr="00475565">
              <w:rPr>
                <w:sz w:val="21"/>
                <w:szCs w:val="21"/>
              </w:rPr>
              <w:t>9.</w:t>
            </w:r>
          </w:p>
        </w:tc>
        <w:tc>
          <w:tcPr>
            <w:tcW w:w="6522" w:type="dxa"/>
          </w:tcPr>
          <w:p w:rsidR="00102548" w:rsidRPr="00475565" w:rsidRDefault="00102548" w:rsidP="00102548">
            <w:pPr>
              <w:rPr>
                <w:sz w:val="21"/>
                <w:szCs w:val="21"/>
              </w:rPr>
            </w:pPr>
            <w:r w:rsidRPr="00475565">
              <w:rPr>
                <w:sz w:val="21"/>
                <w:szCs w:val="21"/>
              </w:rPr>
              <w:t>Renforcement des capacités des acteurs en mise en œuvre environnementales et sociales</w:t>
            </w:r>
          </w:p>
        </w:tc>
        <w:tc>
          <w:tcPr>
            <w:tcW w:w="1559" w:type="dxa"/>
            <w:vAlign w:val="center"/>
          </w:tcPr>
          <w:p w:rsidR="00102548" w:rsidRPr="00475565" w:rsidRDefault="00102548" w:rsidP="00102548">
            <w:pPr>
              <w:jc w:val="center"/>
              <w:rPr>
                <w:sz w:val="21"/>
                <w:szCs w:val="21"/>
              </w:rPr>
            </w:pPr>
            <w:r w:rsidRPr="00475565">
              <w:rPr>
                <w:sz w:val="21"/>
                <w:szCs w:val="21"/>
              </w:rPr>
              <w:t>SSES</w:t>
            </w:r>
          </w:p>
        </w:tc>
        <w:tc>
          <w:tcPr>
            <w:tcW w:w="1984" w:type="dxa"/>
            <w:vAlign w:val="center"/>
          </w:tcPr>
          <w:p w:rsidR="00102548" w:rsidRPr="00475565" w:rsidRDefault="00102548" w:rsidP="0060566C">
            <w:pPr>
              <w:pStyle w:val="PargrafodaLista"/>
              <w:tabs>
                <w:tab w:val="left" w:pos="0"/>
              </w:tabs>
              <w:spacing w:after="0" w:line="240" w:lineRule="auto"/>
              <w:ind w:left="32"/>
              <w:jc w:val="center"/>
              <w:rPr>
                <w:rFonts w:ascii="Times New Roman" w:hAnsi="Times New Roman"/>
                <w:sz w:val="21"/>
                <w:szCs w:val="21"/>
              </w:rPr>
            </w:pPr>
            <w:r w:rsidRPr="00475565">
              <w:rPr>
                <w:rFonts w:ascii="Times New Roman" w:hAnsi="Times New Roman"/>
                <w:sz w:val="21"/>
                <w:szCs w:val="21"/>
              </w:rPr>
              <w:t>Consultant</w:t>
            </w:r>
          </w:p>
        </w:tc>
      </w:tr>
      <w:tr w:rsidR="00102548" w:rsidRPr="00475565" w:rsidTr="0060566C">
        <w:trPr>
          <w:trHeight w:val="391"/>
          <w:jc w:val="center"/>
        </w:trPr>
        <w:tc>
          <w:tcPr>
            <w:tcW w:w="562" w:type="dxa"/>
          </w:tcPr>
          <w:p w:rsidR="00102548" w:rsidRPr="00475565" w:rsidRDefault="00102548" w:rsidP="00102548">
            <w:pPr>
              <w:rPr>
                <w:sz w:val="21"/>
                <w:szCs w:val="21"/>
              </w:rPr>
            </w:pPr>
          </w:p>
          <w:p w:rsidR="00102548" w:rsidRPr="00475565" w:rsidRDefault="00102548" w:rsidP="00102548">
            <w:pPr>
              <w:rPr>
                <w:sz w:val="21"/>
                <w:szCs w:val="21"/>
              </w:rPr>
            </w:pPr>
            <w:r w:rsidRPr="00475565">
              <w:rPr>
                <w:sz w:val="21"/>
                <w:szCs w:val="21"/>
              </w:rPr>
              <w:t>11.</w:t>
            </w:r>
          </w:p>
        </w:tc>
        <w:tc>
          <w:tcPr>
            <w:tcW w:w="6522" w:type="dxa"/>
          </w:tcPr>
          <w:p w:rsidR="00102548" w:rsidRPr="00475565" w:rsidRDefault="00102548" w:rsidP="00102548">
            <w:pPr>
              <w:rPr>
                <w:sz w:val="21"/>
                <w:szCs w:val="21"/>
              </w:rPr>
            </w:pPr>
            <w:r w:rsidRPr="00475565">
              <w:rPr>
                <w:sz w:val="21"/>
                <w:szCs w:val="21"/>
              </w:rPr>
              <w:t>Audit de mise en œuvre des mesures environnementales et sociales</w:t>
            </w:r>
          </w:p>
        </w:tc>
        <w:tc>
          <w:tcPr>
            <w:tcW w:w="1559" w:type="dxa"/>
          </w:tcPr>
          <w:p w:rsidR="00102548" w:rsidRPr="00475565" w:rsidRDefault="00102548" w:rsidP="00102548">
            <w:pPr>
              <w:jc w:val="center"/>
              <w:rPr>
                <w:sz w:val="21"/>
                <w:szCs w:val="21"/>
              </w:rPr>
            </w:pPr>
            <w:r w:rsidRPr="00475565">
              <w:rPr>
                <w:sz w:val="21"/>
                <w:szCs w:val="21"/>
              </w:rPr>
              <w:t>SSE &amp;SSS</w:t>
            </w:r>
          </w:p>
        </w:tc>
        <w:tc>
          <w:tcPr>
            <w:tcW w:w="1984" w:type="dxa"/>
            <w:vAlign w:val="center"/>
          </w:tcPr>
          <w:p w:rsidR="00102548" w:rsidRPr="00475565" w:rsidRDefault="00102548" w:rsidP="0060566C">
            <w:pPr>
              <w:pStyle w:val="PargrafodaLista"/>
              <w:tabs>
                <w:tab w:val="left" w:pos="0"/>
              </w:tabs>
              <w:spacing w:after="0" w:line="240" w:lineRule="auto"/>
              <w:ind w:left="32"/>
              <w:jc w:val="center"/>
              <w:rPr>
                <w:rFonts w:ascii="Times New Roman" w:hAnsi="Times New Roman"/>
                <w:sz w:val="21"/>
                <w:szCs w:val="21"/>
              </w:rPr>
            </w:pPr>
            <w:r w:rsidRPr="00475565">
              <w:rPr>
                <w:rFonts w:ascii="Times New Roman" w:hAnsi="Times New Roman"/>
                <w:sz w:val="21"/>
                <w:szCs w:val="21"/>
              </w:rPr>
              <w:t>Consultant</w:t>
            </w:r>
          </w:p>
        </w:tc>
      </w:tr>
    </w:tbl>
    <w:p w:rsidR="00364223" w:rsidRPr="00A05698" w:rsidRDefault="00364223" w:rsidP="004F4212">
      <w:pPr>
        <w:jc w:val="both"/>
        <w:rPr>
          <w:sz w:val="16"/>
          <w:szCs w:val="16"/>
        </w:rPr>
      </w:pPr>
    </w:p>
    <w:p w:rsidR="00260F28" w:rsidRPr="00941652" w:rsidRDefault="000D775D" w:rsidP="00941652">
      <w:pPr>
        <w:autoSpaceDE w:val="0"/>
        <w:autoSpaceDN w:val="0"/>
        <w:adjustRightInd w:val="0"/>
        <w:ind w:left="-284" w:right="-847"/>
        <w:jc w:val="both"/>
        <w:rPr>
          <w:sz w:val="22"/>
          <w:szCs w:val="22"/>
        </w:rPr>
      </w:pPr>
      <w:r>
        <w:rPr>
          <w:sz w:val="22"/>
          <w:szCs w:val="22"/>
        </w:rPr>
        <w:t>Ainsi, c</w:t>
      </w:r>
      <w:r w:rsidR="00C35F3F" w:rsidRPr="000D775D">
        <w:rPr>
          <w:sz w:val="22"/>
          <w:szCs w:val="22"/>
        </w:rPr>
        <w:t>es rapports</w:t>
      </w:r>
      <w:r w:rsidR="006B339E">
        <w:rPr>
          <w:sz w:val="22"/>
          <w:szCs w:val="22"/>
        </w:rPr>
        <w:t xml:space="preserve"> sur la performance E&amp;S du projet</w:t>
      </w:r>
      <w:r w:rsidR="00C35F3F" w:rsidRPr="000D775D">
        <w:rPr>
          <w:sz w:val="22"/>
          <w:szCs w:val="22"/>
        </w:rPr>
        <w:t xml:space="preserve"> fourniront un dossier précis et objectif de la mise en </w:t>
      </w:r>
      <w:r w:rsidRPr="000D775D">
        <w:rPr>
          <w:sz w:val="22"/>
          <w:szCs w:val="22"/>
        </w:rPr>
        <w:t>œuvre</w:t>
      </w:r>
      <w:r w:rsidR="00C35F3F" w:rsidRPr="000D775D">
        <w:rPr>
          <w:sz w:val="22"/>
          <w:szCs w:val="22"/>
        </w:rPr>
        <w:t xml:space="preserve"> du projet, y compris le respect du PEES et des </w:t>
      </w:r>
      <w:r w:rsidR="00334587">
        <w:rPr>
          <w:sz w:val="22"/>
          <w:szCs w:val="22"/>
        </w:rPr>
        <w:t>exigences des normes environnementales et sociales</w:t>
      </w:r>
      <w:r w:rsidR="00C35F3F" w:rsidRPr="000D775D">
        <w:rPr>
          <w:sz w:val="22"/>
          <w:szCs w:val="22"/>
        </w:rPr>
        <w:t xml:space="preserve">. Ces rapports comprendront de l'information sur l'engagement des intervenants effectuée pendant la mise en </w:t>
      </w:r>
      <w:r w:rsidR="00334587" w:rsidRPr="000D775D">
        <w:rPr>
          <w:sz w:val="22"/>
          <w:szCs w:val="22"/>
        </w:rPr>
        <w:t>œuvre</w:t>
      </w:r>
      <w:r w:rsidR="00C35F3F" w:rsidRPr="000D775D">
        <w:rPr>
          <w:sz w:val="22"/>
          <w:szCs w:val="22"/>
        </w:rPr>
        <w:t xml:space="preserve"> du projet conformément à la NES 10. </w:t>
      </w:r>
      <w:r w:rsidR="00941652">
        <w:rPr>
          <w:sz w:val="22"/>
          <w:szCs w:val="22"/>
        </w:rPr>
        <w:t>De plus</w:t>
      </w:r>
      <w:r w:rsidR="00E41B25">
        <w:rPr>
          <w:sz w:val="22"/>
          <w:szCs w:val="22"/>
        </w:rPr>
        <w:t xml:space="preserve">, il est </w:t>
      </w:r>
      <w:r w:rsidR="0001075F">
        <w:rPr>
          <w:sz w:val="22"/>
          <w:szCs w:val="22"/>
        </w:rPr>
        <w:t xml:space="preserve">important pour l’ensemble des acteurs du projet </w:t>
      </w:r>
      <w:r w:rsidR="00E41B25">
        <w:rPr>
          <w:sz w:val="22"/>
          <w:szCs w:val="22"/>
          <w:lang w:val="fr"/>
        </w:rPr>
        <w:t xml:space="preserve">de </w:t>
      </w:r>
      <w:r w:rsidR="00E41B25" w:rsidRPr="00C65B92">
        <w:rPr>
          <w:sz w:val="22"/>
          <w:szCs w:val="22"/>
          <w:lang w:val="fr"/>
        </w:rPr>
        <w:t xml:space="preserve">veiller </w:t>
      </w:r>
      <w:r w:rsidR="00E41B25">
        <w:rPr>
          <w:sz w:val="22"/>
          <w:szCs w:val="22"/>
          <w:lang w:val="fr"/>
        </w:rPr>
        <w:t xml:space="preserve">à </w:t>
      </w:r>
      <w:r w:rsidR="00E41B25" w:rsidRPr="00C65B92">
        <w:rPr>
          <w:sz w:val="22"/>
          <w:szCs w:val="22"/>
          <w:lang w:val="fr"/>
        </w:rPr>
        <w:t>la performance environnementale et sociale du projet conformément à l'accord juridique (y compris l</w:t>
      </w:r>
      <w:r w:rsidR="00E41B25">
        <w:rPr>
          <w:sz w:val="22"/>
          <w:szCs w:val="22"/>
          <w:lang w:val="fr"/>
        </w:rPr>
        <w:t>e PEES</w:t>
      </w:r>
      <w:r w:rsidR="0001075F" w:rsidRPr="00C65B92">
        <w:rPr>
          <w:sz w:val="22"/>
          <w:szCs w:val="22"/>
          <w:lang w:val="fr"/>
        </w:rPr>
        <w:t>)</w:t>
      </w:r>
      <w:r w:rsidR="0001075F">
        <w:rPr>
          <w:sz w:val="22"/>
          <w:szCs w:val="22"/>
          <w:lang w:val="fr"/>
        </w:rPr>
        <w:t>.</w:t>
      </w:r>
    </w:p>
    <w:p w:rsidR="00EC327A" w:rsidRDefault="00EC327A" w:rsidP="003B4350">
      <w:pPr>
        <w:autoSpaceDE w:val="0"/>
        <w:autoSpaceDN w:val="0"/>
        <w:adjustRightInd w:val="0"/>
        <w:ind w:left="-284" w:right="-847"/>
        <w:jc w:val="both"/>
        <w:rPr>
          <w:sz w:val="22"/>
          <w:szCs w:val="22"/>
          <w:lang w:val="fr"/>
        </w:rPr>
      </w:pPr>
    </w:p>
    <w:p w:rsidR="00CC4953" w:rsidRDefault="00CC4953" w:rsidP="003B4350">
      <w:pPr>
        <w:autoSpaceDE w:val="0"/>
        <w:autoSpaceDN w:val="0"/>
        <w:adjustRightInd w:val="0"/>
        <w:ind w:left="-284" w:right="-847"/>
        <w:jc w:val="both"/>
        <w:rPr>
          <w:rFonts w:cs="Calibri"/>
          <w:color w:val="000000"/>
          <w:sz w:val="22"/>
          <w:szCs w:val="22"/>
          <w:lang w:eastAsia="en-US"/>
        </w:rPr>
      </w:pPr>
      <w:r w:rsidRPr="00775D47">
        <w:rPr>
          <w:rFonts w:cs="Calibri"/>
          <w:color w:val="000000"/>
          <w:sz w:val="22"/>
          <w:szCs w:val="22"/>
          <w:lang w:eastAsia="en-US"/>
        </w:rPr>
        <w:t>Sur la base des résultats du suivi, toutes les mesures correctives et préventives nécessaires</w:t>
      </w:r>
      <w:r>
        <w:rPr>
          <w:rFonts w:cs="Calibri"/>
          <w:color w:val="000000"/>
          <w:sz w:val="22"/>
          <w:szCs w:val="22"/>
          <w:lang w:eastAsia="en-US"/>
        </w:rPr>
        <w:t xml:space="preserve"> seront identifiées et intégrées </w:t>
      </w:r>
      <w:r w:rsidRPr="00775D47">
        <w:rPr>
          <w:rFonts w:cs="Calibri"/>
          <w:color w:val="000000"/>
          <w:sz w:val="22"/>
          <w:szCs w:val="22"/>
          <w:lang w:eastAsia="en-US"/>
        </w:rPr>
        <w:t xml:space="preserve">dans un PEES modifié ou dans l'outil de gestion pertinent, d'une manière acceptable pour la Banque. </w:t>
      </w:r>
      <w:r>
        <w:rPr>
          <w:rFonts w:cs="Calibri"/>
          <w:color w:val="000000"/>
          <w:sz w:val="22"/>
          <w:szCs w:val="22"/>
          <w:lang w:eastAsia="en-US"/>
        </w:rPr>
        <w:t xml:space="preserve">Les </w:t>
      </w:r>
      <w:r w:rsidRPr="00775D47">
        <w:rPr>
          <w:rFonts w:cs="Calibri"/>
          <w:color w:val="000000"/>
          <w:sz w:val="22"/>
          <w:szCs w:val="22"/>
          <w:lang w:eastAsia="en-US"/>
        </w:rPr>
        <w:t xml:space="preserve">mesures correctives et préventives </w:t>
      </w:r>
      <w:r>
        <w:rPr>
          <w:rFonts w:cs="Calibri"/>
          <w:color w:val="000000"/>
          <w:sz w:val="22"/>
          <w:szCs w:val="22"/>
          <w:lang w:eastAsia="en-US"/>
        </w:rPr>
        <w:t xml:space="preserve">seront mises en œuvre et </w:t>
      </w:r>
      <w:r w:rsidRPr="00775D47">
        <w:rPr>
          <w:rFonts w:cs="Calibri"/>
          <w:color w:val="000000"/>
          <w:sz w:val="22"/>
          <w:szCs w:val="22"/>
          <w:lang w:eastAsia="en-US"/>
        </w:rPr>
        <w:t>convenues conformément à le PEES modifié ou l'outil de gestion pertinent et surveillera et rendra compte de ces actions.</w:t>
      </w:r>
    </w:p>
    <w:p w:rsidR="00F6666D" w:rsidRDefault="00910AB7" w:rsidP="003B4350">
      <w:pPr>
        <w:autoSpaceDE w:val="0"/>
        <w:autoSpaceDN w:val="0"/>
        <w:adjustRightInd w:val="0"/>
        <w:ind w:left="-284" w:right="-847"/>
        <w:jc w:val="both"/>
        <w:rPr>
          <w:sz w:val="22"/>
          <w:szCs w:val="22"/>
          <w:lang w:val="fr"/>
        </w:rPr>
      </w:pPr>
      <w:r>
        <w:rPr>
          <w:sz w:val="22"/>
          <w:szCs w:val="22"/>
          <w:lang w:val="fr"/>
        </w:rPr>
        <w:t xml:space="preserve">En cas d’incident </w:t>
      </w:r>
      <w:r w:rsidR="00266C22" w:rsidRPr="001070F1">
        <w:rPr>
          <w:sz w:val="22"/>
          <w:szCs w:val="22"/>
          <w:lang w:val="fr"/>
        </w:rPr>
        <w:t>susceptible d'avoir, un effet négatif important sur l'environnemen</w:t>
      </w:r>
      <w:r w:rsidR="00266C22">
        <w:rPr>
          <w:sz w:val="22"/>
          <w:szCs w:val="22"/>
          <w:lang w:val="fr"/>
        </w:rPr>
        <w:t xml:space="preserve">t, les communautés touchées </w:t>
      </w:r>
      <w:r w:rsidR="00266C22" w:rsidRPr="001070F1">
        <w:rPr>
          <w:sz w:val="22"/>
          <w:szCs w:val="22"/>
          <w:lang w:val="fr"/>
        </w:rPr>
        <w:t>ou les travailleurs</w:t>
      </w:r>
      <w:r w:rsidR="00266C22">
        <w:rPr>
          <w:sz w:val="22"/>
          <w:szCs w:val="22"/>
          <w:lang w:val="fr"/>
        </w:rPr>
        <w:t>,</w:t>
      </w:r>
      <w:r w:rsidR="00F54553" w:rsidRPr="00F54553">
        <w:rPr>
          <w:color w:val="000000"/>
          <w:sz w:val="22"/>
          <w:szCs w:val="22"/>
          <w:lang w:eastAsia="en-US"/>
        </w:rPr>
        <w:t xml:space="preserve"> </w:t>
      </w:r>
      <w:r w:rsidR="00F54553" w:rsidRPr="003B15C0">
        <w:rPr>
          <w:color w:val="000000"/>
          <w:sz w:val="22"/>
          <w:szCs w:val="22"/>
          <w:lang w:eastAsia="en-US"/>
        </w:rPr>
        <w:t>Spécialiste en Sauvegarde Environnementale</w:t>
      </w:r>
      <w:r w:rsidR="00F54553">
        <w:rPr>
          <w:color w:val="000000"/>
          <w:sz w:val="22"/>
          <w:szCs w:val="22"/>
          <w:lang w:eastAsia="en-US"/>
        </w:rPr>
        <w:t xml:space="preserve"> et sociale</w:t>
      </w:r>
      <w:r w:rsidR="00F54553" w:rsidRPr="003B15C0">
        <w:rPr>
          <w:color w:val="000000"/>
          <w:sz w:val="22"/>
          <w:szCs w:val="22"/>
          <w:lang w:eastAsia="en-US"/>
        </w:rPr>
        <w:t xml:space="preserve"> (SSE</w:t>
      </w:r>
      <w:r w:rsidR="00F54553">
        <w:rPr>
          <w:color w:val="000000"/>
          <w:sz w:val="22"/>
          <w:szCs w:val="22"/>
          <w:lang w:eastAsia="en-US"/>
        </w:rPr>
        <w:t>S</w:t>
      </w:r>
      <w:r w:rsidR="00F54553" w:rsidRPr="003B15C0">
        <w:rPr>
          <w:color w:val="000000"/>
          <w:sz w:val="22"/>
          <w:szCs w:val="22"/>
          <w:lang w:eastAsia="en-US"/>
        </w:rPr>
        <w:t>)</w:t>
      </w:r>
      <w:r w:rsidR="00F54553">
        <w:rPr>
          <w:color w:val="000000"/>
          <w:sz w:val="22"/>
          <w:szCs w:val="22"/>
          <w:lang w:eastAsia="en-US"/>
        </w:rPr>
        <w:t xml:space="preserve"> est chargé informer le coordinateur du projet qui son tour </w:t>
      </w:r>
      <w:r w:rsidR="00F126AF">
        <w:rPr>
          <w:color w:val="000000"/>
          <w:sz w:val="22"/>
          <w:szCs w:val="22"/>
          <w:lang w:eastAsia="en-US"/>
        </w:rPr>
        <w:t>transmettra l’infos à la Banque Mondiale.</w:t>
      </w:r>
      <w:r w:rsidR="00C07C2F">
        <w:rPr>
          <w:color w:val="000000"/>
          <w:sz w:val="22"/>
          <w:szCs w:val="22"/>
          <w:lang w:eastAsia="en-US"/>
        </w:rPr>
        <w:t xml:space="preserve"> Cette</w:t>
      </w:r>
      <w:r w:rsidR="00C07C2F">
        <w:rPr>
          <w:sz w:val="22"/>
          <w:szCs w:val="22"/>
          <w:lang w:val="fr"/>
        </w:rPr>
        <w:t xml:space="preserve"> </w:t>
      </w:r>
      <w:r w:rsidR="00C07C2F" w:rsidRPr="001070F1">
        <w:rPr>
          <w:sz w:val="22"/>
          <w:szCs w:val="22"/>
          <w:lang w:val="fr"/>
        </w:rPr>
        <w:t>notification</w:t>
      </w:r>
      <w:r w:rsidR="004606FB" w:rsidRPr="001070F1">
        <w:rPr>
          <w:sz w:val="22"/>
          <w:szCs w:val="22"/>
          <w:lang w:val="fr"/>
        </w:rPr>
        <w:t xml:space="preserve"> fournira suffisamment de détails sur un tel incident ou accident, y compris les décès ou les bl</w:t>
      </w:r>
      <w:r w:rsidR="00C07C2F">
        <w:rPr>
          <w:sz w:val="22"/>
          <w:szCs w:val="22"/>
          <w:lang w:val="fr"/>
        </w:rPr>
        <w:t xml:space="preserve">essures graves. Le </w:t>
      </w:r>
      <w:r w:rsidR="0060566C">
        <w:rPr>
          <w:sz w:val="22"/>
          <w:szCs w:val="22"/>
          <w:lang w:val="fr"/>
        </w:rPr>
        <w:t xml:space="preserve">projet </w:t>
      </w:r>
      <w:r w:rsidR="0060566C" w:rsidRPr="001070F1">
        <w:rPr>
          <w:sz w:val="22"/>
          <w:szCs w:val="22"/>
          <w:lang w:val="fr"/>
        </w:rPr>
        <w:t>prendra</w:t>
      </w:r>
      <w:r w:rsidR="004606FB" w:rsidRPr="001070F1">
        <w:rPr>
          <w:sz w:val="22"/>
          <w:szCs w:val="22"/>
          <w:lang w:val="fr"/>
        </w:rPr>
        <w:t xml:space="preserve"> des mesures immédiates pour faire face à l'incident ou à l'accident et pour éviter toute récidive, conformément à la législation nationale et aux </w:t>
      </w:r>
      <w:r w:rsidR="004606FB">
        <w:rPr>
          <w:sz w:val="22"/>
          <w:szCs w:val="22"/>
          <w:lang w:val="fr"/>
        </w:rPr>
        <w:t>NES</w:t>
      </w:r>
      <w:r w:rsidR="00723D8D">
        <w:rPr>
          <w:sz w:val="22"/>
          <w:szCs w:val="22"/>
          <w:lang w:val="fr"/>
        </w:rPr>
        <w:t>.</w:t>
      </w:r>
    </w:p>
    <w:p w:rsidR="0001075F" w:rsidRPr="00A05698" w:rsidRDefault="0001075F" w:rsidP="003B4350">
      <w:pPr>
        <w:autoSpaceDE w:val="0"/>
        <w:autoSpaceDN w:val="0"/>
        <w:adjustRightInd w:val="0"/>
        <w:ind w:left="-284" w:right="-847"/>
        <w:jc w:val="both"/>
        <w:rPr>
          <w:sz w:val="22"/>
          <w:szCs w:val="22"/>
        </w:rPr>
      </w:pPr>
    </w:p>
    <w:p w:rsidR="00685FF4" w:rsidRPr="00A05698" w:rsidRDefault="00685FF4" w:rsidP="0060566C">
      <w:pPr>
        <w:pStyle w:val="PargrafodaLista"/>
        <w:numPr>
          <w:ilvl w:val="2"/>
          <w:numId w:val="99"/>
        </w:numPr>
        <w:spacing w:after="120" w:line="240" w:lineRule="auto"/>
        <w:ind w:right="-847"/>
        <w:outlineLvl w:val="1"/>
        <w:rPr>
          <w:rFonts w:ascii="Times New Roman" w:hAnsi="Times New Roman"/>
          <w:b/>
          <w:bCs/>
          <w:sz w:val="24"/>
          <w:szCs w:val="24"/>
        </w:rPr>
      </w:pPr>
      <w:bookmarkStart w:id="283" w:name="_Toc55460169"/>
      <w:bookmarkStart w:id="284" w:name="_Toc55465562"/>
      <w:bookmarkStart w:id="285" w:name="_Toc73459757"/>
      <w:r w:rsidRPr="00A05698">
        <w:rPr>
          <w:rFonts w:ascii="Times New Roman" w:hAnsi="Times New Roman"/>
          <w:b/>
          <w:bCs/>
          <w:sz w:val="24"/>
          <w:szCs w:val="24"/>
        </w:rPr>
        <w:t>Les indicateurs de suivi du processus de mise en œuvre</w:t>
      </w:r>
      <w:bookmarkEnd w:id="283"/>
      <w:bookmarkEnd w:id="284"/>
      <w:r w:rsidR="00644690">
        <w:rPr>
          <w:rFonts w:ascii="Times New Roman" w:hAnsi="Times New Roman"/>
          <w:b/>
          <w:bCs/>
          <w:sz w:val="24"/>
          <w:szCs w:val="24"/>
        </w:rPr>
        <w:t xml:space="preserve"> du projet</w:t>
      </w:r>
      <w:bookmarkEnd w:id="285"/>
    </w:p>
    <w:p w:rsidR="00685FF4" w:rsidRPr="004D1BD0" w:rsidRDefault="00685FF4" w:rsidP="00260F28">
      <w:pPr>
        <w:autoSpaceDE w:val="0"/>
        <w:autoSpaceDN w:val="0"/>
        <w:adjustRightInd w:val="0"/>
        <w:ind w:left="-284" w:right="-847"/>
        <w:jc w:val="both"/>
      </w:pPr>
      <w:r w:rsidRPr="004D1BD0">
        <w:t>Ces indicateurs servent à apprécier le niveau de mise en œuvre du Plan de Gestion environnementale et sociale et portant sur :</w:t>
      </w:r>
    </w:p>
    <w:p w:rsidR="008C12DE" w:rsidRPr="004D1BD0" w:rsidRDefault="008C12DE" w:rsidP="00260F28">
      <w:pPr>
        <w:autoSpaceDE w:val="0"/>
        <w:autoSpaceDN w:val="0"/>
        <w:adjustRightInd w:val="0"/>
        <w:ind w:left="-284" w:right="-847"/>
        <w:jc w:val="both"/>
      </w:pPr>
    </w:p>
    <w:p w:rsidR="00685FF4" w:rsidRPr="00475565" w:rsidRDefault="00685FF4" w:rsidP="00157035">
      <w:pPr>
        <w:numPr>
          <w:ilvl w:val="0"/>
          <w:numId w:val="72"/>
        </w:numPr>
        <w:ind w:left="709" w:right="-847" w:hanging="284"/>
        <w:jc w:val="both"/>
        <w:rPr>
          <w:rFonts w:eastAsia="Calibri"/>
          <w:sz w:val="22"/>
          <w:szCs w:val="22"/>
        </w:rPr>
      </w:pPr>
      <w:r w:rsidRPr="00475565">
        <w:rPr>
          <w:rFonts w:eastAsia="Calibri"/>
          <w:sz w:val="22"/>
          <w:szCs w:val="22"/>
        </w:rPr>
        <w:t xml:space="preserve">Le recrutement d'un expert consultant environnemental intervenant </w:t>
      </w:r>
      <w:r w:rsidR="00062E84" w:rsidRPr="00475565">
        <w:rPr>
          <w:rFonts w:eastAsia="Calibri"/>
          <w:sz w:val="22"/>
          <w:szCs w:val="22"/>
        </w:rPr>
        <w:t>au sein de l'unité de coordination</w:t>
      </w:r>
      <w:r w:rsidRPr="00475565">
        <w:rPr>
          <w:rFonts w:eastAsia="Calibri"/>
          <w:sz w:val="22"/>
          <w:szCs w:val="22"/>
        </w:rPr>
        <w:t xml:space="preserve"> de projet et qui serait responsable du suivi environnemental ; </w:t>
      </w:r>
    </w:p>
    <w:p w:rsidR="00685FF4" w:rsidRPr="00475565" w:rsidRDefault="00685FF4" w:rsidP="00157035">
      <w:pPr>
        <w:numPr>
          <w:ilvl w:val="0"/>
          <w:numId w:val="72"/>
        </w:numPr>
        <w:ind w:left="709" w:right="-847" w:hanging="284"/>
        <w:jc w:val="both"/>
        <w:rPr>
          <w:rFonts w:eastAsia="Calibri"/>
          <w:sz w:val="22"/>
          <w:szCs w:val="22"/>
        </w:rPr>
      </w:pPr>
      <w:r w:rsidRPr="00475565">
        <w:rPr>
          <w:rFonts w:eastAsia="Calibri"/>
          <w:sz w:val="22"/>
          <w:szCs w:val="22"/>
        </w:rPr>
        <w:t>La désignation de Points Focaux environne</w:t>
      </w:r>
      <w:r w:rsidR="00081D6F" w:rsidRPr="00475565">
        <w:rPr>
          <w:rFonts w:eastAsia="Calibri"/>
          <w:sz w:val="22"/>
          <w:szCs w:val="22"/>
        </w:rPr>
        <w:t xml:space="preserve">ment et social rattachés au </w:t>
      </w:r>
      <w:r w:rsidR="00794D9A" w:rsidRPr="00475565">
        <w:rPr>
          <w:rFonts w:eastAsia="Calibri"/>
          <w:sz w:val="22"/>
          <w:szCs w:val="22"/>
        </w:rPr>
        <w:t>Ministère</w:t>
      </w:r>
      <w:r w:rsidR="00081D6F" w:rsidRPr="00475565">
        <w:rPr>
          <w:rFonts w:eastAsia="Calibri"/>
          <w:sz w:val="22"/>
          <w:szCs w:val="22"/>
        </w:rPr>
        <w:t xml:space="preserve"> de l’environnement</w:t>
      </w:r>
      <w:r w:rsidRPr="00475565">
        <w:rPr>
          <w:rFonts w:eastAsia="Calibri"/>
          <w:sz w:val="22"/>
          <w:szCs w:val="22"/>
        </w:rPr>
        <w:t xml:space="preserve"> </w:t>
      </w:r>
      <w:r w:rsidR="005C32FE" w:rsidRPr="00475565">
        <w:rPr>
          <w:rFonts w:eastAsia="Calibri"/>
          <w:sz w:val="22"/>
          <w:szCs w:val="22"/>
        </w:rPr>
        <w:t>(AAAC</w:t>
      </w:r>
      <w:r w:rsidRPr="00475565">
        <w:rPr>
          <w:rFonts w:eastAsia="Calibri"/>
          <w:sz w:val="22"/>
          <w:szCs w:val="22"/>
        </w:rPr>
        <w:t>)</w:t>
      </w:r>
    </w:p>
    <w:p w:rsidR="00685FF4" w:rsidRPr="00475565" w:rsidRDefault="00685FF4" w:rsidP="00157035">
      <w:pPr>
        <w:numPr>
          <w:ilvl w:val="0"/>
          <w:numId w:val="72"/>
        </w:numPr>
        <w:ind w:left="709" w:right="-847" w:hanging="284"/>
        <w:jc w:val="both"/>
        <w:rPr>
          <w:rFonts w:eastAsia="Calibri"/>
          <w:sz w:val="22"/>
          <w:szCs w:val="22"/>
        </w:rPr>
      </w:pPr>
      <w:r w:rsidRPr="00475565">
        <w:rPr>
          <w:rFonts w:eastAsia="Calibri"/>
          <w:sz w:val="22"/>
          <w:szCs w:val="22"/>
        </w:rPr>
        <w:t xml:space="preserve">L’effectivité des évaluations environnementales dans la mise en œuvre des activités du projet </w:t>
      </w:r>
    </w:p>
    <w:p w:rsidR="00685FF4" w:rsidRPr="00475565" w:rsidRDefault="00685FF4" w:rsidP="00157035">
      <w:pPr>
        <w:numPr>
          <w:ilvl w:val="0"/>
          <w:numId w:val="72"/>
        </w:numPr>
        <w:ind w:left="709" w:right="-847" w:hanging="284"/>
        <w:jc w:val="both"/>
        <w:rPr>
          <w:rFonts w:eastAsia="Calibri"/>
          <w:sz w:val="22"/>
          <w:szCs w:val="22"/>
        </w:rPr>
      </w:pPr>
      <w:r w:rsidRPr="00475565">
        <w:rPr>
          <w:rFonts w:eastAsia="Calibri"/>
          <w:sz w:val="22"/>
          <w:szCs w:val="22"/>
        </w:rPr>
        <w:t xml:space="preserve">La mise en œuvre des programmes de renforcement des capacités </w:t>
      </w:r>
    </w:p>
    <w:p w:rsidR="00685FF4" w:rsidRDefault="00685FF4" w:rsidP="00157035">
      <w:pPr>
        <w:numPr>
          <w:ilvl w:val="0"/>
          <w:numId w:val="72"/>
        </w:numPr>
        <w:ind w:left="709" w:right="-847" w:hanging="284"/>
        <w:jc w:val="both"/>
        <w:rPr>
          <w:rFonts w:eastAsia="Calibri"/>
          <w:sz w:val="22"/>
          <w:szCs w:val="22"/>
        </w:rPr>
      </w:pPr>
      <w:r w:rsidRPr="00475565">
        <w:rPr>
          <w:rFonts w:eastAsia="Calibri"/>
          <w:sz w:val="22"/>
          <w:szCs w:val="22"/>
        </w:rPr>
        <w:t>L’effectivité de la coordination et du suivi environnemental et social.</w:t>
      </w:r>
    </w:p>
    <w:p w:rsidR="00626ADC" w:rsidRDefault="00626ADC" w:rsidP="00157035">
      <w:pPr>
        <w:numPr>
          <w:ilvl w:val="0"/>
          <w:numId w:val="72"/>
        </w:numPr>
        <w:ind w:left="709" w:right="-847" w:hanging="284"/>
        <w:jc w:val="both"/>
        <w:rPr>
          <w:rFonts w:eastAsia="Calibri"/>
          <w:sz w:val="22"/>
          <w:szCs w:val="22"/>
        </w:rPr>
      </w:pPr>
      <w:r w:rsidRPr="0005693D">
        <w:rPr>
          <w:rFonts w:eastAsia="Calibri"/>
          <w:sz w:val="22"/>
          <w:szCs w:val="22"/>
        </w:rPr>
        <w:t>Nombre d’accidents liés au non-respect des mesures de sécurité</w:t>
      </w:r>
    </w:p>
    <w:p w:rsidR="00726900" w:rsidRDefault="00726900" w:rsidP="00D30058">
      <w:pPr>
        <w:autoSpaceDE w:val="0"/>
        <w:autoSpaceDN w:val="0"/>
        <w:adjustRightInd w:val="0"/>
        <w:ind w:right="-847"/>
        <w:jc w:val="both"/>
      </w:pPr>
    </w:p>
    <w:p w:rsidR="008C12DE" w:rsidRPr="00FE4AA9" w:rsidRDefault="008C12DE" w:rsidP="00FE4AA9">
      <w:pPr>
        <w:autoSpaceDE w:val="0"/>
        <w:autoSpaceDN w:val="0"/>
        <w:adjustRightInd w:val="0"/>
        <w:ind w:left="-284" w:right="-847"/>
        <w:jc w:val="both"/>
      </w:pPr>
      <w:r>
        <w:t xml:space="preserve">Ainsi, </w:t>
      </w:r>
      <w:r w:rsidR="00F51662">
        <w:t>ces i</w:t>
      </w:r>
      <w:r w:rsidR="00726900">
        <w:t xml:space="preserve">ndicateurs seront </w:t>
      </w:r>
      <w:r w:rsidR="00686901">
        <w:t>contrôlés</w:t>
      </w:r>
      <w:r w:rsidR="00831C09">
        <w:t xml:space="preserve"> et suivis par un </w:t>
      </w:r>
      <w:r w:rsidRPr="004D1BD0">
        <w:t xml:space="preserve">comité technique régional de </w:t>
      </w:r>
      <w:r w:rsidR="00686901">
        <w:t>suivi (</w:t>
      </w:r>
      <w:r w:rsidR="00686901" w:rsidRPr="004D1BD0">
        <w:t>AAAC, DGA, D</w:t>
      </w:r>
      <w:r w:rsidR="00686901">
        <w:t>irectio</w:t>
      </w:r>
      <w:r w:rsidR="004870DC">
        <w:t>n de la protection des végétaux</w:t>
      </w:r>
      <w:r w:rsidR="00686901" w:rsidRPr="004D1BD0">
        <w:t>, les collectivités territoriales, le Service Régional du Commerce, les services régionaux de l'hydraulique, de l'élevage, de l’inspection du travail, de la santé, etc.</w:t>
      </w:r>
      <w:r w:rsidR="00686901">
        <w:t>)</w:t>
      </w:r>
    </w:p>
    <w:p w:rsidR="00260F28" w:rsidRPr="00A05698" w:rsidRDefault="00260F28" w:rsidP="00260F28">
      <w:pPr>
        <w:ind w:left="709" w:right="-847"/>
        <w:jc w:val="both"/>
        <w:rPr>
          <w:rFonts w:eastAsia="Calibri"/>
        </w:rPr>
      </w:pPr>
    </w:p>
    <w:p w:rsidR="00685FF4" w:rsidRDefault="00685FF4" w:rsidP="00157035">
      <w:pPr>
        <w:keepNext/>
        <w:numPr>
          <w:ilvl w:val="0"/>
          <w:numId w:val="74"/>
        </w:numPr>
        <w:tabs>
          <w:tab w:val="left" w:pos="284"/>
          <w:tab w:val="left" w:pos="426"/>
        </w:tabs>
        <w:ind w:left="142" w:hanging="76"/>
        <w:jc w:val="both"/>
        <w:outlineLvl w:val="3"/>
        <w:rPr>
          <w:rFonts w:eastAsia="Calibri"/>
          <w:b/>
          <w:i/>
        </w:rPr>
      </w:pPr>
      <w:bookmarkStart w:id="286" w:name="_Toc414259909"/>
      <w:bookmarkStart w:id="287" w:name="_Toc414260179"/>
      <w:bookmarkStart w:id="288" w:name="_Toc414262928"/>
      <w:bookmarkStart w:id="289" w:name="_Toc414263067"/>
      <w:r w:rsidRPr="00A05698">
        <w:rPr>
          <w:rFonts w:eastAsia="Calibri"/>
          <w:b/>
          <w:i/>
        </w:rPr>
        <w:t>Le suivi "interne" par l</w:t>
      </w:r>
      <w:r w:rsidR="003334D9">
        <w:rPr>
          <w:rFonts w:eastAsia="Calibri"/>
          <w:b/>
          <w:i/>
        </w:rPr>
        <w:t>’</w:t>
      </w:r>
      <w:r w:rsidRPr="00A05698">
        <w:rPr>
          <w:rFonts w:eastAsia="Calibri"/>
          <w:b/>
          <w:i/>
        </w:rPr>
        <w:t>expert</w:t>
      </w:r>
      <w:r w:rsidR="003334D9">
        <w:rPr>
          <w:rFonts w:eastAsia="Calibri"/>
          <w:b/>
          <w:i/>
        </w:rPr>
        <w:t xml:space="preserve"> environnement</w:t>
      </w:r>
      <w:r w:rsidRPr="00A05698">
        <w:rPr>
          <w:rFonts w:eastAsia="Calibri"/>
          <w:b/>
          <w:i/>
        </w:rPr>
        <w:t xml:space="preserve"> du projet</w:t>
      </w:r>
      <w:bookmarkEnd w:id="286"/>
      <w:bookmarkEnd w:id="287"/>
      <w:bookmarkEnd w:id="288"/>
      <w:bookmarkEnd w:id="289"/>
    </w:p>
    <w:p w:rsidR="00227E7F" w:rsidRDefault="00227E7F" w:rsidP="00B823B5">
      <w:pPr>
        <w:autoSpaceDE w:val="0"/>
        <w:autoSpaceDN w:val="0"/>
        <w:adjustRightInd w:val="0"/>
        <w:ind w:left="-284" w:right="-847"/>
        <w:jc w:val="both"/>
      </w:pPr>
      <w:r>
        <w:t xml:space="preserve">L’expert environnement </w:t>
      </w:r>
      <w:r w:rsidR="008425CE">
        <w:t xml:space="preserve">du </w:t>
      </w:r>
      <w:r w:rsidR="00F83BCF">
        <w:t xml:space="preserve">projet devra effectuer </w:t>
      </w:r>
      <w:r w:rsidR="009E144B">
        <w:t>régulièrement</w:t>
      </w:r>
      <w:r w:rsidR="00F83BCF">
        <w:t xml:space="preserve"> (mensuelle) au</w:t>
      </w:r>
      <w:r w:rsidR="00134290">
        <w:t>x</w:t>
      </w:r>
      <w:r w:rsidR="00F83BCF">
        <w:t xml:space="preserve"> suivis </w:t>
      </w:r>
      <w:r w:rsidR="008E6295">
        <w:t xml:space="preserve">de </w:t>
      </w:r>
      <w:r w:rsidR="00134290">
        <w:t xml:space="preserve">ces </w:t>
      </w:r>
      <w:r w:rsidR="008E6295">
        <w:t>différentes</w:t>
      </w:r>
      <w:r w:rsidR="00134290">
        <w:t xml:space="preserve"> </w:t>
      </w:r>
      <w:r w:rsidR="001654E3">
        <w:t>éléments</w:t>
      </w:r>
      <w:r w:rsidR="008E6295">
        <w:t xml:space="preserve"> </w:t>
      </w:r>
      <w:r w:rsidR="00B823B5">
        <w:t xml:space="preserve">cités </w:t>
      </w:r>
      <w:r w:rsidR="001654E3">
        <w:t xml:space="preserve">ci-dessous </w:t>
      </w:r>
      <w:r w:rsidR="008E6295">
        <w:t xml:space="preserve">avant, pendant </w:t>
      </w:r>
      <w:r w:rsidR="001654E3">
        <w:t>et après la mise en œuvre du projet PUSA</w:t>
      </w:r>
      <w:r w:rsidR="00B823B5">
        <w:t>.</w:t>
      </w:r>
    </w:p>
    <w:p w:rsidR="00B823B5" w:rsidRPr="00227E7F" w:rsidRDefault="00B823B5" w:rsidP="00B823B5"/>
    <w:p w:rsidR="00685FF4" w:rsidRPr="00475565" w:rsidRDefault="006622A9" w:rsidP="00157035">
      <w:pPr>
        <w:numPr>
          <w:ilvl w:val="0"/>
          <w:numId w:val="73"/>
        </w:numPr>
        <w:ind w:left="1066" w:right="-847" w:hanging="357"/>
        <w:jc w:val="both"/>
        <w:rPr>
          <w:rFonts w:eastAsia="Calibri"/>
          <w:sz w:val="22"/>
          <w:szCs w:val="22"/>
        </w:rPr>
      </w:pPr>
      <w:r>
        <w:rPr>
          <w:rFonts w:eastAsia="Calibri"/>
          <w:sz w:val="22"/>
          <w:szCs w:val="22"/>
        </w:rPr>
        <w:t>Le n</w:t>
      </w:r>
      <w:r w:rsidR="00685FF4" w:rsidRPr="00475565">
        <w:rPr>
          <w:rFonts w:eastAsia="Calibri"/>
          <w:sz w:val="22"/>
          <w:szCs w:val="22"/>
        </w:rPr>
        <w:t xml:space="preserve">ombre </w:t>
      </w:r>
      <w:r w:rsidR="00F93593" w:rsidRPr="00475565">
        <w:rPr>
          <w:rFonts w:eastAsia="Calibri"/>
          <w:sz w:val="22"/>
          <w:szCs w:val="22"/>
        </w:rPr>
        <w:t>de sous</w:t>
      </w:r>
      <w:r w:rsidR="003F1F4A" w:rsidRPr="00475565">
        <w:rPr>
          <w:rFonts w:eastAsia="Calibri"/>
          <w:sz w:val="22"/>
          <w:szCs w:val="22"/>
        </w:rPr>
        <w:t xml:space="preserve"> </w:t>
      </w:r>
      <w:r w:rsidR="00260F28" w:rsidRPr="00475565">
        <w:rPr>
          <w:rFonts w:eastAsia="Calibri"/>
          <w:sz w:val="22"/>
          <w:szCs w:val="22"/>
        </w:rPr>
        <w:t>projet faisant</w:t>
      </w:r>
      <w:r w:rsidR="00685FF4" w:rsidRPr="00475565">
        <w:rPr>
          <w:rFonts w:eastAsia="Calibri"/>
          <w:sz w:val="22"/>
          <w:szCs w:val="22"/>
        </w:rPr>
        <w:t xml:space="preserve"> l'objet d'une sélection environnementale</w:t>
      </w:r>
    </w:p>
    <w:p w:rsidR="007D2B0D" w:rsidRPr="00B823B5" w:rsidRDefault="006622A9" w:rsidP="00157035">
      <w:pPr>
        <w:numPr>
          <w:ilvl w:val="0"/>
          <w:numId w:val="73"/>
        </w:numPr>
        <w:ind w:left="1066" w:right="-847" w:hanging="357"/>
        <w:jc w:val="both"/>
        <w:rPr>
          <w:rFonts w:eastAsia="Calibri"/>
          <w:sz w:val="22"/>
          <w:szCs w:val="22"/>
        </w:rPr>
      </w:pPr>
      <w:r w:rsidRPr="00B823B5">
        <w:rPr>
          <w:rFonts w:eastAsia="Calibri"/>
          <w:sz w:val="22"/>
          <w:szCs w:val="22"/>
        </w:rPr>
        <w:t>Le n</w:t>
      </w:r>
      <w:r w:rsidR="00960D5D" w:rsidRPr="00B823B5">
        <w:rPr>
          <w:rFonts w:eastAsia="Calibri"/>
          <w:sz w:val="22"/>
          <w:szCs w:val="22"/>
        </w:rPr>
        <w:t xml:space="preserve">ombre de sous-projet ayant fait l’objet d’une </w:t>
      </w:r>
      <w:r w:rsidR="00A73BE0">
        <w:rPr>
          <w:rFonts w:eastAsia="Calibri"/>
          <w:sz w:val="22"/>
          <w:szCs w:val="22"/>
        </w:rPr>
        <w:t xml:space="preserve">AEI </w:t>
      </w:r>
      <w:r w:rsidR="00960D5D" w:rsidRPr="00B823B5">
        <w:rPr>
          <w:rFonts w:eastAsia="Calibri"/>
          <w:sz w:val="22"/>
          <w:szCs w:val="22"/>
        </w:rPr>
        <w:t xml:space="preserve">mis en </w:t>
      </w:r>
      <w:r w:rsidR="00D30058" w:rsidRPr="00B823B5">
        <w:rPr>
          <w:rFonts w:eastAsia="Calibri"/>
          <w:sz w:val="22"/>
          <w:szCs w:val="22"/>
        </w:rPr>
        <w:t>œuvre</w:t>
      </w:r>
    </w:p>
    <w:p w:rsidR="00685FF4" w:rsidRPr="00475565" w:rsidRDefault="00685FF4" w:rsidP="00157035">
      <w:pPr>
        <w:numPr>
          <w:ilvl w:val="0"/>
          <w:numId w:val="73"/>
        </w:numPr>
        <w:ind w:left="1066" w:right="-847" w:hanging="357"/>
        <w:jc w:val="both"/>
        <w:rPr>
          <w:rFonts w:eastAsia="Calibri"/>
          <w:sz w:val="22"/>
          <w:szCs w:val="22"/>
        </w:rPr>
      </w:pPr>
      <w:r w:rsidRPr="00475565">
        <w:rPr>
          <w:rFonts w:eastAsia="Calibri"/>
          <w:sz w:val="22"/>
          <w:szCs w:val="22"/>
        </w:rPr>
        <w:t>L’organisation effective de l’encadrement et de la formation (nombre de structures et personnes formées, avec prise en compte du genre) ;</w:t>
      </w:r>
    </w:p>
    <w:p w:rsidR="00685FF4" w:rsidRPr="00475565" w:rsidRDefault="00685FF4" w:rsidP="00157035">
      <w:pPr>
        <w:numPr>
          <w:ilvl w:val="0"/>
          <w:numId w:val="73"/>
        </w:numPr>
        <w:ind w:left="1066" w:right="-847" w:hanging="357"/>
        <w:jc w:val="both"/>
        <w:rPr>
          <w:rFonts w:eastAsia="Calibri"/>
          <w:sz w:val="22"/>
          <w:szCs w:val="22"/>
        </w:rPr>
      </w:pPr>
      <w:r w:rsidRPr="00475565">
        <w:rPr>
          <w:rFonts w:eastAsia="Calibri"/>
          <w:sz w:val="22"/>
          <w:szCs w:val="22"/>
        </w:rPr>
        <w:t>Les impacts sociaux globaux découlant du projet, avec une attention aux retombées en direction des groupes vulnérables et des femmes ;</w:t>
      </w:r>
    </w:p>
    <w:p w:rsidR="00685FF4" w:rsidRPr="00475565" w:rsidRDefault="007D2B0D" w:rsidP="00157035">
      <w:pPr>
        <w:numPr>
          <w:ilvl w:val="0"/>
          <w:numId w:val="73"/>
        </w:numPr>
        <w:ind w:left="1066" w:right="-847" w:hanging="357"/>
        <w:jc w:val="both"/>
        <w:rPr>
          <w:rFonts w:eastAsia="Calibri"/>
          <w:sz w:val="22"/>
          <w:szCs w:val="22"/>
        </w:rPr>
      </w:pPr>
      <w:r>
        <w:rPr>
          <w:rFonts w:eastAsia="Calibri"/>
          <w:sz w:val="22"/>
          <w:szCs w:val="22"/>
        </w:rPr>
        <w:t>Le n</w:t>
      </w:r>
      <w:r w:rsidR="00685FF4" w:rsidRPr="00475565">
        <w:rPr>
          <w:rFonts w:eastAsia="Calibri"/>
          <w:sz w:val="22"/>
          <w:szCs w:val="22"/>
        </w:rPr>
        <w:t xml:space="preserve">iveau d’implication des collectivités et acteurs locaux dans le suivi des travaux </w:t>
      </w:r>
    </w:p>
    <w:p w:rsidR="00685FF4" w:rsidRPr="00475565" w:rsidRDefault="007D2B0D" w:rsidP="00157035">
      <w:pPr>
        <w:numPr>
          <w:ilvl w:val="0"/>
          <w:numId w:val="73"/>
        </w:numPr>
        <w:ind w:left="1066" w:right="-847" w:hanging="357"/>
        <w:jc w:val="both"/>
        <w:rPr>
          <w:rFonts w:eastAsia="Calibri"/>
          <w:sz w:val="22"/>
          <w:szCs w:val="22"/>
        </w:rPr>
      </w:pPr>
      <w:r>
        <w:rPr>
          <w:rFonts w:eastAsia="Calibri"/>
          <w:sz w:val="22"/>
          <w:szCs w:val="22"/>
        </w:rPr>
        <w:t>Le n</w:t>
      </w:r>
      <w:r w:rsidR="00685FF4" w:rsidRPr="00475565">
        <w:rPr>
          <w:rFonts w:eastAsia="Calibri"/>
          <w:sz w:val="22"/>
          <w:szCs w:val="22"/>
        </w:rPr>
        <w:t>iveau de respects des mesures d’hygiène et de sécurité ;</w:t>
      </w:r>
    </w:p>
    <w:p w:rsidR="001363CE" w:rsidRDefault="006622A9" w:rsidP="00157035">
      <w:pPr>
        <w:numPr>
          <w:ilvl w:val="0"/>
          <w:numId w:val="73"/>
        </w:numPr>
        <w:ind w:left="1066" w:right="-847" w:hanging="357"/>
        <w:jc w:val="both"/>
        <w:rPr>
          <w:rFonts w:eastAsia="Calibri"/>
          <w:sz w:val="22"/>
          <w:szCs w:val="22"/>
        </w:rPr>
      </w:pPr>
      <w:r>
        <w:rPr>
          <w:rFonts w:eastAsia="Calibri"/>
          <w:sz w:val="22"/>
          <w:szCs w:val="22"/>
        </w:rPr>
        <w:t xml:space="preserve">Le </w:t>
      </w:r>
      <w:r w:rsidR="001363CE">
        <w:rPr>
          <w:rFonts w:eastAsia="Calibri"/>
          <w:sz w:val="22"/>
          <w:szCs w:val="22"/>
        </w:rPr>
        <w:t>% de plaintes d’EAS/HS reçues et référées aux services VBG</w:t>
      </w:r>
    </w:p>
    <w:p w:rsidR="0005693D" w:rsidRDefault="006622A9" w:rsidP="00157035">
      <w:pPr>
        <w:numPr>
          <w:ilvl w:val="0"/>
          <w:numId w:val="73"/>
        </w:numPr>
        <w:ind w:left="1066" w:right="-847" w:hanging="357"/>
        <w:jc w:val="both"/>
        <w:rPr>
          <w:rFonts w:eastAsia="Calibri"/>
          <w:sz w:val="22"/>
          <w:szCs w:val="22"/>
        </w:rPr>
      </w:pPr>
      <w:r>
        <w:rPr>
          <w:rFonts w:eastAsia="Calibri"/>
          <w:sz w:val="22"/>
          <w:szCs w:val="22"/>
        </w:rPr>
        <w:t>Le n</w:t>
      </w:r>
      <w:r w:rsidR="0005693D" w:rsidRPr="0005693D">
        <w:rPr>
          <w:rFonts w:eastAsia="Calibri"/>
          <w:sz w:val="22"/>
          <w:szCs w:val="22"/>
        </w:rPr>
        <w:t>ombre d’accidents liés au non-respect des mesures de sécurité</w:t>
      </w:r>
    </w:p>
    <w:p w:rsidR="00B739E1" w:rsidRPr="00475565" w:rsidRDefault="00B739E1" w:rsidP="00157035">
      <w:pPr>
        <w:numPr>
          <w:ilvl w:val="0"/>
          <w:numId w:val="73"/>
        </w:numPr>
        <w:ind w:left="1066" w:right="-847" w:hanging="357"/>
        <w:jc w:val="both"/>
        <w:rPr>
          <w:rFonts w:eastAsia="Calibri"/>
          <w:sz w:val="22"/>
          <w:szCs w:val="22"/>
        </w:rPr>
      </w:pPr>
      <w:r>
        <w:t>L’identification les points de prélèvement des échantillons d’eau</w:t>
      </w:r>
    </w:p>
    <w:p w:rsidR="00685FF4" w:rsidRPr="00475565" w:rsidRDefault="006622A9" w:rsidP="00157035">
      <w:pPr>
        <w:numPr>
          <w:ilvl w:val="0"/>
          <w:numId w:val="73"/>
        </w:numPr>
        <w:ind w:left="1066" w:right="-847" w:hanging="357"/>
        <w:jc w:val="both"/>
        <w:rPr>
          <w:rFonts w:eastAsia="Calibri"/>
          <w:sz w:val="22"/>
          <w:szCs w:val="22"/>
        </w:rPr>
      </w:pPr>
      <w:r>
        <w:rPr>
          <w:rFonts w:eastAsia="Calibri"/>
          <w:sz w:val="22"/>
          <w:szCs w:val="22"/>
        </w:rPr>
        <w:t>Le n</w:t>
      </w:r>
      <w:r w:rsidR="00685FF4" w:rsidRPr="00475565">
        <w:rPr>
          <w:rFonts w:eastAsia="Calibri"/>
          <w:sz w:val="22"/>
          <w:szCs w:val="22"/>
        </w:rPr>
        <w:t xml:space="preserve">ombre de personne affectées par </w:t>
      </w:r>
      <w:r w:rsidR="00B739E1" w:rsidRPr="00475565">
        <w:rPr>
          <w:rFonts w:eastAsia="Calibri"/>
          <w:sz w:val="22"/>
          <w:szCs w:val="22"/>
        </w:rPr>
        <w:t>les travails ventilés</w:t>
      </w:r>
      <w:r w:rsidR="00E30BC9" w:rsidRPr="00475565">
        <w:rPr>
          <w:rFonts w:eastAsia="Calibri"/>
          <w:sz w:val="22"/>
          <w:szCs w:val="22"/>
        </w:rPr>
        <w:t xml:space="preserve"> par </w:t>
      </w:r>
      <w:r w:rsidR="00AD03E5" w:rsidRPr="00475565">
        <w:rPr>
          <w:rFonts w:eastAsia="Calibri"/>
          <w:sz w:val="22"/>
          <w:szCs w:val="22"/>
        </w:rPr>
        <w:t>sexe ;</w:t>
      </w:r>
    </w:p>
    <w:p w:rsidR="007C5F5E" w:rsidRPr="00365F86" w:rsidRDefault="007C5F5E" w:rsidP="00157035">
      <w:pPr>
        <w:numPr>
          <w:ilvl w:val="0"/>
          <w:numId w:val="73"/>
        </w:numPr>
        <w:ind w:left="1066" w:right="-847" w:hanging="357"/>
        <w:jc w:val="both"/>
        <w:rPr>
          <w:rFonts w:eastAsia="Calibri"/>
          <w:sz w:val="22"/>
          <w:szCs w:val="22"/>
        </w:rPr>
      </w:pPr>
      <w:r w:rsidRPr="00365F86">
        <w:rPr>
          <w:rFonts w:eastAsia="Calibri"/>
          <w:sz w:val="22"/>
          <w:szCs w:val="22"/>
        </w:rPr>
        <w:t>Le Nombre de dossiers d’appels d’offres et d’exécution ayant intégré des prescriptions environnementales et sociales</w:t>
      </w:r>
    </w:p>
    <w:p w:rsidR="007C5F5E" w:rsidRPr="00365F86" w:rsidRDefault="00E970B6" w:rsidP="00157035">
      <w:pPr>
        <w:numPr>
          <w:ilvl w:val="0"/>
          <w:numId w:val="73"/>
        </w:numPr>
        <w:ind w:left="1066" w:right="-847" w:hanging="357"/>
        <w:jc w:val="both"/>
        <w:rPr>
          <w:rFonts w:eastAsia="Calibri"/>
          <w:sz w:val="22"/>
          <w:szCs w:val="22"/>
        </w:rPr>
      </w:pPr>
      <w:r w:rsidRPr="00365F86">
        <w:rPr>
          <w:rFonts w:eastAsia="Calibri"/>
          <w:sz w:val="22"/>
          <w:szCs w:val="22"/>
        </w:rPr>
        <w:t>La superficie reboisée</w:t>
      </w:r>
      <w:r w:rsidR="007C5F5E" w:rsidRPr="00365F86">
        <w:rPr>
          <w:rFonts w:eastAsia="Calibri"/>
          <w:sz w:val="22"/>
          <w:szCs w:val="22"/>
        </w:rPr>
        <w:t xml:space="preserve"> après déboisement de sites d’emprise</w:t>
      </w:r>
    </w:p>
    <w:p w:rsidR="007C5F5E" w:rsidRDefault="007C5F5E" w:rsidP="00157035">
      <w:pPr>
        <w:numPr>
          <w:ilvl w:val="0"/>
          <w:numId w:val="73"/>
        </w:numPr>
        <w:ind w:left="1066" w:right="-847" w:hanging="357"/>
        <w:jc w:val="both"/>
        <w:rPr>
          <w:rFonts w:eastAsia="Calibri"/>
          <w:sz w:val="22"/>
          <w:szCs w:val="22"/>
        </w:rPr>
      </w:pPr>
      <w:r w:rsidRPr="00365F86">
        <w:rPr>
          <w:rFonts w:eastAsia="Calibri"/>
          <w:sz w:val="22"/>
          <w:szCs w:val="22"/>
        </w:rPr>
        <w:t>Le nombre de sous-projets ayant appliqué les mesures d’atténuation</w:t>
      </w:r>
      <w:r w:rsidR="00E970B6" w:rsidRPr="00365F86">
        <w:rPr>
          <w:rFonts w:eastAsia="Calibri"/>
          <w:sz w:val="22"/>
          <w:szCs w:val="22"/>
        </w:rPr>
        <w:t xml:space="preserve"> </w:t>
      </w:r>
      <w:r w:rsidRPr="00365F86">
        <w:rPr>
          <w:rFonts w:eastAsia="Calibri"/>
          <w:sz w:val="22"/>
          <w:szCs w:val="22"/>
        </w:rPr>
        <w:t>environnementales et sociales</w:t>
      </w:r>
    </w:p>
    <w:p w:rsidR="003F651F" w:rsidRPr="0031429E" w:rsidRDefault="00685FF4" w:rsidP="00157035">
      <w:pPr>
        <w:keepNext/>
        <w:numPr>
          <w:ilvl w:val="0"/>
          <w:numId w:val="74"/>
        </w:numPr>
        <w:tabs>
          <w:tab w:val="left" w:pos="426"/>
        </w:tabs>
        <w:spacing w:before="120"/>
        <w:ind w:left="283" w:right="-847" w:hanging="215"/>
        <w:jc w:val="both"/>
        <w:outlineLvl w:val="3"/>
        <w:rPr>
          <w:rFonts w:eastAsia="Calibri"/>
          <w:lang w:val="fr-CA"/>
        </w:rPr>
      </w:pPr>
      <w:bookmarkStart w:id="290" w:name="_Toc414259910"/>
      <w:bookmarkStart w:id="291" w:name="_Toc414260180"/>
      <w:bookmarkStart w:id="292" w:name="_Toc414262929"/>
      <w:bookmarkStart w:id="293" w:name="_Toc414263068"/>
      <w:r w:rsidRPr="00A05698">
        <w:rPr>
          <w:rFonts w:eastAsia="Calibri"/>
          <w:b/>
          <w:i/>
        </w:rPr>
        <w:t>Le suivi "externe"</w:t>
      </w:r>
      <w:r w:rsidR="003F651F" w:rsidRPr="003F651F">
        <w:rPr>
          <w:rFonts w:ascii="Georgia" w:eastAsia="Times New Roman" w:hAnsi="Georgia" w:cs="Arial"/>
          <w:lang w:val="fr-CA"/>
        </w:rPr>
        <w:t xml:space="preserve"> </w:t>
      </w:r>
      <w:r w:rsidR="003F651F" w:rsidRPr="0031429E">
        <w:rPr>
          <w:rFonts w:eastAsia="Calibri"/>
          <w:lang w:val="fr-CA"/>
        </w:rPr>
        <w:t>est une activité d’observations et de mesures à court, moyen et long termes qui vise à déterminer les impacts réels les plus préoccupants du projet comparativement aux pronostics d'impacts réalisés lors de l'étude d'impact afin de pouvoir apporter, le cas échéant, les correctifs nécessaires aux mesures d’atténuation préconisées.</w:t>
      </w:r>
    </w:p>
    <w:p w:rsidR="00685FF4" w:rsidRPr="0031429E" w:rsidRDefault="003A5C60" w:rsidP="00455AE2">
      <w:pPr>
        <w:keepNext/>
        <w:tabs>
          <w:tab w:val="left" w:pos="426"/>
        </w:tabs>
        <w:spacing w:before="120"/>
        <w:ind w:left="283" w:right="-847"/>
        <w:jc w:val="both"/>
        <w:outlineLvl w:val="3"/>
        <w:rPr>
          <w:rFonts w:eastAsia="Calibri"/>
        </w:rPr>
      </w:pPr>
      <w:r w:rsidRPr="0031429E">
        <w:rPr>
          <w:rFonts w:eastAsia="Calibri"/>
        </w:rPr>
        <w:t>Il est</w:t>
      </w:r>
      <w:r w:rsidR="00685FF4" w:rsidRPr="0031429E">
        <w:rPr>
          <w:rFonts w:eastAsia="Calibri"/>
        </w:rPr>
        <w:t xml:space="preserve"> </w:t>
      </w:r>
      <w:r w:rsidRPr="0031429E">
        <w:rPr>
          <w:rFonts w:eastAsia="Calibri"/>
        </w:rPr>
        <w:t>assuré</w:t>
      </w:r>
      <w:r w:rsidR="00685FF4" w:rsidRPr="0031429E">
        <w:rPr>
          <w:rFonts w:eastAsia="Calibri"/>
        </w:rPr>
        <w:t xml:space="preserve"> par les institutions disposant d'un protocole d'intervention dans le cadr</w:t>
      </w:r>
      <w:r w:rsidR="00D8483C" w:rsidRPr="0031429E">
        <w:rPr>
          <w:rFonts w:eastAsia="Calibri"/>
        </w:rPr>
        <w:t>e du projet sont : AAAC,</w:t>
      </w:r>
      <w:r w:rsidR="00225A21" w:rsidRPr="0031429E">
        <w:rPr>
          <w:rFonts w:eastAsia="Calibri"/>
        </w:rPr>
        <w:t xml:space="preserve"> CSE, DGA, DVP</w:t>
      </w:r>
      <w:r w:rsidR="00534C0A" w:rsidRPr="0031429E">
        <w:rPr>
          <w:rFonts w:eastAsia="Calibri"/>
        </w:rPr>
        <w:t>,</w:t>
      </w:r>
      <w:r w:rsidR="005E743C" w:rsidRPr="0031429E">
        <w:rPr>
          <w:rFonts w:eastAsia="Calibri"/>
        </w:rPr>
        <w:t xml:space="preserve"> SRH,</w:t>
      </w:r>
      <w:r w:rsidR="00534C0A" w:rsidRPr="0031429E">
        <w:rPr>
          <w:rFonts w:eastAsia="Calibri"/>
        </w:rPr>
        <w:t xml:space="preserve"> les Chambres de </w:t>
      </w:r>
      <w:bookmarkEnd w:id="290"/>
      <w:bookmarkEnd w:id="291"/>
      <w:bookmarkEnd w:id="292"/>
      <w:bookmarkEnd w:id="293"/>
      <w:r w:rsidR="00B321DE" w:rsidRPr="0031429E">
        <w:rPr>
          <w:rFonts w:eastAsia="Calibri"/>
        </w:rPr>
        <w:t>Commerce, la</w:t>
      </w:r>
      <w:r w:rsidR="00167F2A" w:rsidRPr="0031429E">
        <w:rPr>
          <w:rFonts w:eastAsia="Calibri"/>
        </w:rPr>
        <w:t xml:space="preserve"> direction des </w:t>
      </w:r>
      <w:r w:rsidR="00E15883" w:rsidRPr="0031429E">
        <w:rPr>
          <w:rFonts w:eastAsia="Calibri"/>
        </w:rPr>
        <w:t>eaux et forêts, l’inspection du travail, les servi</w:t>
      </w:r>
      <w:r w:rsidR="00B321DE" w:rsidRPr="0031429E">
        <w:rPr>
          <w:rFonts w:eastAsia="Calibri"/>
        </w:rPr>
        <w:t xml:space="preserve">ces de santé, </w:t>
      </w:r>
      <w:r w:rsidR="0025747A" w:rsidRPr="0031429E">
        <w:rPr>
          <w:rFonts w:eastAsia="Calibri"/>
        </w:rPr>
        <w:t>les chefs</w:t>
      </w:r>
      <w:r w:rsidR="00B321DE" w:rsidRPr="0031429E">
        <w:rPr>
          <w:rFonts w:eastAsia="Calibri"/>
        </w:rPr>
        <w:t xml:space="preserve"> de secteur, </w:t>
      </w:r>
      <w:r w:rsidR="00771BDC" w:rsidRPr="0031429E">
        <w:rPr>
          <w:rFonts w:eastAsia="Calibri"/>
        </w:rPr>
        <w:t>etc</w:t>
      </w:r>
      <w:r w:rsidR="00685FF4" w:rsidRPr="0031429E">
        <w:rPr>
          <w:rFonts w:eastAsia="Calibri"/>
        </w:rPr>
        <w:t>.</w:t>
      </w:r>
    </w:p>
    <w:p w:rsidR="00685FF4" w:rsidRDefault="00685FF4" w:rsidP="00455AE2">
      <w:pPr>
        <w:keepNext/>
        <w:tabs>
          <w:tab w:val="left" w:pos="426"/>
        </w:tabs>
        <w:spacing w:before="120"/>
        <w:ind w:left="283" w:right="-847"/>
        <w:jc w:val="both"/>
        <w:outlineLvl w:val="3"/>
        <w:rPr>
          <w:rFonts w:eastAsia="Calibri"/>
        </w:rPr>
      </w:pPr>
      <w:r w:rsidRPr="0031429E">
        <w:rPr>
          <w:rFonts w:eastAsia="Calibri"/>
        </w:rPr>
        <w:t>Dans le cadre des appuis institutionnels et des renforcements des capacités, il est recommandé de prévoir des moyens (logistiques et techniques) aux différents acteurs qui interviendront pour le suivi.</w:t>
      </w:r>
    </w:p>
    <w:p w:rsidR="0060566C" w:rsidRPr="0031429E" w:rsidRDefault="0060566C" w:rsidP="00455AE2">
      <w:pPr>
        <w:keepNext/>
        <w:tabs>
          <w:tab w:val="left" w:pos="426"/>
        </w:tabs>
        <w:spacing w:before="120"/>
        <w:ind w:left="283" w:right="-847"/>
        <w:jc w:val="both"/>
        <w:outlineLvl w:val="3"/>
        <w:rPr>
          <w:rFonts w:eastAsia="Calibri"/>
        </w:rPr>
      </w:pPr>
    </w:p>
    <w:p w:rsidR="00A80494" w:rsidRPr="00FF0A9A" w:rsidRDefault="00014AFD" w:rsidP="00D9435E">
      <w:pPr>
        <w:pStyle w:val="Primeiroavanodecorpodetexto2"/>
        <w:spacing w:after="0" w:line="240" w:lineRule="auto"/>
        <w:jc w:val="center"/>
        <w:rPr>
          <w:b/>
          <w:bCs/>
        </w:rPr>
      </w:pPr>
      <w:bookmarkStart w:id="294" w:name="_Toc73522626"/>
      <w:bookmarkStart w:id="295" w:name="_Toc385976599"/>
      <w:bookmarkStart w:id="296" w:name="_Toc424233908"/>
      <w:bookmarkStart w:id="297" w:name="_Toc424236287"/>
      <w:bookmarkStart w:id="298" w:name="_Toc11189476"/>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60566C">
        <w:rPr>
          <w:rFonts w:ascii="Times New Roman" w:hAnsi="Times New Roman"/>
          <w:b/>
          <w:noProof/>
        </w:rPr>
        <w:t>20</w:t>
      </w:r>
      <w:r w:rsidRPr="00A05698">
        <w:rPr>
          <w:rFonts w:ascii="Times New Roman" w:hAnsi="Times New Roman"/>
          <w:b/>
        </w:rPr>
        <w:fldChar w:fldCharType="end"/>
      </w:r>
      <w:r w:rsidR="00A80494" w:rsidRPr="00F32171">
        <w:rPr>
          <w:rFonts w:ascii="Times New Roman" w:hAnsi="Times New Roman"/>
          <w:b/>
        </w:rPr>
        <w:t xml:space="preserve">: </w:t>
      </w:r>
      <w:r w:rsidR="00BF561D" w:rsidRPr="00FF0A9A">
        <w:rPr>
          <w:rFonts w:ascii="Times New Roman" w:hAnsi="Times New Roman"/>
          <w:b/>
          <w:bCs/>
          <w:lang w:val="fr-BE"/>
        </w:rPr>
        <w:t>Indicateurs de suivi des mesures du PCGES</w:t>
      </w:r>
      <w:bookmarkEnd w:id="294"/>
      <w:r w:rsidR="00BF561D" w:rsidRPr="00BF561D" w:rsidDel="00403BA0">
        <w:rPr>
          <w:b/>
          <w:bCs/>
        </w:rPr>
        <w:t xml:space="preserve"> </w:t>
      </w:r>
      <w:bookmarkEnd w:id="295"/>
      <w:bookmarkEnd w:id="296"/>
      <w:bookmarkEnd w:id="297"/>
      <w:bookmarkEnd w:id="298"/>
    </w:p>
    <w:p w:rsidR="00A80494" w:rsidRPr="00A05698" w:rsidRDefault="00A80494" w:rsidP="004F4212">
      <w:pPr>
        <w:rPr>
          <w:rFonts w:eastAsia="Times New Roman"/>
          <w:sz w:val="22"/>
          <w:szCs w:val="20"/>
          <w:lang w:val="fr-BE" w:eastAsia="fr-BE"/>
        </w:rPr>
      </w:pPr>
    </w:p>
    <w:tbl>
      <w:tblPr>
        <w:tblW w:w="56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3819"/>
        <w:gridCol w:w="4939"/>
      </w:tblGrid>
      <w:tr w:rsidR="00455AE2" w:rsidRPr="00475565" w:rsidTr="00455AE2">
        <w:trPr>
          <w:jc w:val="center"/>
        </w:trPr>
        <w:tc>
          <w:tcPr>
            <w:tcW w:w="815" w:type="pct"/>
            <w:tcBorders>
              <w:top w:val="nil"/>
            </w:tcBorders>
            <w:shd w:val="clear" w:color="auto" w:fill="E2EFD9" w:themeFill="accent6" w:themeFillTint="33"/>
            <w:vAlign w:val="center"/>
          </w:tcPr>
          <w:p w:rsidR="00990684" w:rsidRPr="00475565" w:rsidRDefault="00990684" w:rsidP="004F4212">
            <w:pPr>
              <w:jc w:val="center"/>
              <w:rPr>
                <w:rFonts w:eastAsia="Times New Roman"/>
                <w:sz w:val="21"/>
                <w:szCs w:val="21"/>
                <w:lang w:val="fr-BE" w:eastAsia="fr-BE"/>
              </w:rPr>
            </w:pPr>
            <w:r w:rsidRPr="00475565">
              <w:rPr>
                <w:rFonts w:eastAsia="Times New Roman"/>
                <w:b/>
                <w:bCs/>
                <w:sz w:val="21"/>
                <w:szCs w:val="21"/>
                <w:lang w:val="fr-BE" w:eastAsia="fr-BE"/>
              </w:rPr>
              <w:t>Mesures</w:t>
            </w:r>
          </w:p>
        </w:tc>
        <w:tc>
          <w:tcPr>
            <w:tcW w:w="1825" w:type="pct"/>
            <w:tcBorders>
              <w:top w:val="nil"/>
            </w:tcBorders>
            <w:shd w:val="clear" w:color="auto" w:fill="E2EFD9" w:themeFill="accent6" w:themeFillTint="33"/>
            <w:vAlign w:val="center"/>
          </w:tcPr>
          <w:p w:rsidR="00990684" w:rsidRPr="00475565" w:rsidRDefault="00990684" w:rsidP="004F4212">
            <w:pPr>
              <w:jc w:val="center"/>
              <w:rPr>
                <w:rFonts w:eastAsia="Times New Roman"/>
                <w:sz w:val="21"/>
                <w:szCs w:val="21"/>
                <w:lang w:val="fr-BE" w:eastAsia="fr-BE"/>
              </w:rPr>
            </w:pPr>
            <w:r w:rsidRPr="00475565">
              <w:rPr>
                <w:rFonts w:eastAsia="Times New Roman"/>
                <w:b/>
                <w:bCs/>
                <w:sz w:val="21"/>
                <w:szCs w:val="21"/>
                <w:lang w:val="fr-BE" w:eastAsia="fr-BE"/>
              </w:rPr>
              <w:t>Domaines d’intervention</w:t>
            </w:r>
          </w:p>
        </w:tc>
        <w:tc>
          <w:tcPr>
            <w:tcW w:w="2360" w:type="pct"/>
            <w:tcBorders>
              <w:top w:val="nil"/>
            </w:tcBorders>
            <w:shd w:val="clear" w:color="auto" w:fill="E2EFD9" w:themeFill="accent6" w:themeFillTint="33"/>
            <w:vAlign w:val="center"/>
          </w:tcPr>
          <w:p w:rsidR="00990684" w:rsidRPr="00475565" w:rsidRDefault="00990684" w:rsidP="004F4212">
            <w:pPr>
              <w:jc w:val="center"/>
              <w:rPr>
                <w:rFonts w:eastAsia="Times New Roman"/>
                <w:sz w:val="21"/>
                <w:szCs w:val="21"/>
                <w:lang w:val="fr-BE" w:eastAsia="fr-BE"/>
              </w:rPr>
            </w:pPr>
            <w:r w:rsidRPr="00475565">
              <w:rPr>
                <w:rFonts w:eastAsia="Times New Roman"/>
                <w:b/>
                <w:bCs/>
                <w:sz w:val="21"/>
                <w:szCs w:val="21"/>
                <w:lang w:val="fr-BE" w:eastAsia="fr-BE"/>
              </w:rPr>
              <w:t>Indicateurs</w:t>
            </w:r>
          </w:p>
        </w:tc>
      </w:tr>
      <w:tr w:rsidR="00455AE2" w:rsidRPr="00475565" w:rsidTr="00455AE2">
        <w:trPr>
          <w:jc w:val="center"/>
        </w:trPr>
        <w:tc>
          <w:tcPr>
            <w:tcW w:w="815" w:type="pct"/>
            <w:vAlign w:val="center"/>
          </w:tcPr>
          <w:p w:rsidR="00990684" w:rsidRPr="00475565" w:rsidRDefault="00990684" w:rsidP="004F4212">
            <w:pPr>
              <w:autoSpaceDE w:val="0"/>
              <w:autoSpaceDN w:val="0"/>
              <w:adjustRightInd w:val="0"/>
              <w:jc w:val="both"/>
              <w:rPr>
                <w:rFonts w:eastAsia="Times New Roman"/>
                <w:sz w:val="21"/>
                <w:szCs w:val="21"/>
                <w:lang w:val="fr-BE" w:eastAsia="fr-BE"/>
              </w:rPr>
            </w:pPr>
            <w:r w:rsidRPr="00475565">
              <w:rPr>
                <w:rFonts w:eastAsia="Times New Roman"/>
                <w:b/>
                <w:bCs/>
                <w:sz w:val="21"/>
                <w:szCs w:val="21"/>
                <w:lang w:val="fr-BE" w:eastAsia="fr-BE"/>
              </w:rPr>
              <w:t>Mesures techniques (études)</w:t>
            </w:r>
          </w:p>
        </w:tc>
        <w:tc>
          <w:tcPr>
            <w:tcW w:w="1825" w:type="pct"/>
            <w:vAlign w:val="center"/>
          </w:tcPr>
          <w:p w:rsidR="00990684" w:rsidRPr="00475565" w:rsidRDefault="00990684" w:rsidP="00157035">
            <w:pPr>
              <w:numPr>
                <w:ilvl w:val="0"/>
                <w:numId w:val="77"/>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Remplissage du formulaire socio-environnemental,</w:t>
            </w:r>
          </w:p>
          <w:p w:rsidR="00990684" w:rsidRPr="00475565" w:rsidRDefault="00990684" w:rsidP="00157035">
            <w:pPr>
              <w:numPr>
                <w:ilvl w:val="0"/>
                <w:numId w:val="77"/>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Réalisation des EIES pour les sous-projets du PUSA,</w:t>
            </w:r>
          </w:p>
        </w:tc>
        <w:tc>
          <w:tcPr>
            <w:tcW w:w="2360" w:type="pct"/>
            <w:vAlign w:val="center"/>
          </w:tcPr>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 xml:space="preserve">Remplissage du formulaire socio-environnemental est maitrisé par tous les acteurs, </w:t>
            </w:r>
          </w:p>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Majorité des acteurs formés sur le remplissage du formulaire</w:t>
            </w:r>
          </w:p>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 xml:space="preserve">EIES sommaires réalisés pour les activités du projet </w:t>
            </w:r>
          </w:p>
        </w:tc>
      </w:tr>
      <w:tr w:rsidR="00455AE2" w:rsidRPr="00475565" w:rsidTr="00455AE2">
        <w:trPr>
          <w:jc w:val="center"/>
        </w:trPr>
        <w:tc>
          <w:tcPr>
            <w:tcW w:w="815" w:type="pct"/>
            <w:vMerge w:val="restart"/>
            <w:vAlign w:val="center"/>
          </w:tcPr>
          <w:p w:rsidR="00990684" w:rsidRPr="00475565" w:rsidRDefault="00990684" w:rsidP="004F4212">
            <w:pPr>
              <w:autoSpaceDE w:val="0"/>
              <w:autoSpaceDN w:val="0"/>
              <w:adjustRightInd w:val="0"/>
              <w:jc w:val="both"/>
              <w:rPr>
                <w:rFonts w:eastAsia="Times New Roman"/>
                <w:sz w:val="21"/>
                <w:szCs w:val="21"/>
                <w:lang w:val="fr-BE" w:eastAsia="fr-BE"/>
              </w:rPr>
            </w:pPr>
            <w:r w:rsidRPr="00475565">
              <w:rPr>
                <w:rFonts w:eastAsia="Times New Roman"/>
                <w:b/>
                <w:bCs/>
                <w:sz w:val="21"/>
                <w:szCs w:val="21"/>
                <w:lang w:val="fr-BE" w:eastAsia="fr-BE"/>
              </w:rPr>
              <w:t>Mesures de suivi et d’évaluation des projets</w:t>
            </w:r>
          </w:p>
        </w:tc>
        <w:tc>
          <w:tcPr>
            <w:tcW w:w="1825" w:type="pct"/>
            <w:vAlign w:val="center"/>
          </w:tcPr>
          <w:p w:rsidR="00990684" w:rsidRPr="00475565" w:rsidRDefault="00990684" w:rsidP="00157035">
            <w:pPr>
              <w:numPr>
                <w:ilvl w:val="0"/>
                <w:numId w:val="77"/>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Suivi socio-environnemental du PUSA (interne et externe)</w:t>
            </w:r>
          </w:p>
          <w:p w:rsidR="00990684" w:rsidRPr="00475565" w:rsidRDefault="00990684" w:rsidP="00157035">
            <w:pPr>
              <w:numPr>
                <w:ilvl w:val="0"/>
                <w:numId w:val="77"/>
              </w:numPr>
              <w:ind w:left="171" w:hanging="171"/>
              <w:jc w:val="both"/>
              <w:rPr>
                <w:rFonts w:eastAsia="Times New Roman"/>
                <w:sz w:val="21"/>
                <w:szCs w:val="21"/>
                <w:lang w:val="fr-BE" w:eastAsia="fr-BE"/>
              </w:rPr>
            </w:pPr>
            <w:r w:rsidRPr="00475565">
              <w:rPr>
                <w:rFonts w:eastAsia="Times New Roman"/>
                <w:sz w:val="21"/>
                <w:szCs w:val="21"/>
                <w:lang w:val="fr-BE" w:eastAsia="fr-BE"/>
              </w:rPr>
              <w:t>Surveillance socio-environnementale du projet PUSA</w:t>
            </w:r>
          </w:p>
        </w:tc>
        <w:tc>
          <w:tcPr>
            <w:tcW w:w="2360" w:type="pct"/>
            <w:vAlign w:val="center"/>
          </w:tcPr>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Nombre de missions d’inspection réalisées par chaque secteur technique par semestre</w:t>
            </w:r>
          </w:p>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 xml:space="preserve">Nombre de visites de terrain réalisées par trimestre </w:t>
            </w:r>
          </w:p>
        </w:tc>
      </w:tr>
      <w:tr w:rsidR="00455AE2" w:rsidRPr="00475565" w:rsidTr="00455AE2">
        <w:trPr>
          <w:jc w:val="center"/>
        </w:trPr>
        <w:tc>
          <w:tcPr>
            <w:tcW w:w="815" w:type="pct"/>
            <w:vMerge/>
            <w:vAlign w:val="center"/>
          </w:tcPr>
          <w:p w:rsidR="00990684" w:rsidRPr="00475565" w:rsidRDefault="00990684" w:rsidP="004F4212">
            <w:pPr>
              <w:autoSpaceDE w:val="0"/>
              <w:autoSpaceDN w:val="0"/>
              <w:adjustRightInd w:val="0"/>
              <w:jc w:val="both"/>
              <w:rPr>
                <w:rFonts w:eastAsia="Times New Roman"/>
                <w:sz w:val="21"/>
                <w:szCs w:val="21"/>
                <w:lang w:val="fr-BE" w:eastAsia="fr-BE"/>
              </w:rPr>
            </w:pPr>
          </w:p>
        </w:tc>
        <w:tc>
          <w:tcPr>
            <w:tcW w:w="1825" w:type="pct"/>
            <w:vAlign w:val="center"/>
          </w:tcPr>
          <w:p w:rsidR="00990684" w:rsidRPr="00475565" w:rsidRDefault="00990684" w:rsidP="00157035">
            <w:pPr>
              <w:numPr>
                <w:ilvl w:val="0"/>
                <w:numId w:val="77"/>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Appui technique dans l’identification des priorités et la préparation des sous – projets</w:t>
            </w:r>
          </w:p>
        </w:tc>
        <w:tc>
          <w:tcPr>
            <w:tcW w:w="2360" w:type="pct"/>
            <w:vAlign w:val="center"/>
          </w:tcPr>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 des sous –projets étudiés</w:t>
            </w:r>
          </w:p>
        </w:tc>
      </w:tr>
      <w:tr w:rsidR="00455AE2" w:rsidRPr="00475565" w:rsidTr="00455AE2">
        <w:trPr>
          <w:jc w:val="center"/>
        </w:trPr>
        <w:tc>
          <w:tcPr>
            <w:tcW w:w="815" w:type="pct"/>
            <w:vMerge/>
            <w:vAlign w:val="center"/>
          </w:tcPr>
          <w:p w:rsidR="00990684" w:rsidRPr="00475565" w:rsidRDefault="00990684" w:rsidP="004F4212">
            <w:pPr>
              <w:autoSpaceDE w:val="0"/>
              <w:autoSpaceDN w:val="0"/>
              <w:adjustRightInd w:val="0"/>
              <w:jc w:val="both"/>
              <w:rPr>
                <w:rFonts w:eastAsia="Times New Roman"/>
                <w:b/>
                <w:bCs/>
                <w:sz w:val="21"/>
                <w:szCs w:val="21"/>
                <w:lang w:val="fr-BE" w:eastAsia="fr-BE"/>
              </w:rPr>
            </w:pPr>
          </w:p>
        </w:tc>
        <w:tc>
          <w:tcPr>
            <w:tcW w:w="1825" w:type="pct"/>
            <w:vAlign w:val="center"/>
          </w:tcPr>
          <w:p w:rsidR="00990684" w:rsidRPr="00475565" w:rsidRDefault="00990684" w:rsidP="00157035">
            <w:pPr>
              <w:numPr>
                <w:ilvl w:val="0"/>
                <w:numId w:val="77"/>
              </w:numPr>
              <w:ind w:left="171" w:hanging="171"/>
              <w:jc w:val="both"/>
              <w:rPr>
                <w:rFonts w:eastAsia="Times New Roman"/>
                <w:sz w:val="21"/>
                <w:szCs w:val="21"/>
                <w:lang w:val="fr-BE" w:eastAsia="fr-BE"/>
              </w:rPr>
            </w:pPr>
            <w:r w:rsidRPr="00475565">
              <w:rPr>
                <w:rFonts w:eastAsia="Times New Roman"/>
                <w:sz w:val="21"/>
                <w:szCs w:val="21"/>
                <w:lang w:val="fr-BE" w:eastAsia="fr-BE"/>
              </w:rPr>
              <w:t>Appui à l’organisation de consultations locales</w:t>
            </w:r>
          </w:p>
        </w:tc>
        <w:tc>
          <w:tcPr>
            <w:tcW w:w="2360" w:type="pct"/>
            <w:vAlign w:val="center"/>
          </w:tcPr>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Nombre de consultations organisés par commune</w:t>
            </w:r>
          </w:p>
        </w:tc>
      </w:tr>
      <w:tr w:rsidR="00455AE2" w:rsidRPr="00475565" w:rsidTr="00455AE2">
        <w:trPr>
          <w:jc w:val="center"/>
        </w:trPr>
        <w:tc>
          <w:tcPr>
            <w:tcW w:w="815" w:type="pct"/>
            <w:vAlign w:val="center"/>
          </w:tcPr>
          <w:p w:rsidR="00990684" w:rsidRPr="00475565" w:rsidRDefault="00990684" w:rsidP="004F4212">
            <w:pPr>
              <w:jc w:val="both"/>
              <w:rPr>
                <w:rFonts w:eastAsia="Times New Roman"/>
                <w:sz w:val="21"/>
                <w:szCs w:val="21"/>
                <w:lang w:val="fr-BE" w:eastAsia="fr-BE"/>
              </w:rPr>
            </w:pPr>
            <w:r w:rsidRPr="00475565">
              <w:rPr>
                <w:rFonts w:eastAsia="Times New Roman"/>
                <w:b/>
                <w:bCs/>
                <w:sz w:val="21"/>
                <w:szCs w:val="21"/>
                <w:lang w:val="fr-BE" w:eastAsia="fr-BE"/>
              </w:rPr>
              <w:t>Formation</w:t>
            </w:r>
          </w:p>
        </w:tc>
        <w:tc>
          <w:tcPr>
            <w:tcW w:w="1825" w:type="pct"/>
            <w:vAlign w:val="center"/>
          </w:tcPr>
          <w:p w:rsidR="00990684" w:rsidRPr="00475565" w:rsidRDefault="00990684" w:rsidP="00157035">
            <w:pPr>
              <w:numPr>
                <w:ilvl w:val="0"/>
                <w:numId w:val="76"/>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Évaluation environnementale et sociale des sous-projets</w:t>
            </w:r>
          </w:p>
          <w:p w:rsidR="00990684" w:rsidRPr="00475565" w:rsidRDefault="00990684" w:rsidP="00157035">
            <w:pPr>
              <w:numPr>
                <w:ilvl w:val="0"/>
                <w:numId w:val="76"/>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Suivi et Exécution des mesures socio-environnementales</w:t>
            </w:r>
          </w:p>
        </w:tc>
        <w:tc>
          <w:tcPr>
            <w:tcW w:w="2360" w:type="pct"/>
            <w:vAlign w:val="center"/>
          </w:tcPr>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Modules élaborés effectivement dispensés</w:t>
            </w:r>
          </w:p>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Adéquation des modules par rapport aux besoins identifiés</w:t>
            </w:r>
          </w:p>
          <w:p w:rsidR="00990684" w:rsidRPr="00475565" w:rsidRDefault="00990684" w:rsidP="00157035">
            <w:pPr>
              <w:numPr>
                <w:ilvl w:val="0"/>
                <w:numId w:val="79"/>
              </w:numPr>
              <w:autoSpaceDE w:val="0"/>
              <w:autoSpaceDN w:val="0"/>
              <w:adjustRightInd w:val="0"/>
              <w:ind w:left="196" w:hanging="196"/>
              <w:rPr>
                <w:rFonts w:eastAsia="Times New Roman"/>
                <w:sz w:val="21"/>
                <w:szCs w:val="21"/>
                <w:lang w:val="fr-CA" w:eastAsia="en-US"/>
              </w:rPr>
            </w:pPr>
            <w:r w:rsidRPr="00475565">
              <w:rPr>
                <w:rFonts w:eastAsia="Times New Roman"/>
                <w:sz w:val="21"/>
                <w:szCs w:val="21"/>
                <w:lang w:val="fr-CA" w:eastAsia="en-US"/>
              </w:rPr>
              <w:t>Au moins une session de formation organisée par zone agro-écologique</w:t>
            </w:r>
          </w:p>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Profil des personnels et acteurs formés</w:t>
            </w:r>
          </w:p>
        </w:tc>
      </w:tr>
      <w:tr w:rsidR="00455AE2" w:rsidRPr="00475565" w:rsidTr="00455AE2">
        <w:trPr>
          <w:jc w:val="center"/>
        </w:trPr>
        <w:tc>
          <w:tcPr>
            <w:tcW w:w="815" w:type="pct"/>
            <w:vAlign w:val="center"/>
          </w:tcPr>
          <w:p w:rsidR="00990684" w:rsidRPr="00475565" w:rsidRDefault="00990684" w:rsidP="004F4212">
            <w:pPr>
              <w:autoSpaceDE w:val="0"/>
              <w:autoSpaceDN w:val="0"/>
              <w:adjustRightInd w:val="0"/>
              <w:jc w:val="both"/>
              <w:rPr>
                <w:rFonts w:eastAsia="Times New Roman"/>
                <w:b/>
                <w:bCs/>
                <w:sz w:val="21"/>
                <w:szCs w:val="21"/>
                <w:lang w:val="fr-BE" w:eastAsia="fr-BE"/>
              </w:rPr>
            </w:pPr>
            <w:bookmarkStart w:id="299" w:name="_Hlk11189087"/>
            <w:r w:rsidRPr="00475565">
              <w:rPr>
                <w:rFonts w:eastAsia="Times New Roman"/>
                <w:b/>
                <w:bCs/>
                <w:sz w:val="21"/>
                <w:szCs w:val="21"/>
                <w:lang w:val="fr-BE" w:eastAsia="fr-BE"/>
              </w:rPr>
              <w:t>Information Éducation Communication (IEC)</w:t>
            </w:r>
          </w:p>
          <w:bookmarkEnd w:id="299"/>
          <w:p w:rsidR="00990684" w:rsidRPr="00475565" w:rsidRDefault="00990684" w:rsidP="004F4212">
            <w:pPr>
              <w:jc w:val="both"/>
              <w:rPr>
                <w:rFonts w:eastAsia="Times New Roman"/>
                <w:b/>
                <w:bCs/>
                <w:sz w:val="21"/>
                <w:szCs w:val="21"/>
                <w:lang w:val="fr-BE" w:eastAsia="fr-BE"/>
              </w:rPr>
            </w:pPr>
            <w:r w:rsidRPr="00475565">
              <w:rPr>
                <w:rFonts w:eastAsia="Times New Roman"/>
                <w:b/>
                <w:bCs/>
                <w:sz w:val="21"/>
                <w:szCs w:val="21"/>
                <w:lang w:val="fr-BE" w:eastAsia="fr-BE"/>
              </w:rPr>
              <w:t>Sensibilisation</w:t>
            </w:r>
          </w:p>
          <w:p w:rsidR="00990684" w:rsidRPr="00475565" w:rsidRDefault="00990684" w:rsidP="004F4212">
            <w:pPr>
              <w:jc w:val="both"/>
              <w:rPr>
                <w:rFonts w:eastAsia="Times New Roman"/>
                <w:sz w:val="21"/>
                <w:szCs w:val="21"/>
                <w:lang w:val="fr-BE" w:eastAsia="fr-BE"/>
              </w:rPr>
            </w:pPr>
            <w:r w:rsidRPr="00475565">
              <w:rPr>
                <w:rFonts w:eastAsia="Times New Roman"/>
                <w:b/>
                <w:bCs/>
                <w:sz w:val="21"/>
                <w:szCs w:val="21"/>
                <w:lang w:val="fr-BE" w:eastAsia="fr-BE"/>
              </w:rPr>
              <w:t>Organisation</w:t>
            </w:r>
          </w:p>
        </w:tc>
        <w:tc>
          <w:tcPr>
            <w:tcW w:w="1825" w:type="pct"/>
            <w:vAlign w:val="center"/>
          </w:tcPr>
          <w:p w:rsidR="00990684" w:rsidRPr="00475565" w:rsidRDefault="00990684" w:rsidP="00157035">
            <w:pPr>
              <w:numPr>
                <w:ilvl w:val="0"/>
                <w:numId w:val="75"/>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Sensibilisation sur les IST/VIH/SIDA et la pandémie de la Covid 19</w:t>
            </w:r>
          </w:p>
          <w:p w:rsidR="00990684" w:rsidRPr="00475565" w:rsidRDefault="00990684" w:rsidP="00157035">
            <w:pPr>
              <w:numPr>
                <w:ilvl w:val="0"/>
                <w:numId w:val="75"/>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 xml:space="preserve">Sensibilisation et plaidoyer sur les enjeux environnementaux et sociaux des projets </w:t>
            </w:r>
          </w:p>
          <w:p w:rsidR="00990684" w:rsidRPr="00475565" w:rsidRDefault="00990684" w:rsidP="00157035">
            <w:pPr>
              <w:numPr>
                <w:ilvl w:val="0"/>
                <w:numId w:val="75"/>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Campagne de communication et de sensibilisation sur le projet PUSA</w:t>
            </w:r>
          </w:p>
          <w:p w:rsidR="00990684" w:rsidRPr="00475565" w:rsidRDefault="00990684" w:rsidP="00157035">
            <w:pPr>
              <w:numPr>
                <w:ilvl w:val="0"/>
                <w:numId w:val="75"/>
              </w:numPr>
              <w:autoSpaceDE w:val="0"/>
              <w:autoSpaceDN w:val="0"/>
              <w:adjustRightInd w:val="0"/>
              <w:ind w:left="171" w:hanging="171"/>
              <w:jc w:val="both"/>
              <w:rPr>
                <w:rFonts w:eastAsia="Times New Roman"/>
                <w:sz w:val="21"/>
                <w:szCs w:val="21"/>
                <w:lang w:val="fr-BE" w:eastAsia="fr-BE"/>
              </w:rPr>
            </w:pPr>
            <w:r w:rsidRPr="00475565">
              <w:rPr>
                <w:rFonts w:eastAsia="Times New Roman"/>
                <w:sz w:val="21"/>
                <w:szCs w:val="21"/>
                <w:lang w:val="fr-BE" w:eastAsia="fr-BE"/>
              </w:rPr>
              <w:t xml:space="preserve">Sensibilisation contre les </w:t>
            </w:r>
            <w:r w:rsidRPr="00475565">
              <w:rPr>
                <w:sz w:val="21"/>
                <w:szCs w:val="21"/>
              </w:rPr>
              <w:t xml:space="preserve"> risques EAS / HS</w:t>
            </w:r>
          </w:p>
        </w:tc>
        <w:tc>
          <w:tcPr>
            <w:tcW w:w="2360" w:type="pct"/>
            <w:vAlign w:val="center"/>
          </w:tcPr>
          <w:p w:rsidR="00990684" w:rsidRPr="00475565" w:rsidRDefault="00990684" w:rsidP="00157035">
            <w:pPr>
              <w:numPr>
                <w:ilvl w:val="0"/>
                <w:numId w:val="78"/>
              </w:numPr>
              <w:autoSpaceDE w:val="0"/>
              <w:autoSpaceDN w:val="0"/>
              <w:adjustRightInd w:val="0"/>
              <w:ind w:left="196" w:hanging="196"/>
              <w:jc w:val="both"/>
              <w:rPr>
                <w:rFonts w:eastAsia="Times New Roman"/>
                <w:sz w:val="21"/>
                <w:szCs w:val="21"/>
                <w:lang w:val="fr-BE" w:eastAsia="fr-BE"/>
              </w:rPr>
            </w:pPr>
            <w:r w:rsidRPr="00475565">
              <w:rPr>
                <w:rFonts w:eastAsia="Times New Roman"/>
                <w:sz w:val="21"/>
                <w:szCs w:val="21"/>
                <w:lang w:val="fr-BE" w:eastAsia="fr-BE"/>
              </w:rPr>
              <w:t xml:space="preserve">% des Opérateurs, des groupements de jeune et de femme, association, ONG sensibilisés </w:t>
            </w:r>
          </w:p>
          <w:p w:rsidR="00990684" w:rsidRPr="00475565" w:rsidRDefault="00990684" w:rsidP="00157035">
            <w:pPr>
              <w:numPr>
                <w:ilvl w:val="0"/>
                <w:numId w:val="79"/>
              </w:numPr>
              <w:autoSpaceDE w:val="0"/>
              <w:autoSpaceDN w:val="0"/>
              <w:adjustRightInd w:val="0"/>
              <w:ind w:left="196" w:hanging="196"/>
              <w:rPr>
                <w:rFonts w:eastAsia="Times New Roman"/>
                <w:sz w:val="21"/>
                <w:szCs w:val="21"/>
                <w:lang w:val="fr-CA" w:eastAsia="en-US"/>
              </w:rPr>
            </w:pPr>
            <w:r w:rsidRPr="00475565">
              <w:rPr>
                <w:rFonts w:eastAsia="Times New Roman"/>
                <w:sz w:val="21"/>
                <w:szCs w:val="21"/>
                <w:lang w:val="fr-CA" w:eastAsia="en-US"/>
              </w:rPr>
              <w:t>Nombre de session de formation organisée par zone agro-écologique</w:t>
            </w:r>
          </w:p>
          <w:p w:rsidR="00990684" w:rsidRPr="00475565" w:rsidRDefault="00990684" w:rsidP="00157035">
            <w:pPr>
              <w:numPr>
                <w:ilvl w:val="0"/>
                <w:numId w:val="78"/>
              </w:numPr>
              <w:autoSpaceDE w:val="0"/>
              <w:autoSpaceDN w:val="0"/>
              <w:adjustRightInd w:val="0"/>
              <w:ind w:left="196" w:hanging="196"/>
              <w:rPr>
                <w:rFonts w:eastAsia="Times New Roman"/>
                <w:sz w:val="21"/>
                <w:szCs w:val="21"/>
                <w:lang w:val="fr-CA" w:eastAsia="en-US"/>
              </w:rPr>
            </w:pPr>
            <w:r w:rsidRPr="00475565">
              <w:rPr>
                <w:rFonts w:eastAsia="Times New Roman"/>
                <w:sz w:val="21"/>
                <w:szCs w:val="21"/>
                <w:lang w:val="fr-CA" w:eastAsia="en-US"/>
              </w:rPr>
              <w:t xml:space="preserve">Distribution des sessions de formation selon les zones agro écologiques concernées </w:t>
            </w:r>
          </w:p>
          <w:p w:rsidR="00990684" w:rsidRPr="00475565" w:rsidRDefault="00990684" w:rsidP="00157035">
            <w:pPr>
              <w:numPr>
                <w:ilvl w:val="0"/>
                <w:numId w:val="78"/>
              </w:numPr>
              <w:autoSpaceDE w:val="0"/>
              <w:autoSpaceDN w:val="0"/>
              <w:adjustRightInd w:val="0"/>
              <w:ind w:left="196" w:hanging="196"/>
              <w:rPr>
                <w:rFonts w:eastAsia="Times New Roman"/>
                <w:sz w:val="21"/>
                <w:szCs w:val="21"/>
                <w:lang w:val="fr-CA" w:eastAsia="en-US"/>
              </w:rPr>
            </w:pPr>
            <w:r w:rsidRPr="00475565">
              <w:rPr>
                <w:rFonts w:eastAsia="Times New Roman"/>
                <w:sz w:val="21"/>
                <w:szCs w:val="21"/>
                <w:lang w:val="fr-CA" w:eastAsia="en-US"/>
              </w:rPr>
              <w:t>Nombre de coopératives ou de GIE créés</w:t>
            </w:r>
          </w:p>
          <w:p w:rsidR="00990684" w:rsidRPr="00475565" w:rsidRDefault="00990684" w:rsidP="00157035">
            <w:pPr>
              <w:numPr>
                <w:ilvl w:val="0"/>
                <w:numId w:val="78"/>
              </w:numPr>
              <w:autoSpaceDE w:val="0"/>
              <w:autoSpaceDN w:val="0"/>
              <w:adjustRightInd w:val="0"/>
              <w:ind w:left="196" w:hanging="196"/>
              <w:rPr>
                <w:rFonts w:eastAsia="Times New Roman"/>
                <w:sz w:val="21"/>
                <w:szCs w:val="21"/>
                <w:lang w:val="fr-CA" w:eastAsia="en-US"/>
              </w:rPr>
            </w:pPr>
            <w:r w:rsidRPr="00475565">
              <w:rPr>
                <w:rFonts w:eastAsia="Times New Roman"/>
                <w:sz w:val="21"/>
                <w:szCs w:val="21"/>
                <w:lang w:val="fr-CA" w:eastAsia="en-US"/>
              </w:rPr>
              <w:t>Nombre émission radio- télé réalisés chaque année</w:t>
            </w:r>
          </w:p>
          <w:p w:rsidR="00990684" w:rsidRPr="00475565" w:rsidRDefault="00990684" w:rsidP="00157035">
            <w:pPr>
              <w:numPr>
                <w:ilvl w:val="0"/>
                <w:numId w:val="78"/>
              </w:numPr>
              <w:autoSpaceDE w:val="0"/>
              <w:autoSpaceDN w:val="0"/>
              <w:adjustRightInd w:val="0"/>
              <w:ind w:left="196" w:hanging="196"/>
              <w:rPr>
                <w:rFonts w:eastAsia="Times New Roman"/>
                <w:sz w:val="21"/>
                <w:szCs w:val="21"/>
                <w:lang w:val="fr-CA" w:eastAsia="en-US"/>
              </w:rPr>
            </w:pPr>
            <w:r w:rsidRPr="00475565">
              <w:rPr>
                <w:rFonts w:eastAsia="Times New Roman"/>
                <w:sz w:val="21"/>
                <w:szCs w:val="21"/>
                <w:lang w:val="fr-CA" w:eastAsia="en-US"/>
              </w:rPr>
              <w:t>Nombre de communiqués presses réalisés</w:t>
            </w:r>
          </w:p>
          <w:p w:rsidR="00990684" w:rsidRPr="00475565" w:rsidRDefault="00990684" w:rsidP="00157035">
            <w:pPr>
              <w:numPr>
                <w:ilvl w:val="0"/>
                <w:numId w:val="78"/>
              </w:numPr>
              <w:autoSpaceDE w:val="0"/>
              <w:autoSpaceDN w:val="0"/>
              <w:adjustRightInd w:val="0"/>
              <w:ind w:left="196" w:hanging="196"/>
              <w:rPr>
                <w:rFonts w:eastAsia="Times New Roman"/>
                <w:sz w:val="21"/>
                <w:szCs w:val="21"/>
                <w:lang w:val="fr-CA" w:eastAsia="en-US"/>
              </w:rPr>
            </w:pPr>
            <w:r w:rsidRPr="00475565">
              <w:rPr>
                <w:sz w:val="21"/>
                <w:szCs w:val="21"/>
              </w:rPr>
              <w:t>Application des mesures d'atténuation prévues contre EAS/HS</w:t>
            </w:r>
          </w:p>
          <w:p w:rsidR="00990684" w:rsidRPr="00475565" w:rsidRDefault="00990684" w:rsidP="00157035">
            <w:pPr>
              <w:numPr>
                <w:ilvl w:val="0"/>
                <w:numId w:val="78"/>
              </w:numPr>
              <w:autoSpaceDE w:val="0"/>
              <w:autoSpaceDN w:val="0"/>
              <w:adjustRightInd w:val="0"/>
              <w:ind w:left="196" w:hanging="196"/>
              <w:rPr>
                <w:rFonts w:eastAsia="Times New Roman"/>
                <w:sz w:val="21"/>
                <w:szCs w:val="21"/>
                <w:lang w:val="fr-CA" w:eastAsia="en-US"/>
              </w:rPr>
            </w:pPr>
          </w:p>
        </w:tc>
      </w:tr>
    </w:tbl>
    <w:p w:rsidR="00A80494" w:rsidRPr="00A05698" w:rsidRDefault="00A80494" w:rsidP="004F4212">
      <w:pPr>
        <w:rPr>
          <w:rFonts w:eastAsia="Times New Roman"/>
          <w:iCs/>
          <w:sz w:val="22"/>
          <w:szCs w:val="20"/>
          <w:lang w:val="fr-BE" w:eastAsia="fr-BE"/>
        </w:rPr>
      </w:pPr>
    </w:p>
    <w:p w:rsidR="00A80494" w:rsidRPr="00A05698" w:rsidRDefault="00A80494" w:rsidP="004F4212">
      <w:pPr>
        <w:rPr>
          <w:rFonts w:eastAsia="Times New Roman"/>
          <w:iCs/>
          <w:sz w:val="22"/>
          <w:szCs w:val="20"/>
          <w:lang w:val="fr-BE" w:eastAsia="fr-BE"/>
        </w:rPr>
      </w:pPr>
      <w:r w:rsidRPr="00A05698">
        <w:rPr>
          <w:rFonts w:eastAsia="Times New Roman"/>
          <w:iCs/>
          <w:lang w:val="fr-BE" w:eastAsia="fr-BE"/>
        </w:rPr>
        <w:t xml:space="preserve">Le tableau suivant indique le </w:t>
      </w:r>
      <w:r w:rsidRPr="00A05698">
        <w:rPr>
          <w:rFonts w:eastAsia="Times New Roman"/>
          <w:lang w:val="fr-BE" w:eastAsia="fr-BE"/>
        </w:rPr>
        <w:t>dispositif de suivi des composantes environnementales et sociales.</w:t>
      </w:r>
      <w:r w:rsidR="009048A5" w:rsidRPr="00A05698">
        <w:rPr>
          <w:rFonts w:eastAsia="Times New Roman"/>
          <w:iCs/>
          <w:sz w:val="22"/>
          <w:szCs w:val="20"/>
          <w:lang w:val="fr-BE" w:eastAsia="fr-BE"/>
        </w:rPr>
        <w:t xml:space="preserve"> </w:t>
      </w:r>
    </w:p>
    <w:p w:rsidR="00685FF4" w:rsidRPr="00A05698" w:rsidRDefault="00685FF4" w:rsidP="004F4212">
      <w:pPr>
        <w:tabs>
          <w:tab w:val="left" w:pos="2236"/>
        </w:tabs>
        <w:sectPr w:rsidR="00685FF4" w:rsidRPr="00A05698" w:rsidSect="00C53BE4">
          <w:headerReference w:type="default" r:id="rId59"/>
          <w:footerReference w:type="default" r:id="rId60"/>
          <w:pgSz w:w="11910" w:h="16840"/>
          <w:pgMar w:top="1417" w:right="1417" w:bottom="1417" w:left="1417" w:header="331" w:footer="709" w:gutter="0"/>
          <w:cols w:space="720"/>
          <w:docGrid w:linePitch="299"/>
        </w:sectPr>
      </w:pPr>
    </w:p>
    <w:p w:rsidR="006F1D16" w:rsidRPr="00A05698" w:rsidRDefault="006F1D16" w:rsidP="003D1D95">
      <w:pPr>
        <w:pStyle w:val="Primeiroavanodecorpodetexto2"/>
        <w:spacing w:after="0" w:line="240" w:lineRule="auto"/>
        <w:jc w:val="center"/>
        <w:rPr>
          <w:rFonts w:ascii="Times New Roman" w:hAnsi="Times New Roman"/>
          <w:b/>
        </w:rPr>
      </w:pPr>
      <w:bookmarkStart w:id="300" w:name="_Toc55460646"/>
      <w:bookmarkStart w:id="301" w:name="_Toc73522627"/>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60566C">
        <w:rPr>
          <w:rFonts w:ascii="Times New Roman" w:hAnsi="Times New Roman"/>
          <w:b/>
          <w:noProof/>
        </w:rPr>
        <w:t>21</w:t>
      </w:r>
      <w:r w:rsidRPr="00A05698">
        <w:rPr>
          <w:rFonts w:ascii="Times New Roman" w:hAnsi="Times New Roman"/>
          <w:b/>
        </w:rPr>
        <w:fldChar w:fldCharType="end"/>
      </w:r>
      <w:r w:rsidRPr="00A05698">
        <w:rPr>
          <w:rFonts w:ascii="Times New Roman" w:hAnsi="Times New Roman"/>
          <w:b/>
        </w:rPr>
        <w:t>. Indicateurs de suivi "externe"</w:t>
      </w:r>
      <w:bookmarkEnd w:id="300"/>
      <w:bookmarkEnd w:id="301"/>
    </w:p>
    <w:tbl>
      <w:tblPr>
        <w:tblW w:w="5000"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57" w:type="dxa"/>
          <w:right w:w="57" w:type="dxa"/>
        </w:tblCellMar>
        <w:tblLook w:val="04A0" w:firstRow="1" w:lastRow="0" w:firstColumn="1" w:lastColumn="0" w:noHBand="0" w:noVBand="1"/>
      </w:tblPr>
      <w:tblGrid>
        <w:gridCol w:w="1568"/>
        <w:gridCol w:w="1323"/>
        <w:gridCol w:w="4110"/>
        <w:gridCol w:w="2835"/>
        <w:gridCol w:w="1560"/>
        <w:gridCol w:w="1376"/>
        <w:gridCol w:w="1348"/>
      </w:tblGrid>
      <w:tr w:rsidR="006F1D16" w:rsidRPr="00CD66A1" w:rsidTr="00EC7847">
        <w:trPr>
          <w:tblHeader/>
          <w:jc w:val="center"/>
        </w:trPr>
        <w:tc>
          <w:tcPr>
            <w:tcW w:w="1555" w:type="dxa"/>
            <w:tcBorders>
              <w:top w:val="single" w:sz="4" w:space="0" w:color="5B9BD5" w:themeColor="accent1"/>
            </w:tcBorders>
            <w:shd w:val="clear" w:color="auto" w:fill="E2EFD9" w:themeFill="accent6" w:themeFillTint="33"/>
            <w:vAlign w:val="center"/>
          </w:tcPr>
          <w:p w:rsidR="006F1D16" w:rsidRPr="00CD66A1" w:rsidRDefault="006F1D16" w:rsidP="004F4212">
            <w:pPr>
              <w:ind w:right="57"/>
              <w:jc w:val="center"/>
              <w:rPr>
                <w:b/>
                <w:sz w:val="20"/>
                <w:szCs w:val="20"/>
              </w:rPr>
            </w:pPr>
            <w:r w:rsidRPr="00CD66A1">
              <w:rPr>
                <w:b/>
                <w:sz w:val="20"/>
                <w:szCs w:val="20"/>
              </w:rPr>
              <w:t>Composantes</w:t>
            </w:r>
          </w:p>
        </w:tc>
        <w:tc>
          <w:tcPr>
            <w:tcW w:w="1311" w:type="dxa"/>
            <w:tcBorders>
              <w:top w:val="single" w:sz="4" w:space="0" w:color="5B9BD5" w:themeColor="accent1"/>
            </w:tcBorders>
            <w:shd w:val="clear" w:color="auto" w:fill="E2EFD9" w:themeFill="accent6" w:themeFillTint="33"/>
            <w:vAlign w:val="center"/>
          </w:tcPr>
          <w:p w:rsidR="006F1D16" w:rsidRPr="00CD66A1" w:rsidRDefault="006F1D16" w:rsidP="004F4212">
            <w:pPr>
              <w:ind w:right="57"/>
              <w:jc w:val="center"/>
              <w:rPr>
                <w:b/>
                <w:sz w:val="20"/>
                <w:szCs w:val="20"/>
              </w:rPr>
            </w:pPr>
            <w:r w:rsidRPr="00CD66A1">
              <w:rPr>
                <w:b/>
                <w:sz w:val="20"/>
                <w:szCs w:val="20"/>
              </w:rPr>
              <w:t>Aspects</w:t>
            </w:r>
          </w:p>
        </w:tc>
        <w:tc>
          <w:tcPr>
            <w:tcW w:w="4074" w:type="dxa"/>
            <w:tcBorders>
              <w:top w:val="single" w:sz="4" w:space="0" w:color="5B9BD5" w:themeColor="accent1"/>
            </w:tcBorders>
            <w:shd w:val="clear" w:color="auto" w:fill="E2EFD9" w:themeFill="accent6" w:themeFillTint="33"/>
            <w:vAlign w:val="center"/>
          </w:tcPr>
          <w:p w:rsidR="006F1D16" w:rsidRPr="0060566C" w:rsidRDefault="006F1D16" w:rsidP="004F4212">
            <w:pPr>
              <w:ind w:right="57"/>
              <w:jc w:val="center"/>
              <w:rPr>
                <w:b/>
                <w:sz w:val="18"/>
                <w:szCs w:val="18"/>
              </w:rPr>
            </w:pPr>
            <w:r w:rsidRPr="0060566C">
              <w:rPr>
                <w:b/>
                <w:sz w:val="18"/>
                <w:szCs w:val="18"/>
              </w:rPr>
              <w:t>Méthodes de suivi</w:t>
            </w:r>
          </w:p>
        </w:tc>
        <w:tc>
          <w:tcPr>
            <w:tcW w:w="2810" w:type="dxa"/>
            <w:tcBorders>
              <w:top w:val="single" w:sz="4" w:space="0" w:color="5B9BD5" w:themeColor="accent1"/>
            </w:tcBorders>
            <w:shd w:val="clear" w:color="auto" w:fill="E2EFD9" w:themeFill="accent6" w:themeFillTint="33"/>
            <w:vAlign w:val="center"/>
          </w:tcPr>
          <w:p w:rsidR="006F1D16" w:rsidRPr="00CD66A1" w:rsidRDefault="006F1D16" w:rsidP="004F4212">
            <w:pPr>
              <w:ind w:right="57"/>
              <w:jc w:val="center"/>
              <w:rPr>
                <w:b/>
                <w:sz w:val="20"/>
                <w:szCs w:val="20"/>
              </w:rPr>
            </w:pPr>
            <w:r w:rsidRPr="00CD66A1">
              <w:rPr>
                <w:b/>
                <w:sz w:val="20"/>
                <w:szCs w:val="20"/>
              </w:rPr>
              <w:t>Moyens de contrôle</w:t>
            </w:r>
          </w:p>
        </w:tc>
        <w:tc>
          <w:tcPr>
            <w:tcW w:w="1546" w:type="dxa"/>
            <w:tcBorders>
              <w:top w:val="single" w:sz="4" w:space="0" w:color="5B9BD5" w:themeColor="accent1"/>
            </w:tcBorders>
            <w:shd w:val="clear" w:color="auto" w:fill="E2EFD9" w:themeFill="accent6" w:themeFillTint="33"/>
            <w:vAlign w:val="center"/>
          </w:tcPr>
          <w:p w:rsidR="006F1D16" w:rsidRPr="0060566C" w:rsidRDefault="006F1D16" w:rsidP="004F4212">
            <w:pPr>
              <w:ind w:right="57"/>
              <w:jc w:val="center"/>
              <w:rPr>
                <w:b/>
                <w:sz w:val="18"/>
                <w:szCs w:val="18"/>
              </w:rPr>
            </w:pPr>
            <w:r w:rsidRPr="0060566C">
              <w:rPr>
                <w:b/>
                <w:sz w:val="18"/>
                <w:szCs w:val="18"/>
              </w:rPr>
              <w:t>Responsable de suivi</w:t>
            </w:r>
          </w:p>
        </w:tc>
        <w:tc>
          <w:tcPr>
            <w:tcW w:w="1364" w:type="dxa"/>
            <w:tcBorders>
              <w:top w:val="single" w:sz="4" w:space="0" w:color="5B9BD5" w:themeColor="accent1"/>
            </w:tcBorders>
            <w:shd w:val="clear" w:color="auto" w:fill="E2EFD9" w:themeFill="accent6" w:themeFillTint="33"/>
            <w:vAlign w:val="center"/>
          </w:tcPr>
          <w:p w:rsidR="006F1D16" w:rsidRPr="00CD66A1" w:rsidRDefault="006F1D16" w:rsidP="004F4212">
            <w:pPr>
              <w:ind w:right="57"/>
              <w:jc w:val="center"/>
              <w:rPr>
                <w:b/>
                <w:sz w:val="20"/>
                <w:szCs w:val="20"/>
              </w:rPr>
            </w:pPr>
            <w:r w:rsidRPr="00CD66A1">
              <w:rPr>
                <w:b/>
                <w:sz w:val="20"/>
                <w:szCs w:val="20"/>
              </w:rPr>
              <w:t>Périodicité</w:t>
            </w:r>
          </w:p>
        </w:tc>
        <w:tc>
          <w:tcPr>
            <w:tcW w:w="1336" w:type="dxa"/>
            <w:tcBorders>
              <w:top w:val="single" w:sz="4" w:space="0" w:color="5B9BD5" w:themeColor="accent1"/>
            </w:tcBorders>
            <w:shd w:val="clear" w:color="auto" w:fill="E2EFD9" w:themeFill="accent6" w:themeFillTint="33"/>
            <w:vAlign w:val="center"/>
          </w:tcPr>
          <w:p w:rsidR="006F1D16" w:rsidRPr="00CD66A1" w:rsidRDefault="006F1D16" w:rsidP="004F4212">
            <w:pPr>
              <w:ind w:right="57"/>
              <w:jc w:val="center"/>
              <w:rPr>
                <w:b/>
                <w:sz w:val="20"/>
                <w:szCs w:val="20"/>
              </w:rPr>
            </w:pPr>
            <w:r w:rsidRPr="00CD66A1">
              <w:rPr>
                <w:b/>
                <w:sz w:val="20"/>
                <w:szCs w:val="20"/>
              </w:rPr>
              <w:t>Objectif visé</w:t>
            </w:r>
          </w:p>
        </w:tc>
      </w:tr>
      <w:tr w:rsidR="006F1D16" w:rsidRPr="00CD66A1" w:rsidTr="00EC7847">
        <w:trPr>
          <w:jc w:val="center"/>
        </w:trPr>
        <w:tc>
          <w:tcPr>
            <w:tcW w:w="1555" w:type="dxa"/>
            <w:shd w:val="clear" w:color="auto" w:fill="FFFFFF" w:themeFill="background1"/>
            <w:vAlign w:val="center"/>
          </w:tcPr>
          <w:p w:rsidR="006F1D16" w:rsidRPr="00CD66A1" w:rsidRDefault="006F1D16" w:rsidP="004F4212">
            <w:pPr>
              <w:ind w:right="57"/>
              <w:jc w:val="center"/>
              <w:rPr>
                <w:b/>
                <w:sz w:val="20"/>
                <w:szCs w:val="20"/>
              </w:rPr>
            </w:pPr>
            <w:r w:rsidRPr="00CD66A1">
              <w:rPr>
                <w:b/>
                <w:sz w:val="20"/>
                <w:szCs w:val="20"/>
              </w:rPr>
              <w:t>Air</w:t>
            </w:r>
          </w:p>
        </w:tc>
        <w:tc>
          <w:tcPr>
            <w:tcW w:w="1311" w:type="dxa"/>
            <w:vAlign w:val="center"/>
          </w:tcPr>
          <w:p w:rsidR="006F1D16" w:rsidRPr="00CD66A1" w:rsidRDefault="006F1D16" w:rsidP="004F4212">
            <w:pPr>
              <w:ind w:right="57"/>
              <w:jc w:val="center"/>
              <w:rPr>
                <w:b/>
                <w:sz w:val="20"/>
                <w:szCs w:val="20"/>
              </w:rPr>
            </w:pPr>
            <w:r w:rsidRPr="00CD66A1">
              <w:rPr>
                <w:b/>
                <w:sz w:val="20"/>
                <w:szCs w:val="20"/>
              </w:rPr>
              <w:t>Qualité de l’air</w:t>
            </w:r>
          </w:p>
        </w:tc>
        <w:tc>
          <w:tcPr>
            <w:tcW w:w="4074" w:type="dxa"/>
            <w:vAlign w:val="center"/>
          </w:tcPr>
          <w:p w:rsidR="006F1D16" w:rsidRPr="0060566C" w:rsidRDefault="006F1D16" w:rsidP="00157035">
            <w:pPr>
              <w:numPr>
                <w:ilvl w:val="0"/>
                <w:numId w:val="81"/>
              </w:numPr>
              <w:ind w:left="0" w:right="57"/>
              <w:jc w:val="both"/>
              <w:rPr>
                <w:sz w:val="18"/>
                <w:szCs w:val="18"/>
              </w:rPr>
            </w:pPr>
            <w:r w:rsidRPr="0060566C">
              <w:rPr>
                <w:sz w:val="18"/>
                <w:szCs w:val="18"/>
              </w:rPr>
              <w:t>Campagne de mesure des concentrations de gaz à effet de serre (CO</w:t>
            </w:r>
            <w:r w:rsidRPr="0060566C">
              <w:rPr>
                <w:sz w:val="18"/>
                <w:szCs w:val="18"/>
                <w:vertAlign w:val="subscript"/>
              </w:rPr>
              <w:t>2</w:t>
            </w:r>
            <w:r w:rsidRPr="0060566C">
              <w:rPr>
                <w:sz w:val="18"/>
                <w:szCs w:val="18"/>
              </w:rPr>
              <w:t>), de particules en suspension (poussières) et d’autres polluants atmosphériques (CO</w:t>
            </w:r>
            <w:r w:rsidRPr="0060566C">
              <w:rPr>
                <w:sz w:val="18"/>
                <w:szCs w:val="18"/>
                <w:vertAlign w:val="subscript"/>
              </w:rPr>
              <w:t>,</w:t>
            </w:r>
            <w:r w:rsidRPr="0060566C">
              <w:rPr>
                <w:sz w:val="18"/>
                <w:szCs w:val="18"/>
              </w:rPr>
              <w:t xml:space="preserve"> NO</w:t>
            </w:r>
            <w:r w:rsidRPr="0060566C">
              <w:rPr>
                <w:sz w:val="18"/>
                <w:szCs w:val="18"/>
                <w:vertAlign w:val="subscript"/>
              </w:rPr>
              <w:t>X</w:t>
            </w:r>
            <w:r w:rsidRPr="0060566C">
              <w:rPr>
                <w:sz w:val="18"/>
                <w:szCs w:val="18"/>
              </w:rPr>
              <w:t>, O</w:t>
            </w:r>
            <w:r w:rsidRPr="0060566C">
              <w:rPr>
                <w:sz w:val="18"/>
                <w:szCs w:val="18"/>
                <w:vertAlign w:val="subscript"/>
              </w:rPr>
              <w:t>3</w:t>
            </w:r>
            <w:r w:rsidR="006E1FD0" w:rsidRPr="0060566C">
              <w:rPr>
                <w:sz w:val="18"/>
                <w:szCs w:val="18"/>
              </w:rPr>
              <w:t>, CH4</w:t>
            </w:r>
            <w:r w:rsidRPr="0060566C">
              <w:rPr>
                <w:sz w:val="18"/>
                <w:szCs w:val="18"/>
              </w:rPr>
              <w:t xml:space="preserve"> </w:t>
            </w:r>
          </w:p>
          <w:p w:rsidR="006F1D16" w:rsidRPr="0060566C" w:rsidRDefault="006F1D16" w:rsidP="00157035">
            <w:pPr>
              <w:numPr>
                <w:ilvl w:val="0"/>
                <w:numId w:val="81"/>
              </w:numPr>
              <w:ind w:left="0" w:right="57"/>
              <w:jc w:val="both"/>
              <w:rPr>
                <w:sz w:val="18"/>
                <w:szCs w:val="18"/>
              </w:rPr>
            </w:pPr>
            <w:r w:rsidRPr="0060566C">
              <w:rPr>
                <w:sz w:val="18"/>
                <w:szCs w:val="18"/>
              </w:rPr>
              <w:t>Renseigner les fiches d’entretien des engins de chantier et de maintenance</w:t>
            </w:r>
          </w:p>
        </w:tc>
        <w:tc>
          <w:tcPr>
            <w:tcW w:w="2810" w:type="dxa"/>
            <w:vAlign w:val="center"/>
          </w:tcPr>
          <w:p w:rsidR="006F1D16" w:rsidRPr="00CD66A1" w:rsidRDefault="006F1D16" w:rsidP="004F4212">
            <w:pPr>
              <w:ind w:right="57"/>
              <w:rPr>
                <w:sz w:val="20"/>
                <w:szCs w:val="20"/>
              </w:rPr>
            </w:pPr>
            <w:r w:rsidRPr="00CD66A1">
              <w:rPr>
                <w:sz w:val="20"/>
                <w:szCs w:val="20"/>
              </w:rPr>
              <w:t>Observations et consultation ;</w:t>
            </w:r>
          </w:p>
          <w:p w:rsidR="006F1D16" w:rsidRPr="00CD66A1" w:rsidRDefault="006F1D16" w:rsidP="004F4212">
            <w:pPr>
              <w:ind w:right="57"/>
              <w:rPr>
                <w:sz w:val="20"/>
                <w:szCs w:val="20"/>
              </w:rPr>
            </w:pPr>
            <w:r w:rsidRPr="00CD66A1">
              <w:rPr>
                <w:sz w:val="20"/>
                <w:szCs w:val="20"/>
              </w:rPr>
              <w:t>Rapports de mesurage ;</w:t>
            </w:r>
          </w:p>
          <w:p w:rsidR="006F1D16" w:rsidRPr="00CD66A1" w:rsidRDefault="006F1D16" w:rsidP="004F4212">
            <w:pPr>
              <w:ind w:right="57"/>
              <w:rPr>
                <w:sz w:val="20"/>
                <w:szCs w:val="20"/>
              </w:rPr>
            </w:pPr>
            <w:r w:rsidRPr="00CD66A1">
              <w:rPr>
                <w:sz w:val="20"/>
                <w:szCs w:val="20"/>
              </w:rPr>
              <w:t>Fiche d’entretien véhicules</w:t>
            </w:r>
          </w:p>
        </w:tc>
        <w:tc>
          <w:tcPr>
            <w:tcW w:w="1546" w:type="dxa"/>
            <w:vAlign w:val="center"/>
          </w:tcPr>
          <w:p w:rsidR="006F1D16" w:rsidRPr="0060566C" w:rsidRDefault="006F1D16" w:rsidP="004F4212">
            <w:pPr>
              <w:ind w:right="57"/>
              <w:jc w:val="center"/>
              <w:rPr>
                <w:b/>
                <w:sz w:val="18"/>
                <w:szCs w:val="18"/>
              </w:rPr>
            </w:pPr>
            <w:r w:rsidRPr="0060566C">
              <w:rPr>
                <w:b/>
                <w:sz w:val="18"/>
                <w:szCs w:val="18"/>
              </w:rPr>
              <w:t>Spécialiste environnement de la MC</w:t>
            </w:r>
          </w:p>
          <w:p w:rsidR="006F1D16" w:rsidRPr="0060566C" w:rsidRDefault="006F1D16" w:rsidP="004F4212">
            <w:pPr>
              <w:ind w:right="57"/>
              <w:jc w:val="center"/>
              <w:rPr>
                <w:b/>
                <w:sz w:val="18"/>
                <w:szCs w:val="18"/>
              </w:rPr>
            </w:pPr>
          </w:p>
          <w:p w:rsidR="006F1D16" w:rsidRPr="0060566C" w:rsidRDefault="006F1D16" w:rsidP="004F4212">
            <w:pPr>
              <w:ind w:right="57"/>
              <w:jc w:val="center"/>
              <w:rPr>
                <w:b/>
                <w:sz w:val="18"/>
                <w:szCs w:val="18"/>
              </w:rPr>
            </w:pPr>
            <w:r w:rsidRPr="0060566C">
              <w:rPr>
                <w:b/>
                <w:sz w:val="18"/>
                <w:szCs w:val="18"/>
              </w:rPr>
              <w:t>Promoteur</w:t>
            </w:r>
          </w:p>
        </w:tc>
        <w:tc>
          <w:tcPr>
            <w:tcW w:w="1364" w:type="dxa"/>
            <w:vAlign w:val="center"/>
          </w:tcPr>
          <w:p w:rsidR="006F1D16" w:rsidRPr="00CD66A1" w:rsidRDefault="006F1D16" w:rsidP="004F4212">
            <w:pPr>
              <w:ind w:right="57"/>
              <w:rPr>
                <w:b/>
                <w:sz w:val="20"/>
                <w:szCs w:val="20"/>
              </w:rPr>
            </w:pPr>
            <w:r w:rsidRPr="00CD66A1">
              <w:rPr>
                <w:b/>
                <w:sz w:val="20"/>
                <w:szCs w:val="20"/>
              </w:rPr>
              <w:t>Trimestrielle</w:t>
            </w:r>
          </w:p>
        </w:tc>
        <w:tc>
          <w:tcPr>
            <w:tcW w:w="1336" w:type="dxa"/>
            <w:vAlign w:val="center"/>
          </w:tcPr>
          <w:p w:rsidR="006F1D16" w:rsidRPr="00CD66A1" w:rsidRDefault="006F1D16" w:rsidP="004F4212">
            <w:pPr>
              <w:ind w:right="57"/>
              <w:rPr>
                <w:b/>
                <w:sz w:val="20"/>
                <w:szCs w:val="20"/>
              </w:rPr>
            </w:pPr>
            <w:r w:rsidRPr="00CD66A1">
              <w:rPr>
                <w:b/>
                <w:sz w:val="20"/>
                <w:szCs w:val="20"/>
              </w:rPr>
              <w:t>Respect de la réglementation</w:t>
            </w:r>
          </w:p>
        </w:tc>
      </w:tr>
      <w:tr w:rsidR="006F1D16" w:rsidRPr="00CD66A1" w:rsidTr="00EC7847">
        <w:trPr>
          <w:jc w:val="center"/>
        </w:trPr>
        <w:tc>
          <w:tcPr>
            <w:tcW w:w="1555" w:type="dxa"/>
            <w:shd w:val="clear" w:color="auto" w:fill="FFFFFF" w:themeFill="background1"/>
            <w:vAlign w:val="center"/>
          </w:tcPr>
          <w:p w:rsidR="006F1D16" w:rsidRPr="00CD66A1" w:rsidRDefault="006F1D16" w:rsidP="004F4212">
            <w:pPr>
              <w:ind w:right="57"/>
              <w:jc w:val="center"/>
              <w:rPr>
                <w:b/>
                <w:sz w:val="20"/>
                <w:szCs w:val="20"/>
              </w:rPr>
            </w:pPr>
            <w:r w:rsidRPr="00CD66A1">
              <w:rPr>
                <w:b/>
                <w:sz w:val="20"/>
                <w:szCs w:val="20"/>
              </w:rPr>
              <w:t>Sols</w:t>
            </w:r>
          </w:p>
        </w:tc>
        <w:tc>
          <w:tcPr>
            <w:tcW w:w="1311" w:type="dxa"/>
            <w:vAlign w:val="center"/>
          </w:tcPr>
          <w:p w:rsidR="006F1D16" w:rsidRPr="00CD66A1" w:rsidRDefault="006F1D16" w:rsidP="004F4212">
            <w:pPr>
              <w:ind w:right="57"/>
              <w:jc w:val="center"/>
              <w:rPr>
                <w:b/>
                <w:sz w:val="20"/>
                <w:szCs w:val="20"/>
              </w:rPr>
            </w:pPr>
            <w:r w:rsidRPr="00CD66A1">
              <w:rPr>
                <w:b/>
                <w:sz w:val="20"/>
                <w:szCs w:val="20"/>
              </w:rPr>
              <w:t>Qualité des sols</w:t>
            </w:r>
          </w:p>
        </w:tc>
        <w:tc>
          <w:tcPr>
            <w:tcW w:w="4074" w:type="dxa"/>
            <w:vAlign w:val="center"/>
          </w:tcPr>
          <w:p w:rsidR="006F1D16" w:rsidRPr="0060566C" w:rsidRDefault="006F1D16" w:rsidP="00157035">
            <w:pPr>
              <w:numPr>
                <w:ilvl w:val="0"/>
                <w:numId w:val="80"/>
              </w:numPr>
              <w:ind w:left="0" w:right="57"/>
              <w:jc w:val="both"/>
              <w:rPr>
                <w:sz w:val="18"/>
                <w:szCs w:val="18"/>
              </w:rPr>
            </w:pPr>
            <w:r w:rsidRPr="0060566C">
              <w:rPr>
                <w:sz w:val="18"/>
                <w:szCs w:val="18"/>
              </w:rPr>
              <w:t>Analyse de la composition des sols pour en ressortir les teneurs en hydrocarbures, huiles et produits dangereux</w:t>
            </w:r>
          </w:p>
          <w:p w:rsidR="006F1D16" w:rsidRPr="0060566C" w:rsidRDefault="006F1D16" w:rsidP="00157035">
            <w:pPr>
              <w:numPr>
                <w:ilvl w:val="0"/>
                <w:numId w:val="80"/>
              </w:numPr>
              <w:ind w:left="0" w:right="57"/>
              <w:jc w:val="both"/>
              <w:rPr>
                <w:sz w:val="18"/>
                <w:szCs w:val="18"/>
              </w:rPr>
            </w:pPr>
            <w:r w:rsidRPr="0060566C">
              <w:rPr>
                <w:sz w:val="18"/>
                <w:szCs w:val="18"/>
              </w:rPr>
              <w:t>Mesure de la superficie contaminée ;</w:t>
            </w:r>
          </w:p>
          <w:p w:rsidR="000A09AC" w:rsidRPr="0060566C" w:rsidRDefault="006F1D16" w:rsidP="00157035">
            <w:pPr>
              <w:numPr>
                <w:ilvl w:val="0"/>
                <w:numId w:val="80"/>
              </w:numPr>
              <w:ind w:left="0" w:right="57"/>
              <w:jc w:val="both"/>
              <w:rPr>
                <w:sz w:val="18"/>
                <w:szCs w:val="18"/>
                <w:lang w:val="fr-BE"/>
              </w:rPr>
            </w:pPr>
            <w:r w:rsidRPr="0060566C">
              <w:rPr>
                <w:sz w:val="18"/>
                <w:szCs w:val="18"/>
              </w:rPr>
              <w:t>Mesure de la superficie remise en état et ré-végétalisée ;</w:t>
            </w:r>
          </w:p>
          <w:p w:rsidR="001A20B8" w:rsidRPr="0060566C" w:rsidRDefault="001A20B8" w:rsidP="001A20B8">
            <w:pPr>
              <w:autoSpaceDE w:val="0"/>
              <w:autoSpaceDN w:val="0"/>
              <w:adjustRightInd w:val="0"/>
              <w:rPr>
                <w:sz w:val="18"/>
                <w:szCs w:val="18"/>
                <w:lang w:val="en-US" w:eastAsia="en-US"/>
              </w:rPr>
            </w:pPr>
            <w:r w:rsidRPr="0060566C">
              <w:rPr>
                <w:sz w:val="18"/>
                <w:szCs w:val="18"/>
                <w:lang w:val="en-US" w:eastAsia="en-US"/>
              </w:rPr>
              <w:t>Erosion/ravinement</w:t>
            </w:r>
          </w:p>
          <w:p w:rsidR="001A20B8" w:rsidRPr="0060566C" w:rsidRDefault="001A20B8" w:rsidP="001A20B8">
            <w:pPr>
              <w:autoSpaceDE w:val="0"/>
              <w:autoSpaceDN w:val="0"/>
              <w:adjustRightInd w:val="0"/>
              <w:rPr>
                <w:sz w:val="18"/>
                <w:szCs w:val="18"/>
                <w:lang w:val="en-US" w:eastAsia="en-US"/>
              </w:rPr>
            </w:pPr>
            <w:r w:rsidRPr="0060566C">
              <w:rPr>
                <w:sz w:val="18"/>
                <w:szCs w:val="18"/>
                <w:lang w:val="en-US" w:eastAsia="en-US"/>
              </w:rPr>
              <w:t>Pollution/dégradation</w:t>
            </w:r>
          </w:p>
          <w:p w:rsidR="001A20B8" w:rsidRPr="0060566C" w:rsidRDefault="001A20B8" w:rsidP="00157035">
            <w:pPr>
              <w:numPr>
                <w:ilvl w:val="0"/>
                <w:numId w:val="80"/>
              </w:numPr>
              <w:ind w:left="0" w:right="57"/>
              <w:jc w:val="both"/>
              <w:rPr>
                <w:sz w:val="18"/>
                <w:szCs w:val="18"/>
                <w:lang w:val="fr-BE"/>
              </w:rPr>
            </w:pPr>
            <w:r w:rsidRPr="0060566C">
              <w:rPr>
                <w:sz w:val="18"/>
                <w:szCs w:val="18"/>
                <w:lang w:val="en-US" w:eastAsia="en-US"/>
              </w:rPr>
              <w:t>Composition en éléments minéraux</w:t>
            </w:r>
          </w:p>
          <w:p w:rsidR="0082652B" w:rsidRPr="0060566C" w:rsidRDefault="0082652B" w:rsidP="00157035">
            <w:pPr>
              <w:numPr>
                <w:ilvl w:val="0"/>
                <w:numId w:val="80"/>
              </w:numPr>
              <w:ind w:left="0" w:right="57"/>
              <w:jc w:val="both"/>
              <w:rPr>
                <w:sz w:val="18"/>
                <w:szCs w:val="18"/>
              </w:rPr>
            </w:pPr>
            <w:r w:rsidRPr="0060566C">
              <w:rPr>
                <w:sz w:val="18"/>
                <w:szCs w:val="18"/>
              </w:rPr>
              <w:t xml:space="preserve">Sensibilité à l'érosion éolienne et hydrique (superficie affectée) </w:t>
            </w:r>
          </w:p>
          <w:p w:rsidR="0082652B" w:rsidRPr="0060566C" w:rsidRDefault="0082652B" w:rsidP="00157035">
            <w:pPr>
              <w:numPr>
                <w:ilvl w:val="0"/>
                <w:numId w:val="80"/>
              </w:numPr>
              <w:ind w:left="0" w:right="57"/>
              <w:jc w:val="both"/>
              <w:rPr>
                <w:sz w:val="18"/>
                <w:szCs w:val="18"/>
              </w:rPr>
            </w:pPr>
            <w:r w:rsidRPr="0060566C">
              <w:rPr>
                <w:sz w:val="18"/>
                <w:szCs w:val="18"/>
              </w:rPr>
              <w:t xml:space="preserve">Taux de dégradation (salinisation, alcalinisation, érosion ...) </w:t>
            </w:r>
          </w:p>
          <w:p w:rsidR="0082652B" w:rsidRPr="0060566C" w:rsidRDefault="0082652B" w:rsidP="00157035">
            <w:pPr>
              <w:numPr>
                <w:ilvl w:val="0"/>
                <w:numId w:val="80"/>
              </w:numPr>
              <w:ind w:left="0" w:right="57"/>
              <w:jc w:val="both"/>
              <w:rPr>
                <w:sz w:val="18"/>
                <w:szCs w:val="18"/>
              </w:rPr>
            </w:pPr>
            <w:r w:rsidRPr="0060566C">
              <w:rPr>
                <w:sz w:val="18"/>
                <w:szCs w:val="18"/>
              </w:rPr>
              <w:t xml:space="preserve">Rendements des principales cultures </w:t>
            </w:r>
          </w:p>
          <w:p w:rsidR="0082652B" w:rsidRPr="0060566C" w:rsidRDefault="0082652B" w:rsidP="00157035">
            <w:pPr>
              <w:numPr>
                <w:ilvl w:val="0"/>
                <w:numId w:val="80"/>
              </w:numPr>
              <w:ind w:left="0" w:right="57"/>
              <w:jc w:val="both"/>
              <w:rPr>
                <w:sz w:val="18"/>
                <w:szCs w:val="18"/>
              </w:rPr>
            </w:pPr>
            <w:r w:rsidRPr="0060566C">
              <w:rPr>
                <w:sz w:val="18"/>
                <w:szCs w:val="18"/>
              </w:rPr>
              <w:t xml:space="preserve">Existence de jachère et durée </w:t>
            </w:r>
          </w:p>
          <w:p w:rsidR="0082652B" w:rsidRPr="0060566C" w:rsidRDefault="0082652B" w:rsidP="00157035">
            <w:pPr>
              <w:numPr>
                <w:ilvl w:val="0"/>
                <w:numId w:val="80"/>
              </w:numPr>
              <w:ind w:left="0" w:right="57"/>
              <w:jc w:val="both"/>
              <w:rPr>
                <w:sz w:val="18"/>
                <w:szCs w:val="18"/>
              </w:rPr>
            </w:pPr>
            <w:r w:rsidRPr="0060566C">
              <w:rPr>
                <w:sz w:val="18"/>
                <w:szCs w:val="18"/>
              </w:rPr>
              <w:t xml:space="preserve">Type de culture </w:t>
            </w:r>
          </w:p>
          <w:p w:rsidR="00183C93" w:rsidRPr="0060566C" w:rsidRDefault="00183C93" w:rsidP="00157035">
            <w:pPr>
              <w:numPr>
                <w:ilvl w:val="0"/>
                <w:numId w:val="80"/>
              </w:numPr>
              <w:ind w:left="0" w:right="57"/>
              <w:jc w:val="both"/>
              <w:rPr>
                <w:sz w:val="18"/>
                <w:szCs w:val="18"/>
              </w:rPr>
            </w:pPr>
            <w:r w:rsidRPr="0060566C">
              <w:rPr>
                <w:sz w:val="18"/>
                <w:szCs w:val="18"/>
              </w:rPr>
              <w:t xml:space="preserve">Pollution/dégradation </w:t>
            </w:r>
          </w:p>
          <w:p w:rsidR="00183C93" w:rsidRPr="0060566C" w:rsidRDefault="00183C93" w:rsidP="00157035">
            <w:pPr>
              <w:numPr>
                <w:ilvl w:val="0"/>
                <w:numId w:val="80"/>
              </w:numPr>
              <w:ind w:left="0" w:right="57"/>
              <w:jc w:val="both"/>
              <w:rPr>
                <w:sz w:val="18"/>
                <w:szCs w:val="18"/>
              </w:rPr>
            </w:pPr>
            <w:r w:rsidRPr="0060566C">
              <w:rPr>
                <w:sz w:val="18"/>
                <w:szCs w:val="18"/>
              </w:rPr>
              <w:t xml:space="preserve">Composition en éléments minéraux </w:t>
            </w:r>
          </w:p>
          <w:p w:rsidR="00820E2E" w:rsidRPr="0060566C" w:rsidRDefault="00820E2E" w:rsidP="00157035">
            <w:pPr>
              <w:numPr>
                <w:ilvl w:val="0"/>
                <w:numId w:val="80"/>
              </w:numPr>
              <w:ind w:left="0" w:right="57"/>
              <w:jc w:val="both"/>
              <w:rPr>
                <w:sz w:val="18"/>
                <w:szCs w:val="18"/>
              </w:rPr>
            </w:pPr>
            <w:r w:rsidRPr="0060566C">
              <w:rPr>
                <w:sz w:val="18"/>
                <w:szCs w:val="18"/>
              </w:rPr>
              <w:t xml:space="preserve">Superficies aménagées </w:t>
            </w:r>
          </w:p>
          <w:p w:rsidR="00674D6B" w:rsidRPr="0060566C" w:rsidRDefault="00820E2E" w:rsidP="00157035">
            <w:pPr>
              <w:numPr>
                <w:ilvl w:val="0"/>
                <w:numId w:val="80"/>
              </w:numPr>
              <w:ind w:left="0" w:right="57"/>
              <w:jc w:val="both"/>
              <w:rPr>
                <w:sz w:val="18"/>
                <w:szCs w:val="18"/>
              </w:rPr>
            </w:pPr>
            <w:r w:rsidRPr="0060566C">
              <w:rPr>
                <w:sz w:val="18"/>
                <w:szCs w:val="18"/>
              </w:rPr>
              <w:t xml:space="preserve">Superficies abandonnées </w:t>
            </w:r>
          </w:p>
        </w:tc>
        <w:tc>
          <w:tcPr>
            <w:tcW w:w="2810" w:type="dxa"/>
            <w:vAlign w:val="center"/>
          </w:tcPr>
          <w:p w:rsidR="006F1D16" w:rsidRPr="00CD66A1" w:rsidRDefault="006F1D16" w:rsidP="004F4212">
            <w:pPr>
              <w:ind w:right="57"/>
              <w:rPr>
                <w:sz w:val="20"/>
                <w:szCs w:val="20"/>
              </w:rPr>
            </w:pPr>
            <w:r w:rsidRPr="00CD66A1">
              <w:rPr>
                <w:sz w:val="20"/>
                <w:szCs w:val="20"/>
              </w:rPr>
              <w:t>Fiches d’analyse ;</w:t>
            </w:r>
          </w:p>
          <w:p w:rsidR="006F1D16" w:rsidRPr="00CD66A1" w:rsidRDefault="006F1D16" w:rsidP="004F4212">
            <w:pPr>
              <w:ind w:right="57"/>
              <w:rPr>
                <w:sz w:val="20"/>
                <w:szCs w:val="20"/>
              </w:rPr>
            </w:pPr>
            <w:r w:rsidRPr="00CD66A1">
              <w:rPr>
                <w:sz w:val="20"/>
                <w:szCs w:val="20"/>
              </w:rPr>
              <w:t>Rapports de mesures</w:t>
            </w:r>
          </w:p>
          <w:p w:rsidR="006F1D16" w:rsidRPr="00CD66A1" w:rsidRDefault="006F1D16" w:rsidP="004F4212">
            <w:pPr>
              <w:ind w:right="57"/>
              <w:rPr>
                <w:sz w:val="20"/>
                <w:szCs w:val="20"/>
              </w:rPr>
            </w:pPr>
            <w:r w:rsidRPr="00CD66A1">
              <w:rPr>
                <w:sz w:val="20"/>
                <w:szCs w:val="20"/>
              </w:rPr>
              <w:t>Observation (Pas de présence d’affaissement ou d’érosion au niveau du site ;</w:t>
            </w:r>
          </w:p>
          <w:p w:rsidR="006F1D16" w:rsidRPr="00CD66A1" w:rsidRDefault="006F1D16" w:rsidP="004F4212">
            <w:pPr>
              <w:ind w:right="57"/>
              <w:rPr>
                <w:sz w:val="20"/>
                <w:szCs w:val="20"/>
              </w:rPr>
            </w:pPr>
            <w:r w:rsidRPr="00CD66A1">
              <w:rPr>
                <w:sz w:val="20"/>
                <w:szCs w:val="20"/>
              </w:rPr>
              <w:t>Présence d’une demi-douzaine de futs pour la collecte des déchets, Quantité d’hydrocarbure stocké, etc.…)</w:t>
            </w:r>
          </w:p>
        </w:tc>
        <w:tc>
          <w:tcPr>
            <w:tcW w:w="1546" w:type="dxa"/>
            <w:vAlign w:val="center"/>
          </w:tcPr>
          <w:p w:rsidR="006F1D16" w:rsidRPr="0060566C" w:rsidRDefault="006F1D16" w:rsidP="004F4212">
            <w:pPr>
              <w:ind w:right="57"/>
              <w:jc w:val="center"/>
              <w:rPr>
                <w:b/>
                <w:sz w:val="18"/>
                <w:szCs w:val="18"/>
              </w:rPr>
            </w:pPr>
            <w:r w:rsidRPr="0060566C">
              <w:rPr>
                <w:b/>
                <w:sz w:val="18"/>
                <w:szCs w:val="18"/>
              </w:rPr>
              <w:t>Spécialiste environnement de la MC</w:t>
            </w:r>
          </w:p>
          <w:p w:rsidR="006F1D16" w:rsidRPr="0060566C" w:rsidRDefault="006F1D16" w:rsidP="004F4212">
            <w:pPr>
              <w:ind w:right="57"/>
              <w:jc w:val="center"/>
              <w:rPr>
                <w:b/>
                <w:sz w:val="18"/>
                <w:szCs w:val="18"/>
              </w:rPr>
            </w:pPr>
          </w:p>
          <w:p w:rsidR="006F1D16" w:rsidRPr="0060566C" w:rsidRDefault="006F1D16" w:rsidP="004F4212">
            <w:pPr>
              <w:ind w:right="57"/>
              <w:jc w:val="center"/>
              <w:rPr>
                <w:b/>
                <w:sz w:val="18"/>
                <w:szCs w:val="18"/>
              </w:rPr>
            </w:pPr>
            <w:r w:rsidRPr="0060566C">
              <w:rPr>
                <w:b/>
                <w:sz w:val="18"/>
                <w:szCs w:val="18"/>
              </w:rPr>
              <w:t>Promoteur</w:t>
            </w:r>
          </w:p>
        </w:tc>
        <w:tc>
          <w:tcPr>
            <w:tcW w:w="1364" w:type="dxa"/>
            <w:vAlign w:val="center"/>
          </w:tcPr>
          <w:p w:rsidR="006F1D16" w:rsidRPr="00CD66A1" w:rsidRDefault="006F1D16" w:rsidP="004F4212">
            <w:pPr>
              <w:ind w:right="57"/>
              <w:jc w:val="center"/>
              <w:rPr>
                <w:b/>
                <w:sz w:val="20"/>
                <w:szCs w:val="20"/>
              </w:rPr>
            </w:pPr>
            <w:r w:rsidRPr="00CD66A1">
              <w:rPr>
                <w:b/>
                <w:sz w:val="20"/>
                <w:szCs w:val="20"/>
              </w:rPr>
              <w:t>Annuelle</w:t>
            </w:r>
          </w:p>
        </w:tc>
        <w:tc>
          <w:tcPr>
            <w:tcW w:w="1336" w:type="dxa"/>
            <w:vAlign w:val="center"/>
          </w:tcPr>
          <w:p w:rsidR="006F1D16" w:rsidRPr="00CD66A1" w:rsidRDefault="006F1D16" w:rsidP="004F4212">
            <w:pPr>
              <w:ind w:right="57"/>
              <w:jc w:val="center"/>
              <w:rPr>
                <w:b/>
                <w:sz w:val="20"/>
                <w:szCs w:val="20"/>
              </w:rPr>
            </w:pPr>
            <w:r w:rsidRPr="00CD66A1">
              <w:rPr>
                <w:b/>
                <w:sz w:val="20"/>
                <w:szCs w:val="20"/>
              </w:rPr>
              <w:t>Conservation des sols</w:t>
            </w:r>
          </w:p>
        </w:tc>
      </w:tr>
      <w:tr w:rsidR="006F1D16" w:rsidRPr="00CD66A1" w:rsidTr="00EC7847">
        <w:trPr>
          <w:trHeight w:val="70"/>
          <w:jc w:val="center"/>
        </w:trPr>
        <w:tc>
          <w:tcPr>
            <w:tcW w:w="1555" w:type="dxa"/>
            <w:shd w:val="clear" w:color="auto" w:fill="FFFFFF" w:themeFill="background1"/>
            <w:vAlign w:val="center"/>
          </w:tcPr>
          <w:p w:rsidR="006F1D16" w:rsidRPr="00CD66A1" w:rsidRDefault="006F1D16" w:rsidP="004F4212">
            <w:pPr>
              <w:ind w:right="57"/>
              <w:jc w:val="center"/>
              <w:rPr>
                <w:b/>
                <w:sz w:val="20"/>
                <w:szCs w:val="20"/>
              </w:rPr>
            </w:pPr>
            <w:r w:rsidRPr="00CD66A1">
              <w:rPr>
                <w:b/>
                <w:sz w:val="20"/>
                <w:szCs w:val="20"/>
              </w:rPr>
              <w:t>Eaux</w:t>
            </w:r>
          </w:p>
        </w:tc>
        <w:tc>
          <w:tcPr>
            <w:tcW w:w="1311" w:type="dxa"/>
            <w:vAlign w:val="center"/>
          </w:tcPr>
          <w:p w:rsidR="006F1D16" w:rsidRPr="00CD66A1" w:rsidRDefault="006F1D16" w:rsidP="004F4212">
            <w:pPr>
              <w:ind w:right="57"/>
              <w:jc w:val="center"/>
              <w:rPr>
                <w:b/>
                <w:sz w:val="20"/>
                <w:szCs w:val="20"/>
              </w:rPr>
            </w:pPr>
            <w:r w:rsidRPr="00CD66A1">
              <w:rPr>
                <w:b/>
                <w:sz w:val="20"/>
                <w:szCs w:val="20"/>
              </w:rPr>
              <w:t>Qualité de l’eau</w:t>
            </w:r>
          </w:p>
        </w:tc>
        <w:tc>
          <w:tcPr>
            <w:tcW w:w="4074" w:type="dxa"/>
          </w:tcPr>
          <w:p w:rsidR="0060566C" w:rsidRPr="0060566C" w:rsidRDefault="00B826A9" w:rsidP="00157035">
            <w:pPr>
              <w:numPr>
                <w:ilvl w:val="0"/>
                <w:numId w:val="83"/>
              </w:numPr>
              <w:ind w:left="0" w:right="57"/>
              <w:jc w:val="both"/>
              <w:rPr>
                <w:sz w:val="18"/>
                <w:szCs w:val="18"/>
              </w:rPr>
            </w:pPr>
            <w:r w:rsidRPr="0060566C">
              <w:rPr>
                <w:sz w:val="18"/>
                <w:szCs w:val="18"/>
              </w:rPr>
              <w:t xml:space="preserve">Analyse physico-chimique et bactériologique de l'eau (pH, DBO, DCO métaux lourds, germes, pesticides, nitrates, ...) </w:t>
            </w:r>
          </w:p>
          <w:p w:rsidR="00B826A9" w:rsidRPr="0060566C" w:rsidRDefault="00491A4A" w:rsidP="00157035">
            <w:pPr>
              <w:numPr>
                <w:ilvl w:val="0"/>
                <w:numId w:val="83"/>
              </w:numPr>
              <w:ind w:left="0" w:right="57"/>
              <w:jc w:val="both"/>
              <w:rPr>
                <w:sz w:val="18"/>
                <w:szCs w:val="18"/>
              </w:rPr>
            </w:pPr>
            <w:r w:rsidRPr="0060566C">
              <w:rPr>
                <w:sz w:val="18"/>
                <w:szCs w:val="18"/>
              </w:rPr>
              <w:t>-</w:t>
            </w:r>
            <w:r w:rsidR="00B826A9" w:rsidRPr="0060566C">
              <w:rPr>
                <w:sz w:val="18"/>
                <w:szCs w:val="18"/>
              </w:rPr>
              <w:t>Po</w:t>
            </w:r>
            <w:r w:rsidR="0060566C" w:rsidRPr="0060566C">
              <w:rPr>
                <w:sz w:val="18"/>
                <w:szCs w:val="18"/>
              </w:rPr>
              <w:t>llution</w:t>
            </w:r>
          </w:p>
          <w:p w:rsidR="00B826A9" w:rsidRPr="0060566C" w:rsidRDefault="00491A4A" w:rsidP="00157035">
            <w:pPr>
              <w:numPr>
                <w:ilvl w:val="0"/>
                <w:numId w:val="83"/>
              </w:numPr>
              <w:ind w:left="0" w:right="57"/>
              <w:jc w:val="both"/>
              <w:rPr>
                <w:sz w:val="18"/>
                <w:szCs w:val="18"/>
              </w:rPr>
            </w:pPr>
            <w:r w:rsidRPr="0060566C">
              <w:rPr>
                <w:sz w:val="18"/>
                <w:szCs w:val="18"/>
              </w:rPr>
              <w:t xml:space="preserve">   -</w:t>
            </w:r>
            <w:r w:rsidR="00B826A9" w:rsidRPr="0060566C">
              <w:rPr>
                <w:sz w:val="18"/>
                <w:szCs w:val="18"/>
              </w:rPr>
              <w:t xml:space="preserve">Eutrophisation </w:t>
            </w:r>
          </w:p>
          <w:p w:rsidR="00B826A9" w:rsidRPr="0060566C" w:rsidRDefault="00EA6D4C" w:rsidP="00157035">
            <w:pPr>
              <w:numPr>
                <w:ilvl w:val="0"/>
                <w:numId w:val="83"/>
              </w:numPr>
              <w:ind w:left="0" w:right="57"/>
              <w:jc w:val="both"/>
              <w:rPr>
                <w:sz w:val="18"/>
                <w:szCs w:val="18"/>
              </w:rPr>
            </w:pPr>
            <w:r w:rsidRPr="0060566C">
              <w:rPr>
                <w:sz w:val="18"/>
                <w:szCs w:val="18"/>
              </w:rPr>
              <w:t xml:space="preserve">   -</w:t>
            </w:r>
            <w:r w:rsidR="00B826A9" w:rsidRPr="0060566C">
              <w:rPr>
                <w:sz w:val="18"/>
                <w:szCs w:val="18"/>
              </w:rPr>
              <w:t xml:space="preserve">Sédimentation </w:t>
            </w:r>
          </w:p>
          <w:p w:rsidR="00B826A9" w:rsidRPr="0060566C" w:rsidRDefault="00A41BDD" w:rsidP="00157035">
            <w:pPr>
              <w:numPr>
                <w:ilvl w:val="0"/>
                <w:numId w:val="83"/>
              </w:numPr>
              <w:ind w:left="0" w:right="57"/>
              <w:jc w:val="both"/>
              <w:rPr>
                <w:sz w:val="18"/>
                <w:szCs w:val="18"/>
              </w:rPr>
            </w:pPr>
            <w:r w:rsidRPr="0060566C">
              <w:rPr>
                <w:sz w:val="18"/>
                <w:szCs w:val="18"/>
              </w:rPr>
              <w:t xml:space="preserve">   -</w:t>
            </w:r>
            <w:r w:rsidR="00B826A9" w:rsidRPr="0060566C">
              <w:rPr>
                <w:sz w:val="18"/>
                <w:szCs w:val="18"/>
              </w:rPr>
              <w:t xml:space="preserve">Régime hydrologique </w:t>
            </w:r>
          </w:p>
          <w:p w:rsidR="00B826A9" w:rsidRPr="0060566C" w:rsidRDefault="00A41BDD" w:rsidP="00157035">
            <w:pPr>
              <w:numPr>
                <w:ilvl w:val="0"/>
                <w:numId w:val="83"/>
              </w:numPr>
              <w:ind w:left="0" w:right="57"/>
              <w:jc w:val="both"/>
              <w:rPr>
                <w:sz w:val="18"/>
                <w:szCs w:val="18"/>
              </w:rPr>
            </w:pPr>
            <w:r w:rsidRPr="0060566C">
              <w:rPr>
                <w:sz w:val="18"/>
                <w:szCs w:val="18"/>
              </w:rPr>
              <w:t xml:space="preserve">   -</w:t>
            </w:r>
            <w:r w:rsidR="00B826A9" w:rsidRPr="0060566C">
              <w:rPr>
                <w:sz w:val="18"/>
                <w:szCs w:val="18"/>
              </w:rPr>
              <w:t xml:space="preserve">Etat des inondations </w:t>
            </w:r>
          </w:p>
          <w:p w:rsidR="00B826A9" w:rsidRPr="0060566C" w:rsidRDefault="00A41BDD" w:rsidP="00157035">
            <w:pPr>
              <w:numPr>
                <w:ilvl w:val="0"/>
                <w:numId w:val="83"/>
              </w:numPr>
              <w:ind w:left="0" w:right="57"/>
              <w:jc w:val="both"/>
              <w:rPr>
                <w:sz w:val="18"/>
                <w:szCs w:val="18"/>
              </w:rPr>
            </w:pPr>
            <w:r w:rsidRPr="0060566C">
              <w:rPr>
                <w:sz w:val="18"/>
                <w:szCs w:val="18"/>
              </w:rPr>
              <w:t xml:space="preserve">   -</w:t>
            </w:r>
            <w:r w:rsidR="00B826A9" w:rsidRPr="0060566C">
              <w:rPr>
                <w:sz w:val="18"/>
                <w:szCs w:val="18"/>
              </w:rPr>
              <w:t xml:space="preserve">Suivi des nappes </w:t>
            </w:r>
          </w:p>
          <w:p w:rsidR="006F1D16" w:rsidRPr="0060566C" w:rsidRDefault="00A41BDD" w:rsidP="00083B97">
            <w:pPr>
              <w:ind w:right="57"/>
              <w:jc w:val="both"/>
              <w:rPr>
                <w:sz w:val="18"/>
                <w:szCs w:val="18"/>
              </w:rPr>
            </w:pPr>
            <w:r w:rsidRPr="0060566C">
              <w:rPr>
                <w:sz w:val="18"/>
                <w:szCs w:val="18"/>
              </w:rPr>
              <w:t xml:space="preserve">   -</w:t>
            </w:r>
            <w:r w:rsidR="00B826A9" w:rsidRPr="0060566C">
              <w:rPr>
                <w:sz w:val="18"/>
                <w:szCs w:val="18"/>
              </w:rPr>
              <w:t xml:space="preserve">Suivi de la végétation aquatique (typha ; etc.) </w:t>
            </w:r>
          </w:p>
        </w:tc>
        <w:tc>
          <w:tcPr>
            <w:tcW w:w="2810" w:type="dxa"/>
            <w:vAlign w:val="center"/>
          </w:tcPr>
          <w:p w:rsidR="006F1D16" w:rsidRPr="00CD66A1" w:rsidRDefault="006F1D16" w:rsidP="004F4212">
            <w:pPr>
              <w:ind w:right="57"/>
              <w:jc w:val="center"/>
              <w:rPr>
                <w:sz w:val="20"/>
                <w:szCs w:val="20"/>
              </w:rPr>
            </w:pPr>
            <w:r w:rsidRPr="00CD66A1">
              <w:rPr>
                <w:sz w:val="20"/>
                <w:szCs w:val="20"/>
              </w:rPr>
              <w:t>Observations</w:t>
            </w:r>
          </w:p>
          <w:p w:rsidR="006F1D16" w:rsidRPr="00CD66A1" w:rsidRDefault="006F1D16" w:rsidP="004F4212">
            <w:pPr>
              <w:ind w:right="57"/>
              <w:jc w:val="center"/>
              <w:rPr>
                <w:sz w:val="20"/>
                <w:szCs w:val="20"/>
              </w:rPr>
            </w:pPr>
          </w:p>
          <w:p w:rsidR="006F1D16" w:rsidRPr="00CD66A1" w:rsidRDefault="006F1D16" w:rsidP="004F4212">
            <w:pPr>
              <w:ind w:right="57"/>
              <w:jc w:val="center"/>
              <w:rPr>
                <w:sz w:val="20"/>
                <w:szCs w:val="20"/>
              </w:rPr>
            </w:pPr>
            <w:r w:rsidRPr="00CD66A1">
              <w:rPr>
                <w:sz w:val="20"/>
                <w:szCs w:val="20"/>
              </w:rPr>
              <w:t>Fiches d’analyse ;</w:t>
            </w:r>
          </w:p>
          <w:p w:rsidR="006F1D16" w:rsidRPr="00CD66A1" w:rsidRDefault="006F1D16" w:rsidP="004F4212">
            <w:pPr>
              <w:ind w:right="57"/>
              <w:jc w:val="center"/>
              <w:rPr>
                <w:sz w:val="20"/>
                <w:szCs w:val="20"/>
              </w:rPr>
            </w:pPr>
          </w:p>
          <w:p w:rsidR="006F1D16" w:rsidRPr="00CD66A1" w:rsidRDefault="006F1D16" w:rsidP="004F4212">
            <w:pPr>
              <w:ind w:right="57"/>
              <w:jc w:val="center"/>
              <w:rPr>
                <w:sz w:val="20"/>
                <w:szCs w:val="20"/>
              </w:rPr>
            </w:pPr>
            <w:r w:rsidRPr="00CD66A1">
              <w:rPr>
                <w:sz w:val="20"/>
                <w:szCs w:val="20"/>
              </w:rPr>
              <w:t>Fiches de dénombrements ;</w:t>
            </w:r>
          </w:p>
          <w:p w:rsidR="006F1D16" w:rsidRPr="00CD66A1" w:rsidRDefault="006F1D16" w:rsidP="004F4212">
            <w:pPr>
              <w:ind w:right="57"/>
              <w:jc w:val="center"/>
              <w:rPr>
                <w:sz w:val="20"/>
                <w:szCs w:val="20"/>
              </w:rPr>
            </w:pPr>
          </w:p>
          <w:p w:rsidR="006F1D16" w:rsidRPr="00CD66A1" w:rsidRDefault="006F1D16" w:rsidP="004F4212">
            <w:pPr>
              <w:ind w:right="57"/>
              <w:jc w:val="center"/>
              <w:rPr>
                <w:sz w:val="20"/>
                <w:szCs w:val="20"/>
              </w:rPr>
            </w:pPr>
            <w:r w:rsidRPr="00CD66A1">
              <w:rPr>
                <w:sz w:val="20"/>
                <w:szCs w:val="20"/>
              </w:rPr>
              <w:t>Rapports de mesurage</w:t>
            </w:r>
          </w:p>
        </w:tc>
        <w:tc>
          <w:tcPr>
            <w:tcW w:w="1546" w:type="dxa"/>
            <w:vAlign w:val="center"/>
          </w:tcPr>
          <w:p w:rsidR="006F1D16" w:rsidRPr="0060566C" w:rsidRDefault="006F1D16" w:rsidP="004F4212">
            <w:pPr>
              <w:ind w:right="57"/>
              <w:jc w:val="center"/>
              <w:rPr>
                <w:b/>
                <w:sz w:val="18"/>
                <w:szCs w:val="18"/>
              </w:rPr>
            </w:pPr>
            <w:r w:rsidRPr="0060566C">
              <w:rPr>
                <w:b/>
                <w:sz w:val="18"/>
                <w:szCs w:val="18"/>
              </w:rPr>
              <w:t>Entreprise avec la validation du spécialiste environnement de la MC</w:t>
            </w:r>
          </w:p>
          <w:p w:rsidR="006F1D16" w:rsidRPr="0060566C" w:rsidRDefault="006F1D16" w:rsidP="004F4212">
            <w:pPr>
              <w:ind w:right="57"/>
              <w:jc w:val="center"/>
              <w:rPr>
                <w:b/>
                <w:sz w:val="18"/>
                <w:szCs w:val="18"/>
              </w:rPr>
            </w:pPr>
          </w:p>
          <w:p w:rsidR="006F1D16" w:rsidRPr="0060566C" w:rsidRDefault="0060566C" w:rsidP="0060566C">
            <w:pPr>
              <w:ind w:right="57"/>
              <w:jc w:val="center"/>
              <w:rPr>
                <w:b/>
                <w:sz w:val="18"/>
                <w:szCs w:val="18"/>
              </w:rPr>
            </w:pPr>
            <w:r w:rsidRPr="0060566C">
              <w:rPr>
                <w:b/>
                <w:sz w:val="18"/>
                <w:szCs w:val="18"/>
              </w:rPr>
              <w:t xml:space="preserve">Mission de contrôle </w:t>
            </w:r>
          </w:p>
          <w:p w:rsidR="006F1D16" w:rsidRPr="0060566C" w:rsidRDefault="006F1D16" w:rsidP="004F4212">
            <w:pPr>
              <w:ind w:right="57"/>
              <w:jc w:val="center"/>
              <w:rPr>
                <w:b/>
                <w:sz w:val="18"/>
                <w:szCs w:val="18"/>
              </w:rPr>
            </w:pPr>
            <w:r w:rsidRPr="0060566C">
              <w:rPr>
                <w:b/>
                <w:sz w:val="18"/>
                <w:szCs w:val="18"/>
              </w:rPr>
              <w:t>Promoteur</w:t>
            </w:r>
          </w:p>
        </w:tc>
        <w:tc>
          <w:tcPr>
            <w:tcW w:w="1364" w:type="dxa"/>
            <w:vAlign w:val="center"/>
          </w:tcPr>
          <w:p w:rsidR="006F1D16" w:rsidRPr="00CD66A1" w:rsidRDefault="006F1D16" w:rsidP="004F4212">
            <w:pPr>
              <w:ind w:right="57"/>
              <w:jc w:val="center"/>
              <w:rPr>
                <w:b/>
                <w:sz w:val="20"/>
                <w:szCs w:val="20"/>
              </w:rPr>
            </w:pPr>
            <w:r w:rsidRPr="00CD66A1">
              <w:rPr>
                <w:b/>
                <w:sz w:val="20"/>
                <w:szCs w:val="20"/>
              </w:rPr>
              <w:t>Mensuelle</w:t>
            </w:r>
          </w:p>
        </w:tc>
        <w:tc>
          <w:tcPr>
            <w:tcW w:w="1336" w:type="dxa"/>
            <w:vAlign w:val="center"/>
          </w:tcPr>
          <w:p w:rsidR="006F1D16" w:rsidRPr="00CD66A1" w:rsidRDefault="006F1D16" w:rsidP="004F4212">
            <w:pPr>
              <w:ind w:right="57"/>
              <w:jc w:val="center"/>
              <w:rPr>
                <w:b/>
                <w:sz w:val="20"/>
                <w:szCs w:val="20"/>
              </w:rPr>
            </w:pPr>
            <w:r w:rsidRPr="00CD66A1">
              <w:rPr>
                <w:b/>
                <w:sz w:val="20"/>
                <w:szCs w:val="20"/>
              </w:rPr>
              <w:t>Respect de la réglementation</w:t>
            </w:r>
          </w:p>
        </w:tc>
      </w:tr>
      <w:tr w:rsidR="00AD6C5B" w:rsidRPr="00CD66A1" w:rsidTr="00AD6C5B">
        <w:trPr>
          <w:jc w:val="center"/>
        </w:trPr>
        <w:tc>
          <w:tcPr>
            <w:tcW w:w="1555" w:type="dxa"/>
            <w:vMerge w:val="restart"/>
            <w:shd w:val="clear" w:color="auto" w:fill="FFFFFF" w:themeFill="background1"/>
            <w:vAlign w:val="center"/>
          </w:tcPr>
          <w:p w:rsidR="00AD6C5B" w:rsidRPr="00CD66A1" w:rsidRDefault="00AD6C5B" w:rsidP="00AD6C5B">
            <w:pPr>
              <w:ind w:right="57"/>
              <w:jc w:val="center"/>
              <w:rPr>
                <w:b/>
                <w:sz w:val="20"/>
                <w:szCs w:val="20"/>
              </w:rPr>
            </w:pPr>
            <w:r>
              <w:rPr>
                <w:b/>
                <w:sz w:val="20"/>
                <w:szCs w:val="20"/>
              </w:rPr>
              <w:t>Vegetation</w:t>
            </w:r>
          </w:p>
        </w:tc>
        <w:tc>
          <w:tcPr>
            <w:tcW w:w="1311" w:type="dxa"/>
            <w:vAlign w:val="center"/>
          </w:tcPr>
          <w:p w:rsidR="00AD6C5B" w:rsidRPr="00CD66A1" w:rsidRDefault="00AD6C5B" w:rsidP="004F4212">
            <w:pPr>
              <w:ind w:right="57"/>
              <w:jc w:val="center"/>
              <w:rPr>
                <w:b/>
                <w:sz w:val="20"/>
                <w:szCs w:val="20"/>
              </w:rPr>
            </w:pPr>
            <w:r w:rsidRPr="00CD66A1">
              <w:rPr>
                <w:b/>
                <w:sz w:val="20"/>
                <w:szCs w:val="20"/>
              </w:rPr>
              <w:t>Intensification des culture</w:t>
            </w:r>
          </w:p>
        </w:tc>
        <w:tc>
          <w:tcPr>
            <w:tcW w:w="4074" w:type="dxa"/>
            <w:vAlign w:val="center"/>
          </w:tcPr>
          <w:p w:rsidR="00AD6C5B" w:rsidRPr="0060566C" w:rsidRDefault="00AD6C5B" w:rsidP="00157035">
            <w:pPr>
              <w:numPr>
                <w:ilvl w:val="0"/>
                <w:numId w:val="83"/>
              </w:numPr>
              <w:ind w:left="0" w:right="57"/>
              <w:jc w:val="both"/>
              <w:rPr>
                <w:sz w:val="18"/>
                <w:szCs w:val="18"/>
              </w:rPr>
            </w:pPr>
            <w:r w:rsidRPr="0060566C">
              <w:rPr>
                <w:sz w:val="18"/>
                <w:szCs w:val="18"/>
              </w:rPr>
              <w:t xml:space="preserve">Superficies cultivées et production </w:t>
            </w:r>
          </w:p>
          <w:p w:rsidR="00AD6C5B" w:rsidRPr="0060566C" w:rsidRDefault="00AD6C5B" w:rsidP="00157035">
            <w:pPr>
              <w:numPr>
                <w:ilvl w:val="0"/>
                <w:numId w:val="83"/>
              </w:numPr>
              <w:ind w:left="0" w:right="57"/>
              <w:jc w:val="both"/>
              <w:rPr>
                <w:sz w:val="18"/>
                <w:szCs w:val="18"/>
              </w:rPr>
            </w:pPr>
            <w:r w:rsidRPr="0060566C">
              <w:rPr>
                <w:sz w:val="18"/>
                <w:szCs w:val="18"/>
              </w:rPr>
              <w:t xml:space="preserve">Pratiques culturales </w:t>
            </w:r>
          </w:p>
          <w:p w:rsidR="00AD6C5B" w:rsidRPr="0060566C" w:rsidRDefault="00AD6C5B" w:rsidP="00157035">
            <w:pPr>
              <w:numPr>
                <w:ilvl w:val="0"/>
                <w:numId w:val="83"/>
              </w:numPr>
              <w:ind w:left="0" w:right="57"/>
              <w:jc w:val="both"/>
              <w:rPr>
                <w:sz w:val="18"/>
                <w:szCs w:val="18"/>
              </w:rPr>
            </w:pPr>
            <w:r w:rsidRPr="0060566C">
              <w:rPr>
                <w:sz w:val="18"/>
                <w:szCs w:val="18"/>
              </w:rPr>
              <w:t xml:space="preserve">Adoption des techniques de production </w:t>
            </w:r>
          </w:p>
          <w:p w:rsidR="00AD6C5B" w:rsidRPr="0060566C" w:rsidRDefault="00AD6C5B" w:rsidP="00157035">
            <w:pPr>
              <w:numPr>
                <w:ilvl w:val="0"/>
                <w:numId w:val="83"/>
              </w:numPr>
              <w:ind w:left="0" w:right="57"/>
              <w:jc w:val="both"/>
              <w:rPr>
                <w:sz w:val="18"/>
                <w:szCs w:val="18"/>
              </w:rPr>
            </w:pPr>
            <w:r w:rsidRPr="0060566C">
              <w:rPr>
                <w:sz w:val="18"/>
                <w:szCs w:val="18"/>
              </w:rPr>
              <w:t xml:space="preserve">Taux de transformation produits agricoles </w:t>
            </w:r>
          </w:p>
          <w:p w:rsidR="00AD6C5B" w:rsidRPr="0060566C" w:rsidRDefault="00AD6C5B" w:rsidP="00157035">
            <w:pPr>
              <w:numPr>
                <w:ilvl w:val="0"/>
                <w:numId w:val="83"/>
              </w:numPr>
              <w:ind w:left="0" w:right="57"/>
              <w:jc w:val="both"/>
              <w:rPr>
                <w:sz w:val="18"/>
                <w:szCs w:val="18"/>
              </w:rPr>
            </w:pPr>
            <w:r w:rsidRPr="0060566C">
              <w:rPr>
                <w:sz w:val="18"/>
                <w:szCs w:val="18"/>
              </w:rPr>
              <w:t xml:space="preserve">Volume d'intrants consommés (pesticides, herbicides, engrais) </w:t>
            </w:r>
          </w:p>
          <w:p w:rsidR="00AD6C5B" w:rsidRPr="0060566C" w:rsidRDefault="00AD6C5B" w:rsidP="00157035">
            <w:pPr>
              <w:numPr>
                <w:ilvl w:val="0"/>
                <w:numId w:val="83"/>
              </w:numPr>
              <w:ind w:left="0" w:right="57"/>
              <w:jc w:val="both"/>
              <w:rPr>
                <w:sz w:val="18"/>
                <w:szCs w:val="18"/>
              </w:rPr>
            </w:pPr>
            <w:r w:rsidRPr="0060566C">
              <w:rPr>
                <w:sz w:val="18"/>
                <w:szCs w:val="18"/>
              </w:rPr>
              <w:t xml:space="preserve">Taux d'adoption des méthodes de lutte intégrée Consommation de fumure organique </w:t>
            </w:r>
          </w:p>
          <w:p w:rsidR="00AD6C5B" w:rsidRPr="0060566C" w:rsidRDefault="00AD6C5B" w:rsidP="00157035">
            <w:pPr>
              <w:numPr>
                <w:ilvl w:val="0"/>
                <w:numId w:val="83"/>
              </w:numPr>
              <w:ind w:left="0" w:right="57"/>
              <w:jc w:val="both"/>
              <w:rPr>
                <w:sz w:val="18"/>
                <w:szCs w:val="18"/>
              </w:rPr>
            </w:pPr>
            <w:r w:rsidRPr="0060566C">
              <w:rPr>
                <w:sz w:val="18"/>
                <w:szCs w:val="18"/>
              </w:rPr>
              <w:t xml:space="preserve">Superficies en culture biologique </w:t>
            </w:r>
          </w:p>
          <w:p w:rsidR="00AD6C5B" w:rsidRPr="0060566C" w:rsidRDefault="00AD6C5B" w:rsidP="00157035">
            <w:pPr>
              <w:numPr>
                <w:ilvl w:val="0"/>
                <w:numId w:val="83"/>
              </w:numPr>
              <w:ind w:left="0" w:right="57"/>
              <w:jc w:val="both"/>
              <w:rPr>
                <w:sz w:val="18"/>
                <w:szCs w:val="18"/>
              </w:rPr>
            </w:pPr>
            <w:r w:rsidRPr="0060566C">
              <w:rPr>
                <w:sz w:val="18"/>
                <w:szCs w:val="18"/>
              </w:rPr>
              <w:t xml:space="preserve">Gestion des déchets (liquides, solides) issus activités transformation </w:t>
            </w:r>
          </w:p>
          <w:p w:rsidR="00AD6C5B" w:rsidRPr="0060566C" w:rsidRDefault="00AD6C5B" w:rsidP="00157035">
            <w:pPr>
              <w:numPr>
                <w:ilvl w:val="0"/>
                <w:numId w:val="83"/>
              </w:numPr>
              <w:ind w:left="0" w:right="57"/>
              <w:jc w:val="both"/>
              <w:rPr>
                <w:sz w:val="18"/>
                <w:szCs w:val="18"/>
              </w:rPr>
            </w:pPr>
            <w:r w:rsidRPr="0060566C">
              <w:rPr>
                <w:sz w:val="18"/>
                <w:szCs w:val="18"/>
              </w:rPr>
              <w:t xml:space="preserve">Taux de valorisation des sous-produits des industries de transformation. </w:t>
            </w:r>
          </w:p>
        </w:tc>
        <w:tc>
          <w:tcPr>
            <w:tcW w:w="2810" w:type="dxa"/>
            <w:vAlign w:val="center"/>
          </w:tcPr>
          <w:p w:rsidR="00AD6C5B" w:rsidRPr="00CD66A1" w:rsidRDefault="00AD6C5B" w:rsidP="004F4212">
            <w:pPr>
              <w:ind w:right="57"/>
              <w:jc w:val="center"/>
              <w:rPr>
                <w:sz w:val="20"/>
                <w:szCs w:val="20"/>
              </w:rPr>
            </w:pPr>
            <w:r w:rsidRPr="00CD66A1">
              <w:rPr>
                <w:sz w:val="20"/>
                <w:szCs w:val="20"/>
              </w:rPr>
              <w:t>Rapports de mesurage</w:t>
            </w:r>
          </w:p>
        </w:tc>
        <w:tc>
          <w:tcPr>
            <w:tcW w:w="1546" w:type="dxa"/>
            <w:vMerge w:val="restart"/>
            <w:vAlign w:val="center"/>
          </w:tcPr>
          <w:p w:rsidR="00AD6C5B" w:rsidRPr="0060566C" w:rsidRDefault="00AD6C5B" w:rsidP="004F4212">
            <w:pPr>
              <w:ind w:right="57"/>
              <w:jc w:val="center"/>
              <w:rPr>
                <w:b/>
                <w:sz w:val="18"/>
                <w:szCs w:val="18"/>
              </w:rPr>
            </w:pPr>
            <w:r w:rsidRPr="0060566C">
              <w:rPr>
                <w:b/>
                <w:sz w:val="18"/>
                <w:szCs w:val="18"/>
              </w:rPr>
              <w:t xml:space="preserve">Responsable environnement de l’entreprise, </w:t>
            </w:r>
          </w:p>
          <w:p w:rsidR="00AD6C5B" w:rsidRPr="0060566C" w:rsidRDefault="00AD6C5B" w:rsidP="004F4212">
            <w:pPr>
              <w:ind w:right="57"/>
              <w:jc w:val="center"/>
              <w:rPr>
                <w:b/>
                <w:sz w:val="18"/>
                <w:szCs w:val="18"/>
              </w:rPr>
            </w:pPr>
            <w:r w:rsidRPr="0060566C">
              <w:rPr>
                <w:b/>
                <w:sz w:val="18"/>
                <w:szCs w:val="18"/>
              </w:rPr>
              <w:t>Mission de contrôle,</w:t>
            </w:r>
          </w:p>
          <w:p w:rsidR="00AD6C5B" w:rsidRPr="0060566C" w:rsidRDefault="00AD6C5B" w:rsidP="004F4212">
            <w:pPr>
              <w:ind w:right="57"/>
              <w:rPr>
                <w:b/>
                <w:sz w:val="18"/>
                <w:szCs w:val="18"/>
              </w:rPr>
            </w:pPr>
            <w:r w:rsidRPr="0060566C">
              <w:rPr>
                <w:b/>
                <w:sz w:val="18"/>
                <w:szCs w:val="18"/>
              </w:rPr>
              <w:t>Service des Eaux et foret, Mairies</w:t>
            </w:r>
          </w:p>
        </w:tc>
        <w:tc>
          <w:tcPr>
            <w:tcW w:w="1364" w:type="dxa"/>
            <w:vAlign w:val="center"/>
          </w:tcPr>
          <w:p w:rsidR="00AD6C5B" w:rsidRPr="00CD66A1" w:rsidRDefault="00AD6C5B" w:rsidP="00083B97">
            <w:pPr>
              <w:ind w:right="57"/>
              <w:rPr>
                <w:b/>
                <w:sz w:val="20"/>
                <w:szCs w:val="20"/>
              </w:rPr>
            </w:pPr>
            <w:r w:rsidRPr="00CD66A1">
              <w:rPr>
                <w:b/>
                <w:sz w:val="20"/>
                <w:szCs w:val="20"/>
              </w:rPr>
              <w:t>Trimestrielle</w:t>
            </w:r>
            <w:r w:rsidRPr="00CD66A1" w:rsidDel="00D65763">
              <w:rPr>
                <w:b/>
                <w:sz w:val="20"/>
                <w:szCs w:val="20"/>
              </w:rPr>
              <w:t xml:space="preserve"> </w:t>
            </w:r>
          </w:p>
        </w:tc>
        <w:tc>
          <w:tcPr>
            <w:tcW w:w="1336" w:type="dxa"/>
            <w:vAlign w:val="center"/>
          </w:tcPr>
          <w:p w:rsidR="00AD6C5B" w:rsidRPr="00CD66A1" w:rsidRDefault="00AD6C5B" w:rsidP="004F4212">
            <w:pPr>
              <w:ind w:right="57"/>
              <w:jc w:val="center"/>
              <w:rPr>
                <w:b/>
                <w:sz w:val="20"/>
                <w:szCs w:val="20"/>
              </w:rPr>
            </w:pPr>
            <w:r w:rsidRPr="00CD66A1">
              <w:rPr>
                <w:b/>
                <w:sz w:val="20"/>
                <w:szCs w:val="20"/>
              </w:rPr>
              <w:t>Cadre de vie de la population</w:t>
            </w:r>
          </w:p>
        </w:tc>
      </w:tr>
      <w:tr w:rsidR="00AD6C5B" w:rsidRPr="00CD66A1" w:rsidTr="00EC7847">
        <w:trPr>
          <w:jc w:val="center"/>
        </w:trPr>
        <w:tc>
          <w:tcPr>
            <w:tcW w:w="1555" w:type="dxa"/>
            <w:vMerge/>
            <w:shd w:val="clear" w:color="auto" w:fill="FFFFFF" w:themeFill="background1"/>
            <w:vAlign w:val="center"/>
          </w:tcPr>
          <w:p w:rsidR="00AD6C5B" w:rsidRPr="00CD66A1" w:rsidRDefault="00AD6C5B" w:rsidP="004F4212">
            <w:pPr>
              <w:ind w:right="57"/>
              <w:jc w:val="center"/>
              <w:rPr>
                <w:b/>
                <w:sz w:val="20"/>
                <w:szCs w:val="20"/>
              </w:rPr>
            </w:pPr>
          </w:p>
        </w:tc>
        <w:tc>
          <w:tcPr>
            <w:tcW w:w="1311" w:type="dxa"/>
            <w:vAlign w:val="center"/>
          </w:tcPr>
          <w:p w:rsidR="00AD6C5B" w:rsidRPr="00CD66A1" w:rsidRDefault="00AD6C5B" w:rsidP="004F4212">
            <w:pPr>
              <w:ind w:right="57"/>
              <w:jc w:val="center"/>
              <w:rPr>
                <w:b/>
                <w:sz w:val="20"/>
                <w:szCs w:val="20"/>
              </w:rPr>
            </w:pPr>
            <w:r w:rsidRPr="00CD66A1">
              <w:rPr>
                <w:b/>
                <w:sz w:val="20"/>
                <w:szCs w:val="20"/>
              </w:rPr>
              <w:t>Etat de la flore et</w:t>
            </w:r>
          </w:p>
          <w:p w:rsidR="00AD6C5B" w:rsidRPr="00CD66A1" w:rsidRDefault="00AD6C5B" w:rsidP="004F4212">
            <w:pPr>
              <w:ind w:right="57"/>
              <w:jc w:val="center"/>
              <w:rPr>
                <w:b/>
                <w:sz w:val="20"/>
                <w:szCs w:val="20"/>
              </w:rPr>
            </w:pPr>
            <w:r w:rsidRPr="00CD66A1">
              <w:rPr>
                <w:b/>
                <w:sz w:val="20"/>
                <w:szCs w:val="20"/>
              </w:rPr>
              <w:t>Diversité floristique</w:t>
            </w:r>
          </w:p>
        </w:tc>
        <w:tc>
          <w:tcPr>
            <w:tcW w:w="4074" w:type="dxa"/>
          </w:tcPr>
          <w:p w:rsidR="00AD6C5B" w:rsidRPr="0060566C" w:rsidRDefault="00AD6C5B" w:rsidP="00157035">
            <w:pPr>
              <w:numPr>
                <w:ilvl w:val="0"/>
                <w:numId w:val="83"/>
              </w:numPr>
              <w:ind w:left="0" w:right="57"/>
              <w:jc w:val="both"/>
              <w:rPr>
                <w:sz w:val="18"/>
                <w:szCs w:val="18"/>
              </w:rPr>
            </w:pPr>
            <w:r w:rsidRPr="0060566C">
              <w:rPr>
                <w:sz w:val="18"/>
                <w:szCs w:val="18"/>
              </w:rPr>
              <w:t>Faire le rapport du nombre d’arbres abattus et le nombre d’arbres plantés</w:t>
            </w:r>
          </w:p>
          <w:p w:rsidR="00AD6C5B" w:rsidRPr="0060566C" w:rsidRDefault="00AD6C5B" w:rsidP="00157035">
            <w:pPr>
              <w:numPr>
                <w:ilvl w:val="0"/>
                <w:numId w:val="83"/>
              </w:numPr>
              <w:ind w:left="0" w:right="57"/>
              <w:jc w:val="both"/>
              <w:rPr>
                <w:sz w:val="18"/>
                <w:szCs w:val="18"/>
              </w:rPr>
            </w:pPr>
            <w:r w:rsidRPr="0060566C">
              <w:rPr>
                <w:sz w:val="18"/>
                <w:szCs w:val="18"/>
              </w:rPr>
              <w:t>Renseigner la composition spécifique végétale et les différentes espèces protégées</w:t>
            </w:r>
          </w:p>
          <w:p w:rsidR="00AD6C5B" w:rsidRPr="0060566C" w:rsidRDefault="00AD6C5B" w:rsidP="00157035">
            <w:pPr>
              <w:numPr>
                <w:ilvl w:val="0"/>
                <w:numId w:val="83"/>
              </w:numPr>
              <w:ind w:left="0" w:right="57"/>
              <w:jc w:val="both"/>
              <w:rPr>
                <w:sz w:val="18"/>
                <w:szCs w:val="18"/>
              </w:rPr>
            </w:pPr>
            <w:r w:rsidRPr="0060566C">
              <w:rPr>
                <w:sz w:val="18"/>
                <w:szCs w:val="18"/>
              </w:rPr>
              <w:t>Mesure du taux de réussite du reboisement ;</w:t>
            </w:r>
          </w:p>
          <w:p w:rsidR="00AD6C5B" w:rsidRPr="0060566C" w:rsidRDefault="00AD6C5B" w:rsidP="00157035">
            <w:pPr>
              <w:numPr>
                <w:ilvl w:val="0"/>
                <w:numId w:val="83"/>
              </w:numPr>
              <w:ind w:left="0" w:right="57"/>
              <w:jc w:val="both"/>
              <w:rPr>
                <w:sz w:val="18"/>
                <w:szCs w:val="18"/>
              </w:rPr>
            </w:pPr>
            <w:r w:rsidRPr="0060566C">
              <w:rPr>
                <w:sz w:val="18"/>
                <w:szCs w:val="18"/>
              </w:rPr>
              <w:t xml:space="preserve">Actions de reforestation et mise en défens </w:t>
            </w:r>
          </w:p>
          <w:p w:rsidR="00AD6C5B" w:rsidRPr="0060566C" w:rsidRDefault="00AD6C5B" w:rsidP="00157035">
            <w:pPr>
              <w:numPr>
                <w:ilvl w:val="0"/>
                <w:numId w:val="83"/>
              </w:numPr>
              <w:ind w:left="0" w:right="57"/>
              <w:jc w:val="both"/>
              <w:rPr>
                <w:sz w:val="18"/>
                <w:szCs w:val="18"/>
              </w:rPr>
            </w:pPr>
            <w:r w:rsidRPr="0060566C">
              <w:rPr>
                <w:sz w:val="18"/>
                <w:szCs w:val="18"/>
              </w:rPr>
              <w:t xml:space="preserve">Déforestation (taux et conversion forêts pour autres usages) </w:t>
            </w:r>
          </w:p>
          <w:p w:rsidR="00AD6C5B" w:rsidRPr="0060566C" w:rsidRDefault="00AD6C5B" w:rsidP="00157035">
            <w:pPr>
              <w:numPr>
                <w:ilvl w:val="0"/>
                <w:numId w:val="83"/>
              </w:numPr>
              <w:ind w:left="0" w:right="57"/>
              <w:jc w:val="both"/>
              <w:rPr>
                <w:sz w:val="18"/>
                <w:szCs w:val="18"/>
              </w:rPr>
            </w:pPr>
            <w:r w:rsidRPr="0060566C">
              <w:rPr>
                <w:sz w:val="18"/>
                <w:szCs w:val="18"/>
              </w:rPr>
              <w:t xml:space="preserve">Altération des habitats et conversion des terres pour autres usages </w:t>
            </w:r>
          </w:p>
        </w:tc>
        <w:tc>
          <w:tcPr>
            <w:tcW w:w="2810" w:type="dxa"/>
            <w:vAlign w:val="center"/>
          </w:tcPr>
          <w:p w:rsidR="00AD6C5B" w:rsidRPr="00CD66A1" w:rsidRDefault="00AD6C5B" w:rsidP="004F4212">
            <w:pPr>
              <w:ind w:right="57"/>
              <w:jc w:val="center"/>
              <w:rPr>
                <w:sz w:val="20"/>
                <w:szCs w:val="20"/>
              </w:rPr>
            </w:pPr>
            <w:r w:rsidRPr="00CD66A1">
              <w:rPr>
                <w:sz w:val="20"/>
                <w:szCs w:val="20"/>
              </w:rPr>
              <w:t>Fiches d’observation ;</w:t>
            </w:r>
          </w:p>
          <w:p w:rsidR="00AD6C5B" w:rsidRPr="00CD66A1" w:rsidRDefault="00AD6C5B" w:rsidP="004F4212">
            <w:pPr>
              <w:ind w:right="57"/>
              <w:jc w:val="center"/>
              <w:rPr>
                <w:sz w:val="20"/>
                <w:szCs w:val="20"/>
              </w:rPr>
            </w:pPr>
            <w:r w:rsidRPr="00CD66A1">
              <w:rPr>
                <w:sz w:val="20"/>
                <w:szCs w:val="20"/>
              </w:rPr>
              <w:t>Fiches d’inventaire des espèces</w:t>
            </w:r>
          </w:p>
        </w:tc>
        <w:tc>
          <w:tcPr>
            <w:tcW w:w="1546" w:type="dxa"/>
            <w:vMerge/>
            <w:vAlign w:val="center"/>
          </w:tcPr>
          <w:p w:rsidR="00AD6C5B" w:rsidRPr="0060566C" w:rsidRDefault="00AD6C5B" w:rsidP="004F4212">
            <w:pPr>
              <w:ind w:right="57"/>
              <w:rPr>
                <w:b/>
                <w:sz w:val="18"/>
                <w:szCs w:val="18"/>
              </w:rPr>
            </w:pPr>
          </w:p>
        </w:tc>
        <w:tc>
          <w:tcPr>
            <w:tcW w:w="1364" w:type="dxa"/>
            <w:vAlign w:val="center"/>
          </w:tcPr>
          <w:p w:rsidR="00AD6C5B" w:rsidRPr="00CD66A1" w:rsidRDefault="00AD6C5B" w:rsidP="004F4212">
            <w:pPr>
              <w:ind w:right="57"/>
              <w:jc w:val="center"/>
              <w:rPr>
                <w:b/>
                <w:sz w:val="20"/>
                <w:szCs w:val="20"/>
              </w:rPr>
            </w:pPr>
            <w:r w:rsidRPr="00CD66A1">
              <w:rPr>
                <w:b/>
                <w:sz w:val="20"/>
                <w:szCs w:val="20"/>
              </w:rPr>
              <w:t>Trimestrielle</w:t>
            </w:r>
          </w:p>
        </w:tc>
        <w:tc>
          <w:tcPr>
            <w:tcW w:w="1336" w:type="dxa"/>
            <w:vAlign w:val="center"/>
          </w:tcPr>
          <w:p w:rsidR="00AD6C5B" w:rsidRPr="00CD66A1" w:rsidRDefault="00AD6C5B" w:rsidP="004F4212">
            <w:pPr>
              <w:ind w:right="57"/>
              <w:jc w:val="center"/>
              <w:rPr>
                <w:b/>
                <w:sz w:val="20"/>
                <w:szCs w:val="20"/>
              </w:rPr>
            </w:pPr>
            <w:r w:rsidRPr="00CD66A1">
              <w:rPr>
                <w:b/>
                <w:sz w:val="20"/>
                <w:szCs w:val="20"/>
              </w:rPr>
              <w:t>Conservation de la flore</w:t>
            </w:r>
          </w:p>
        </w:tc>
      </w:tr>
      <w:tr w:rsidR="006F1D16" w:rsidRPr="00CD66A1" w:rsidTr="00EC7847">
        <w:trPr>
          <w:jc w:val="center"/>
        </w:trPr>
        <w:tc>
          <w:tcPr>
            <w:tcW w:w="1555" w:type="dxa"/>
            <w:shd w:val="clear" w:color="auto" w:fill="FFFFFF" w:themeFill="background1"/>
            <w:vAlign w:val="center"/>
          </w:tcPr>
          <w:p w:rsidR="006F1D16" w:rsidRPr="00CD66A1" w:rsidRDefault="006F1D16" w:rsidP="004F4212">
            <w:pPr>
              <w:ind w:right="57"/>
              <w:jc w:val="center"/>
              <w:rPr>
                <w:b/>
                <w:sz w:val="20"/>
                <w:szCs w:val="20"/>
              </w:rPr>
            </w:pPr>
          </w:p>
          <w:p w:rsidR="006F1D16" w:rsidRPr="00CD66A1" w:rsidRDefault="006F1D16" w:rsidP="004F4212">
            <w:pPr>
              <w:ind w:right="57"/>
              <w:jc w:val="center"/>
              <w:rPr>
                <w:b/>
                <w:sz w:val="20"/>
                <w:szCs w:val="20"/>
              </w:rPr>
            </w:pPr>
            <w:r w:rsidRPr="00CD66A1">
              <w:rPr>
                <w:b/>
                <w:sz w:val="20"/>
                <w:szCs w:val="20"/>
              </w:rPr>
              <w:t>Faune</w:t>
            </w:r>
          </w:p>
        </w:tc>
        <w:tc>
          <w:tcPr>
            <w:tcW w:w="1311" w:type="dxa"/>
            <w:vAlign w:val="center"/>
          </w:tcPr>
          <w:p w:rsidR="006F1D16" w:rsidRPr="00CD66A1" w:rsidRDefault="006F1D16" w:rsidP="004F4212">
            <w:pPr>
              <w:ind w:right="57"/>
              <w:jc w:val="center"/>
              <w:rPr>
                <w:b/>
                <w:sz w:val="20"/>
                <w:szCs w:val="20"/>
              </w:rPr>
            </w:pPr>
            <w:r w:rsidRPr="00CD66A1">
              <w:rPr>
                <w:b/>
                <w:sz w:val="20"/>
                <w:szCs w:val="20"/>
              </w:rPr>
              <w:t>Etat des habitats faunique</w:t>
            </w:r>
          </w:p>
        </w:tc>
        <w:tc>
          <w:tcPr>
            <w:tcW w:w="4074" w:type="dxa"/>
            <w:vAlign w:val="center"/>
          </w:tcPr>
          <w:p w:rsidR="006F1D16" w:rsidRPr="0060566C" w:rsidRDefault="006F1D16" w:rsidP="00157035">
            <w:pPr>
              <w:numPr>
                <w:ilvl w:val="0"/>
                <w:numId w:val="82"/>
              </w:numPr>
              <w:ind w:left="0" w:right="57"/>
              <w:jc w:val="both"/>
              <w:rPr>
                <w:sz w:val="18"/>
                <w:szCs w:val="18"/>
              </w:rPr>
            </w:pPr>
            <w:r w:rsidRPr="0060566C">
              <w:rPr>
                <w:sz w:val="18"/>
                <w:szCs w:val="18"/>
              </w:rPr>
              <w:t>Inventaire du Nombre d’habitats fauniques protégés ou restaurés</w:t>
            </w:r>
            <w:bookmarkStart w:id="302" w:name="_Toc20572775"/>
            <w:bookmarkEnd w:id="302"/>
          </w:p>
          <w:p w:rsidR="00410E58" w:rsidRPr="0060566C" w:rsidRDefault="00410E58" w:rsidP="00083B97">
            <w:pPr>
              <w:ind w:right="57"/>
              <w:jc w:val="both"/>
              <w:rPr>
                <w:sz w:val="18"/>
                <w:szCs w:val="18"/>
              </w:rPr>
            </w:pPr>
            <w:r w:rsidRPr="0060566C">
              <w:rPr>
                <w:sz w:val="18"/>
                <w:szCs w:val="18"/>
              </w:rPr>
              <w:t xml:space="preserve">Abondance faunique (p.ex. oiseaux ; présence / absence autres espèces) </w:t>
            </w:r>
          </w:p>
          <w:p w:rsidR="00410E58" w:rsidRPr="0060566C" w:rsidRDefault="00410E58" w:rsidP="00157035">
            <w:pPr>
              <w:numPr>
                <w:ilvl w:val="0"/>
                <w:numId w:val="82"/>
              </w:numPr>
              <w:ind w:left="0" w:right="57"/>
              <w:jc w:val="both"/>
              <w:rPr>
                <w:sz w:val="18"/>
                <w:szCs w:val="18"/>
              </w:rPr>
            </w:pPr>
          </w:p>
        </w:tc>
        <w:tc>
          <w:tcPr>
            <w:tcW w:w="2810" w:type="dxa"/>
            <w:vAlign w:val="center"/>
          </w:tcPr>
          <w:p w:rsidR="006F1D16" w:rsidRPr="00CD66A1" w:rsidRDefault="006F1D16" w:rsidP="004F4212">
            <w:pPr>
              <w:ind w:right="57"/>
              <w:jc w:val="center"/>
              <w:rPr>
                <w:sz w:val="20"/>
                <w:szCs w:val="20"/>
              </w:rPr>
            </w:pPr>
            <w:r w:rsidRPr="00CD66A1">
              <w:rPr>
                <w:sz w:val="20"/>
                <w:szCs w:val="20"/>
              </w:rPr>
              <w:t>Rapport d’inventaire service eaux et forêts</w:t>
            </w:r>
          </w:p>
        </w:tc>
        <w:tc>
          <w:tcPr>
            <w:tcW w:w="1546" w:type="dxa"/>
            <w:vAlign w:val="center"/>
          </w:tcPr>
          <w:p w:rsidR="006F1D16" w:rsidRPr="0060566C" w:rsidRDefault="006F1D16" w:rsidP="004F4212">
            <w:pPr>
              <w:ind w:right="57"/>
              <w:jc w:val="center"/>
              <w:rPr>
                <w:b/>
                <w:sz w:val="18"/>
                <w:szCs w:val="18"/>
              </w:rPr>
            </w:pPr>
            <w:r w:rsidRPr="0060566C">
              <w:rPr>
                <w:b/>
                <w:sz w:val="18"/>
                <w:szCs w:val="18"/>
              </w:rPr>
              <w:t xml:space="preserve">Responsable environnement de l’entreprise, </w:t>
            </w:r>
          </w:p>
          <w:p w:rsidR="006F1D16" w:rsidRPr="0060566C" w:rsidRDefault="006F1D16" w:rsidP="004F4212">
            <w:pPr>
              <w:ind w:right="57"/>
              <w:jc w:val="center"/>
              <w:rPr>
                <w:b/>
                <w:sz w:val="18"/>
                <w:szCs w:val="18"/>
              </w:rPr>
            </w:pPr>
            <w:r w:rsidRPr="0060566C">
              <w:rPr>
                <w:b/>
                <w:sz w:val="18"/>
                <w:szCs w:val="18"/>
              </w:rPr>
              <w:t>Mission de contrôle,</w:t>
            </w:r>
          </w:p>
          <w:p w:rsidR="006F1D16" w:rsidRPr="0060566C" w:rsidRDefault="006F1D16" w:rsidP="004F4212">
            <w:pPr>
              <w:ind w:right="57"/>
              <w:jc w:val="center"/>
              <w:rPr>
                <w:b/>
                <w:sz w:val="18"/>
                <w:szCs w:val="18"/>
              </w:rPr>
            </w:pPr>
            <w:r w:rsidRPr="0060566C">
              <w:rPr>
                <w:b/>
                <w:sz w:val="18"/>
                <w:szCs w:val="18"/>
              </w:rPr>
              <w:t>IREF, Mairie</w:t>
            </w:r>
          </w:p>
        </w:tc>
        <w:tc>
          <w:tcPr>
            <w:tcW w:w="1364" w:type="dxa"/>
            <w:vAlign w:val="center"/>
          </w:tcPr>
          <w:p w:rsidR="006F1D16" w:rsidRPr="00CD66A1" w:rsidRDefault="006F1D16" w:rsidP="004F4212">
            <w:pPr>
              <w:ind w:right="57"/>
              <w:jc w:val="center"/>
              <w:rPr>
                <w:b/>
                <w:sz w:val="20"/>
                <w:szCs w:val="20"/>
              </w:rPr>
            </w:pPr>
            <w:r w:rsidRPr="00CD66A1">
              <w:rPr>
                <w:b/>
                <w:sz w:val="20"/>
                <w:szCs w:val="20"/>
              </w:rPr>
              <w:t>Trimestrielle</w:t>
            </w:r>
          </w:p>
        </w:tc>
        <w:tc>
          <w:tcPr>
            <w:tcW w:w="1336" w:type="dxa"/>
            <w:vAlign w:val="center"/>
          </w:tcPr>
          <w:p w:rsidR="006F1D16" w:rsidRPr="00CD66A1" w:rsidRDefault="006F1D16" w:rsidP="004F4212">
            <w:pPr>
              <w:ind w:right="57"/>
              <w:jc w:val="center"/>
              <w:rPr>
                <w:b/>
                <w:sz w:val="20"/>
                <w:szCs w:val="20"/>
              </w:rPr>
            </w:pPr>
            <w:r w:rsidRPr="00CD66A1">
              <w:rPr>
                <w:b/>
                <w:sz w:val="20"/>
                <w:szCs w:val="20"/>
              </w:rPr>
              <w:t>Conservation de la faune et des habitats fauniques</w:t>
            </w:r>
          </w:p>
        </w:tc>
      </w:tr>
      <w:tr w:rsidR="006F1D16" w:rsidRPr="00CD66A1" w:rsidTr="00EC7847">
        <w:trPr>
          <w:jc w:val="center"/>
        </w:trPr>
        <w:tc>
          <w:tcPr>
            <w:tcW w:w="1555" w:type="dxa"/>
            <w:shd w:val="clear" w:color="auto" w:fill="FFFFFF" w:themeFill="background1"/>
            <w:vAlign w:val="center"/>
          </w:tcPr>
          <w:p w:rsidR="006F1D16" w:rsidRPr="00CD66A1" w:rsidRDefault="006F1D16" w:rsidP="004F4212">
            <w:pPr>
              <w:ind w:right="57"/>
              <w:jc w:val="center"/>
              <w:rPr>
                <w:b/>
                <w:sz w:val="20"/>
                <w:szCs w:val="20"/>
              </w:rPr>
            </w:pPr>
            <w:r w:rsidRPr="00CD66A1">
              <w:rPr>
                <w:b/>
                <w:sz w:val="20"/>
                <w:szCs w:val="20"/>
              </w:rPr>
              <w:t>Bruit</w:t>
            </w:r>
          </w:p>
        </w:tc>
        <w:tc>
          <w:tcPr>
            <w:tcW w:w="1311" w:type="dxa"/>
            <w:vAlign w:val="center"/>
          </w:tcPr>
          <w:p w:rsidR="006F1D16" w:rsidRPr="00CD66A1" w:rsidRDefault="006F1D16" w:rsidP="004F4212">
            <w:pPr>
              <w:ind w:right="57"/>
              <w:jc w:val="center"/>
              <w:rPr>
                <w:b/>
                <w:sz w:val="20"/>
                <w:szCs w:val="20"/>
              </w:rPr>
            </w:pPr>
            <w:r w:rsidRPr="00CD66A1">
              <w:rPr>
                <w:b/>
                <w:sz w:val="20"/>
                <w:szCs w:val="20"/>
              </w:rPr>
              <w:t>Ambiance sonore</w:t>
            </w:r>
          </w:p>
        </w:tc>
        <w:tc>
          <w:tcPr>
            <w:tcW w:w="4074" w:type="dxa"/>
            <w:vAlign w:val="center"/>
          </w:tcPr>
          <w:p w:rsidR="006F1D16" w:rsidRPr="0060566C" w:rsidRDefault="006F1D16" w:rsidP="00157035">
            <w:pPr>
              <w:numPr>
                <w:ilvl w:val="0"/>
                <w:numId w:val="81"/>
              </w:numPr>
              <w:ind w:left="0" w:right="57"/>
              <w:jc w:val="both"/>
              <w:rPr>
                <w:sz w:val="18"/>
                <w:szCs w:val="18"/>
              </w:rPr>
            </w:pPr>
            <w:r w:rsidRPr="0060566C">
              <w:rPr>
                <w:sz w:val="18"/>
                <w:szCs w:val="18"/>
              </w:rPr>
              <w:t xml:space="preserve">Mesure des niveaux sonores </w:t>
            </w:r>
          </w:p>
        </w:tc>
        <w:tc>
          <w:tcPr>
            <w:tcW w:w="2810" w:type="dxa"/>
            <w:vAlign w:val="center"/>
          </w:tcPr>
          <w:p w:rsidR="006F1D16" w:rsidRPr="00CD66A1" w:rsidRDefault="006F1D16" w:rsidP="004F4212">
            <w:pPr>
              <w:ind w:right="57"/>
              <w:jc w:val="center"/>
              <w:rPr>
                <w:sz w:val="20"/>
                <w:szCs w:val="20"/>
              </w:rPr>
            </w:pPr>
            <w:r w:rsidRPr="00CD66A1">
              <w:rPr>
                <w:sz w:val="20"/>
                <w:szCs w:val="20"/>
              </w:rPr>
              <w:t>Rapport de mesure du bruit</w:t>
            </w:r>
          </w:p>
        </w:tc>
        <w:tc>
          <w:tcPr>
            <w:tcW w:w="1546" w:type="dxa"/>
            <w:vAlign w:val="center"/>
          </w:tcPr>
          <w:p w:rsidR="006F1D16" w:rsidRPr="0060566C" w:rsidRDefault="006F1D16" w:rsidP="004F4212">
            <w:pPr>
              <w:ind w:right="57"/>
              <w:jc w:val="center"/>
              <w:rPr>
                <w:b/>
                <w:sz w:val="18"/>
                <w:szCs w:val="18"/>
              </w:rPr>
            </w:pPr>
            <w:r w:rsidRPr="0060566C">
              <w:rPr>
                <w:b/>
                <w:sz w:val="18"/>
                <w:szCs w:val="18"/>
              </w:rPr>
              <w:t xml:space="preserve">Environnementaliste de l’Entreprise Mission de contrôle </w:t>
            </w:r>
          </w:p>
        </w:tc>
        <w:tc>
          <w:tcPr>
            <w:tcW w:w="1364" w:type="dxa"/>
            <w:vAlign w:val="center"/>
          </w:tcPr>
          <w:p w:rsidR="006F1D16" w:rsidRPr="00CD66A1" w:rsidRDefault="006F1D16" w:rsidP="004F4212">
            <w:pPr>
              <w:ind w:right="57"/>
              <w:jc w:val="center"/>
              <w:rPr>
                <w:b/>
                <w:sz w:val="20"/>
                <w:szCs w:val="20"/>
              </w:rPr>
            </w:pPr>
            <w:r w:rsidRPr="00CD66A1">
              <w:rPr>
                <w:b/>
                <w:sz w:val="20"/>
                <w:szCs w:val="20"/>
              </w:rPr>
              <w:t>Trimestrielle</w:t>
            </w:r>
          </w:p>
        </w:tc>
        <w:tc>
          <w:tcPr>
            <w:tcW w:w="1336" w:type="dxa"/>
            <w:vAlign w:val="center"/>
          </w:tcPr>
          <w:p w:rsidR="006F1D16" w:rsidRPr="00CD66A1" w:rsidRDefault="006F1D16" w:rsidP="004F4212">
            <w:pPr>
              <w:ind w:right="57"/>
              <w:jc w:val="center"/>
              <w:rPr>
                <w:b/>
                <w:sz w:val="20"/>
                <w:szCs w:val="20"/>
              </w:rPr>
            </w:pPr>
            <w:r w:rsidRPr="00CD66A1">
              <w:rPr>
                <w:b/>
                <w:sz w:val="20"/>
                <w:szCs w:val="20"/>
              </w:rPr>
              <w:t>Respect de la réglementation</w:t>
            </w:r>
          </w:p>
        </w:tc>
      </w:tr>
      <w:tr w:rsidR="006F1D16" w:rsidRPr="00CD66A1" w:rsidTr="00EC7847">
        <w:trPr>
          <w:jc w:val="center"/>
        </w:trPr>
        <w:tc>
          <w:tcPr>
            <w:tcW w:w="1555" w:type="dxa"/>
            <w:shd w:val="clear" w:color="auto" w:fill="FFFFFF" w:themeFill="background1"/>
            <w:vAlign w:val="center"/>
          </w:tcPr>
          <w:p w:rsidR="006F1D16" w:rsidRPr="00CD66A1" w:rsidRDefault="006F1D16" w:rsidP="004F4212">
            <w:pPr>
              <w:ind w:right="57"/>
              <w:jc w:val="center"/>
              <w:rPr>
                <w:b/>
                <w:sz w:val="20"/>
                <w:szCs w:val="20"/>
              </w:rPr>
            </w:pPr>
            <w:r w:rsidRPr="00CD66A1">
              <w:rPr>
                <w:b/>
                <w:bCs/>
                <w:sz w:val="20"/>
                <w:szCs w:val="20"/>
              </w:rPr>
              <w:t>Humain</w:t>
            </w:r>
          </w:p>
        </w:tc>
        <w:tc>
          <w:tcPr>
            <w:tcW w:w="1311" w:type="dxa"/>
            <w:vAlign w:val="center"/>
          </w:tcPr>
          <w:p w:rsidR="006F1D16" w:rsidRPr="00CD66A1" w:rsidRDefault="006F1D16" w:rsidP="004F4212">
            <w:pPr>
              <w:ind w:right="57"/>
              <w:jc w:val="center"/>
              <w:rPr>
                <w:b/>
                <w:sz w:val="20"/>
                <w:szCs w:val="20"/>
              </w:rPr>
            </w:pPr>
            <w:r w:rsidRPr="00CD66A1">
              <w:rPr>
                <w:b/>
                <w:bCs/>
                <w:sz w:val="20"/>
                <w:szCs w:val="20"/>
              </w:rPr>
              <w:t>Paysage</w:t>
            </w:r>
          </w:p>
        </w:tc>
        <w:tc>
          <w:tcPr>
            <w:tcW w:w="4074" w:type="dxa"/>
            <w:vAlign w:val="center"/>
          </w:tcPr>
          <w:p w:rsidR="006F1D16" w:rsidRPr="0060566C" w:rsidRDefault="006F1D16" w:rsidP="00157035">
            <w:pPr>
              <w:numPr>
                <w:ilvl w:val="0"/>
                <w:numId w:val="81"/>
              </w:numPr>
              <w:ind w:left="0" w:right="57"/>
              <w:jc w:val="both"/>
              <w:rPr>
                <w:sz w:val="18"/>
                <w:szCs w:val="18"/>
              </w:rPr>
            </w:pPr>
            <w:r w:rsidRPr="0060566C">
              <w:rPr>
                <w:sz w:val="18"/>
                <w:szCs w:val="18"/>
              </w:rPr>
              <w:t>Adopter une configuration intégrant son environnement</w:t>
            </w:r>
          </w:p>
        </w:tc>
        <w:tc>
          <w:tcPr>
            <w:tcW w:w="2810" w:type="dxa"/>
            <w:vAlign w:val="center"/>
          </w:tcPr>
          <w:p w:rsidR="006F1D16" w:rsidRPr="00CD66A1" w:rsidRDefault="006F1D16" w:rsidP="004F4212">
            <w:pPr>
              <w:ind w:right="57"/>
              <w:jc w:val="center"/>
              <w:rPr>
                <w:sz w:val="20"/>
                <w:szCs w:val="20"/>
              </w:rPr>
            </w:pPr>
            <w:r w:rsidRPr="00CD66A1">
              <w:rPr>
                <w:sz w:val="20"/>
                <w:szCs w:val="20"/>
              </w:rPr>
              <w:t>L’aspect du paysage correspondant au milieu</w:t>
            </w:r>
          </w:p>
        </w:tc>
        <w:tc>
          <w:tcPr>
            <w:tcW w:w="1546" w:type="dxa"/>
            <w:vAlign w:val="center"/>
          </w:tcPr>
          <w:p w:rsidR="006F1D16" w:rsidRPr="0060566C" w:rsidRDefault="006F1D16" w:rsidP="004F4212">
            <w:pPr>
              <w:ind w:right="57"/>
              <w:jc w:val="center"/>
              <w:rPr>
                <w:b/>
                <w:sz w:val="18"/>
                <w:szCs w:val="18"/>
              </w:rPr>
            </w:pPr>
            <w:r w:rsidRPr="0060566C">
              <w:rPr>
                <w:b/>
                <w:sz w:val="18"/>
                <w:szCs w:val="18"/>
              </w:rPr>
              <w:t xml:space="preserve">Environnementaliste de l’Entreprise Mission de contrôle </w:t>
            </w:r>
          </w:p>
        </w:tc>
        <w:tc>
          <w:tcPr>
            <w:tcW w:w="1364" w:type="dxa"/>
            <w:vAlign w:val="center"/>
          </w:tcPr>
          <w:p w:rsidR="006F1D16" w:rsidRPr="00CD66A1" w:rsidRDefault="006F1D16" w:rsidP="004F4212">
            <w:pPr>
              <w:ind w:right="57"/>
              <w:jc w:val="center"/>
              <w:rPr>
                <w:b/>
                <w:sz w:val="20"/>
                <w:szCs w:val="20"/>
              </w:rPr>
            </w:pPr>
            <w:r w:rsidRPr="00CD66A1">
              <w:rPr>
                <w:b/>
                <w:sz w:val="20"/>
                <w:szCs w:val="20"/>
              </w:rPr>
              <w:t>Avant le début des travaux</w:t>
            </w:r>
          </w:p>
        </w:tc>
        <w:tc>
          <w:tcPr>
            <w:tcW w:w="1336" w:type="dxa"/>
            <w:vAlign w:val="center"/>
          </w:tcPr>
          <w:p w:rsidR="006F1D16" w:rsidRPr="00CD66A1" w:rsidRDefault="006F1D16" w:rsidP="004F4212">
            <w:pPr>
              <w:ind w:right="57"/>
              <w:jc w:val="center"/>
              <w:rPr>
                <w:b/>
                <w:sz w:val="20"/>
                <w:szCs w:val="20"/>
              </w:rPr>
            </w:pPr>
            <w:r w:rsidRPr="00CD66A1">
              <w:rPr>
                <w:b/>
                <w:sz w:val="20"/>
                <w:szCs w:val="20"/>
              </w:rPr>
              <w:t>Cadre de vie de la population</w:t>
            </w:r>
          </w:p>
        </w:tc>
      </w:tr>
      <w:tr w:rsidR="006F1D16" w:rsidRPr="00CD66A1" w:rsidTr="00EC7847">
        <w:trPr>
          <w:jc w:val="center"/>
        </w:trPr>
        <w:tc>
          <w:tcPr>
            <w:tcW w:w="1555" w:type="dxa"/>
            <w:shd w:val="clear" w:color="auto" w:fill="FFFFFF" w:themeFill="background1"/>
            <w:vAlign w:val="center"/>
          </w:tcPr>
          <w:p w:rsidR="006F1D16" w:rsidRPr="00CD66A1" w:rsidRDefault="006F1D16" w:rsidP="004F4212">
            <w:pPr>
              <w:ind w:right="57"/>
              <w:rPr>
                <w:b/>
                <w:sz w:val="20"/>
                <w:szCs w:val="20"/>
              </w:rPr>
            </w:pPr>
            <w:r w:rsidRPr="00CD66A1">
              <w:rPr>
                <w:b/>
                <w:sz w:val="20"/>
                <w:szCs w:val="20"/>
              </w:rPr>
              <w:t>Hygiène et sécurité</w:t>
            </w:r>
          </w:p>
        </w:tc>
        <w:tc>
          <w:tcPr>
            <w:tcW w:w="1311" w:type="dxa"/>
            <w:vAlign w:val="center"/>
          </w:tcPr>
          <w:p w:rsidR="006F1D16" w:rsidRPr="00CD66A1" w:rsidRDefault="006F1D16" w:rsidP="004F4212">
            <w:pPr>
              <w:ind w:right="57"/>
              <w:rPr>
                <w:b/>
                <w:sz w:val="20"/>
                <w:szCs w:val="20"/>
              </w:rPr>
            </w:pPr>
            <w:r w:rsidRPr="00CD66A1">
              <w:rPr>
                <w:b/>
                <w:sz w:val="20"/>
                <w:szCs w:val="20"/>
              </w:rPr>
              <w:t>Cadre de vie et conditions sécuritaires</w:t>
            </w:r>
          </w:p>
        </w:tc>
        <w:tc>
          <w:tcPr>
            <w:tcW w:w="4074" w:type="dxa"/>
            <w:vAlign w:val="center"/>
          </w:tcPr>
          <w:p w:rsidR="006F1D16" w:rsidRPr="0060566C" w:rsidRDefault="006F1D16" w:rsidP="00157035">
            <w:pPr>
              <w:numPr>
                <w:ilvl w:val="0"/>
                <w:numId w:val="81"/>
              </w:numPr>
              <w:ind w:left="0" w:right="57"/>
              <w:jc w:val="both"/>
              <w:rPr>
                <w:sz w:val="18"/>
                <w:szCs w:val="18"/>
              </w:rPr>
            </w:pPr>
            <w:r w:rsidRPr="0060566C">
              <w:rPr>
                <w:sz w:val="18"/>
                <w:szCs w:val="18"/>
              </w:rPr>
              <w:t>Comptage d’EPI disponibles ;</w:t>
            </w:r>
          </w:p>
          <w:p w:rsidR="006F1D16" w:rsidRPr="0060566C" w:rsidRDefault="006F1D16" w:rsidP="00157035">
            <w:pPr>
              <w:numPr>
                <w:ilvl w:val="0"/>
                <w:numId w:val="81"/>
              </w:numPr>
              <w:ind w:left="0" w:right="57"/>
              <w:jc w:val="both"/>
              <w:rPr>
                <w:sz w:val="18"/>
                <w:szCs w:val="18"/>
              </w:rPr>
            </w:pPr>
            <w:r w:rsidRPr="0060566C">
              <w:rPr>
                <w:sz w:val="18"/>
                <w:szCs w:val="18"/>
              </w:rPr>
              <w:t>Nombre d’affichage des consignes de sécurité ;</w:t>
            </w:r>
          </w:p>
          <w:p w:rsidR="006F1D16" w:rsidRPr="0060566C" w:rsidRDefault="006F1D16" w:rsidP="00157035">
            <w:pPr>
              <w:numPr>
                <w:ilvl w:val="0"/>
                <w:numId w:val="81"/>
              </w:numPr>
              <w:ind w:left="0" w:right="57"/>
              <w:jc w:val="both"/>
              <w:rPr>
                <w:sz w:val="18"/>
                <w:szCs w:val="18"/>
              </w:rPr>
            </w:pPr>
            <w:r w:rsidRPr="0060566C">
              <w:rPr>
                <w:sz w:val="18"/>
                <w:szCs w:val="18"/>
              </w:rPr>
              <w:t>Dénombrer les extincteurs ;</w:t>
            </w:r>
          </w:p>
          <w:p w:rsidR="006F1D16" w:rsidRPr="0060566C" w:rsidRDefault="006F1D16" w:rsidP="00157035">
            <w:pPr>
              <w:numPr>
                <w:ilvl w:val="0"/>
                <w:numId w:val="81"/>
              </w:numPr>
              <w:ind w:left="0" w:right="57"/>
              <w:jc w:val="both"/>
              <w:rPr>
                <w:sz w:val="18"/>
                <w:szCs w:val="18"/>
              </w:rPr>
            </w:pPr>
            <w:r w:rsidRPr="0060566C">
              <w:rPr>
                <w:sz w:val="18"/>
                <w:szCs w:val="18"/>
              </w:rPr>
              <w:t>Dénombrer les campagnes de formation et de sensibilisation</w:t>
            </w:r>
          </w:p>
          <w:p w:rsidR="006F1D16" w:rsidRPr="0060566C" w:rsidRDefault="006F1D16" w:rsidP="00157035">
            <w:pPr>
              <w:numPr>
                <w:ilvl w:val="0"/>
                <w:numId w:val="81"/>
              </w:numPr>
              <w:ind w:left="0" w:right="57"/>
              <w:jc w:val="both"/>
              <w:rPr>
                <w:sz w:val="18"/>
                <w:szCs w:val="18"/>
              </w:rPr>
            </w:pPr>
            <w:r w:rsidRPr="0060566C">
              <w:rPr>
                <w:sz w:val="18"/>
                <w:szCs w:val="18"/>
              </w:rPr>
              <w:t>Dénombrer les cas d’incidents (incendie, accident avec impact sur l’homme ou l’environnement)</w:t>
            </w:r>
          </w:p>
          <w:p w:rsidR="006F1D16" w:rsidRPr="0060566C" w:rsidRDefault="006F1D16" w:rsidP="00157035">
            <w:pPr>
              <w:numPr>
                <w:ilvl w:val="0"/>
                <w:numId w:val="81"/>
              </w:numPr>
              <w:ind w:left="0" w:right="57"/>
              <w:jc w:val="both"/>
              <w:rPr>
                <w:sz w:val="18"/>
                <w:szCs w:val="18"/>
              </w:rPr>
            </w:pPr>
            <w:r w:rsidRPr="0060566C">
              <w:rPr>
                <w:sz w:val="18"/>
                <w:szCs w:val="18"/>
              </w:rPr>
              <w:t>Fréquence de ramassage des déchets ;</w:t>
            </w:r>
          </w:p>
          <w:p w:rsidR="006F1D16" w:rsidRPr="0060566C" w:rsidRDefault="006F1D16" w:rsidP="00157035">
            <w:pPr>
              <w:pStyle w:val="PargrafodaLista"/>
              <w:numPr>
                <w:ilvl w:val="0"/>
                <w:numId w:val="81"/>
              </w:numPr>
              <w:spacing w:after="0" w:line="240" w:lineRule="auto"/>
              <w:ind w:left="0" w:right="57"/>
              <w:contextualSpacing w:val="0"/>
              <w:jc w:val="both"/>
              <w:rPr>
                <w:rFonts w:ascii="Times New Roman" w:eastAsiaTheme="minorHAnsi" w:hAnsi="Times New Roman"/>
                <w:sz w:val="18"/>
                <w:szCs w:val="18"/>
              </w:rPr>
            </w:pPr>
            <w:r w:rsidRPr="0060566C">
              <w:rPr>
                <w:rFonts w:ascii="Times New Roman" w:eastAsiaTheme="minorHAnsi" w:hAnsi="Times New Roman"/>
                <w:sz w:val="18"/>
                <w:szCs w:val="18"/>
              </w:rPr>
              <w:t>Fréquence de nettoyage des sanitaires</w:t>
            </w:r>
          </w:p>
          <w:p w:rsidR="006F1D16" w:rsidRPr="0060566C" w:rsidRDefault="006F1D16" w:rsidP="00157035">
            <w:pPr>
              <w:pStyle w:val="PargrafodaLista"/>
              <w:numPr>
                <w:ilvl w:val="0"/>
                <w:numId w:val="81"/>
              </w:numPr>
              <w:spacing w:after="0" w:line="240" w:lineRule="auto"/>
              <w:ind w:left="0" w:right="57"/>
              <w:contextualSpacing w:val="0"/>
              <w:jc w:val="both"/>
              <w:rPr>
                <w:rFonts w:ascii="Times New Roman" w:eastAsiaTheme="minorHAnsi" w:hAnsi="Times New Roman"/>
                <w:sz w:val="18"/>
                <w:szCs w:val="18"/>
              </w:rPr>
            </w:pPr>
            <w:r w:rsidRPr="0060566C">
              <w:rPr>
                <w:rFonts w:ascii="Times New Roman" w:eastAsiaTheme="minorHAnsi" w:hAnsi="Times New Roman"/>
                <w:sz w:val="18"/>
                <w:szCs w:val="18"/>
              </w:rPr>
              <w:t>Dénombrer les personnes formées aux gestes de premier secours.</w:t>
            </w:r>
          </w:p>
        </w:tc>
        <w:tc>
          <w:tcPr>
            <w:tcW w:w="2810" w:type="dxa"/>
            <w:vAlign w:val="center"/>
          </w:tcPr>
          <w:p w:rsidR="006F1D16" w:rsidRPr="00CD66A1" w:rsidRDefault="006F1D16" w:rsidP="004F4212">
            <w:pPr>
              <w:ind w:right="57"/>
              <w:jc w:val="center"/>
              <w:rPr>
                <w:sz w:val="20"/>
                <w:szCs w:val="20"/>
              </w:rPr>
            </w:pPr>
          </w:p>
          <w:p w:rsidR="006F1D16" w:rsidRPr="00CD66A1" w:rsidRDefault="006F1D16" w:rsidP="004F4212">
            <w:pPr>
              <w:ind w:right="57"/>
              <w:jc w:val="center"/>
              <w:rPr>
                <w:sz w:val="20"/>
                <w:szCs w:val="20"/>
              </w:rPr>
            </w:pPr>
          </w:p>
          <w:p w:rsidR="006F1D16" w:rsidRPr="00CD66A1" w:rsidRDefault="006F1D16" w:rsidP="004F4212">
            <w:pPr>
              <w:ind w:right="57"/>
              <w:jc w:val="center"/>
              <w:rPr>
                <w:sz w:val="20"/>
                <w:szCs w:val="20"/>
              </w:rPr>
            </w:pPr>
          </w:p>
          <w:p w:rsidR="006F1D16" w:rsidRPr="00CD66A1" w:rsidRDefault="006F1D16" w:rsidP="004F4212">
            <w:pPr>
              <w:ind w:right="57"/>
              <w:jc w:val="center"/>
              <w:rPr>
                <w:sz w:val="20"/>
                <w:szCs w:val="20"/>
              </w:rPr>
            </w:pPr>
            <w:r w:rsidRPr="00CD66A1">
              <w:rPr>
                <w:sz w:val="20"/>
                <w:szCs w:val="20"/>
              </w:rPr>
              <w:t>Observation</w:t>
            </w:r>
          </w:p>
          <w:p w:rsidR="006F1D16" w:rsidRPr="00CD66A1" w:rsidRDefault="006F1D16" w:rsidP="004F4212">
            <w:pPr>
              <w:ind w:right="57"/>
              <w:jc w:val="center"/>
              <w:rPr>
                <w:sz w:val="20"/>
                <w:szCs w:val="20"/>
              </w:rPr>
            </w:pPr>
            <w:r w:rsidRPr="00CD66A1">
              <w:rPr>
                <w:sz w:val="20"/>
                <w:szCs w:val="20"/>
              </w:rPr>
              <w:t>Fiches d’inventaire ;</w:t>
            </w:r>
          </w:p>
          <w:p w:rsidR="006F1D16" w:rsidRPr="00CD66A1" w:rsidRDefault="006F1D16" w:rsidP="004F4212">
            <w:pPr>
              <w:ind w:right="57"/>
              <w:jc w:val="center"/>
              <w:rPr>
                <w:sz w:val="20"/>
                <w:szCs w:val="20"/>
              </w:rPr>
            </w:pPr>
            <w:r w:rsidRPr="00CD66A1">
              <w:rPr>
                <w:sz w:val="20"/>
                <w:szCs w:val="20"/>
              </w:rPr>
              <w:t>PV de formation ;</w:t>
            </w:r>
          </w:p>
          <w:p w:rsidR="006F1D16" w:rsidRPr="00CD66A1" w:rsidRDefault="006F1D16" w:rsidP="004F4212">
            <w:pPr>
              <w:ind w:right="57"/>
              <w:jc w:val="center"/>
              <w:rPr>
                <w:sz w:val="20"/>
                <w:szCs w:val="20"/>
              </w:rPr>
            </w:pPr>
            <w:r w:rsidRPr="00CD66A1">
              <w:rPr>
                <w:sz w:val="20"/>
                <w:szCs w:val="20"/>
              </w:rPr>
              <w:t>Rapports d’incidents</w:t>
            </w:r>
          </w:p>
        </w:tc>
        <w:tc>
          <w:tcPr>
            <w:tcW w:w="1546" w:type="dxa"/>
            <w:vAlign w:val="center"/>
          </w:tcPr>
          <w:p w:rsidR="006F1D16" w:rsidRPr="0060566C" w:rsidRDefault="006F1D16" w:rsidP="004F4212">
            <w:pPr>
              <w:ind w:right="57"/>
              <w:jc w:val="center"/>
              <w:rPr>
                <w:b/>
                <w:sz w:val="18"/>
                <w:szCs w:val="18"/>
              </w:rPr>
            </w:pPr>
            <w:r w:rsidRPr="0060566C">
              <w:rPr>
                <w:b/>
                <w:sz w:val="18"/>
                <w:szCs w:val="18"/>
              </w:rPr>
              <w:t>Environnementaliste de l’Entreprise</w:t>
            </w:r>
          </w:p>
          <w:p w:rsidR="006F1D16" w:rsidRPr="0060566C" w:rsidRDefault="006F1D16" w:rsidP="004F4212">
            <w:pPr>
              <w:ind w:right="57"/>
              <w:jc w:val="center"/>
              <w:rPr>
                <w:b/>
                <w:sz w:val="18"/>
                <w:szCs w:val="18"/>
              </w:rPr>
            </w:pPr>
            <w:r w:rsidRPr="0060566C">
              <w:rPr>
                <w:b/>
                <w:sz w:val="18"/>
                <w:szCs w:val="18"/>
              </w:rPr>
              <w:t xml:space="preserve">Mission de contrôle (hygiène, santé, </w:t>
            </w:r>
            <w:r w:rsidR="005A504E" w:rsidRPr="0060566C">
              <w:rPr>
                <w:b/>
                <w:sz w:val="18"/>
                <w:szCs w:val="18"/>
              </w:rPr>
              <w:t>etc.</w:t>
            </w:r>
            <w:r w:rsidRPr="0060566C">
              <w:rPr>
                <w:b/>
                <w:sz w:val="18"/>
                <w:szCs w:val="18"/>
              </w:rPr>
              <w:t>)</w:t>
            </w:r>
          </w:p>
        </w:tc>
        <w:tc>
          <w:tcPr>
            <w:tcW w:w="1364" w:type="dxa"/>
            <w:vAlign w:val="center"/>
          </w:tcPr>
          <w:p w:rsidR="006F1D16" w:rsidRPr="00CD66A1" w:rsidRDefault="006F1D16" w:rsidP="004F4212">
            <w:pPr>
              <w:ind w:right="57"/>
              <w:rPr>
                <w:b/>
                <w:sz w:val="20"/>
                <w:szCs w:val="20"/>
              </w:rPr>
            </w:pPr>
          </w:p>
          <w:p w:rsidR="006F1D16" w:rsidRPr="00CD66A1" w:rsidRDefault="006F1D16" w:rsidP="004F4212">
            <w:pPr>
              <w:ind w:right="57"/>
              <w:rPr>
                <w:b/>
                <w:sz w:val="20"/>
                <w:szCs w:val="20"/>
              </w:rPr>
            </w:pPr>
            <w:r w:rsidRPr="00CD66A1">
              <w:rPr>
                <w:b/>
                <w:sz w:val="20"/>
                <w:szCs w:val="20"/>
              </w:rPr>
              <w:t>Mensuelle</w:t>
            </w:r>
          </w:p>
        </w:tc>
        <w:tc>
          <w:tcPr>
            <w:tcW w:w="1336" w:type="dxa"/>
            <w:vAlign w:val="center"/>
          </w:tcPr>
          <w:p w:rsidR="006F1D16" w:rsidRPr="00CD66A1" w:rsidRDefault="006F1D16" w:rsidP="004F4212">
            <w:pPr>
              <w:ind w:right="57"/>
              <w:rPr>
                <w:b/>
                <w:sz w:val="20"/>
                <w:szCs w:val="20"/>
              </w:rPr>
            </w:pPr>
          </w:p>
          <w:p w:rsidR="006F1D16" w:rsidRPr="00CD66A1" w:rsidRDefault="006F1D16" w:rsidP="004F4212">
            <w:pPr>
              <w:ind w:right="57"/>
              <w:rPr>
                <w:b/>
                <w:sz w:val="20"/>
                <w:szCs w:val="20"/>
              </w:rPr>
            </w:pPr>
            <w:r w:rsidRPr="00CD66A1">
              <w:rPr>
                <w:b/>
                <w:sz w:val="20"/>
                <w:szCs w:val="20"/>
              </w:rPr>
              <w:t>Préservation de la salubrité et des conditions sécuritaires</w:t>
            </w:r>
          </w:p>
        </w:tc>
      </w:tr>
      <w:tr w:rsidR="006F1D16" w:rsidRPr="00CD66A1" w:rsidTr="00EC7847">
        <w:trPr>
          <w:jc w:val="center"/>
        </w:trPr>
        <w:tc>
          <w:tcPr>
            <w:tcW w:w="1555" w:type="dxa"/>
            <w:vMerge w:val="restart"/>
            <w:shd w:val="clear" w:color="auto" w:fill="FFFFFF" w:themeFill="background1"/>
            <w:vAlign w:val="center"/>
          </w:tcPr>
          <w:p w:rsidR="006F1D16" w:rsidRPr="00CD66A1" w:rsidRDefault="006F1D16" w:rsidP="004F4212">
            <w:pPr>
              <w:ind w:right="57"/>
              <w:rPr>
                <w:b/>
                <w:sz w:val="20"/>
                <w:szCs w:val="20"/>
              </w:rPr>
            </w:pPr>
            <w:r w:rsidRPr="00CD66A1">
              <w:rPr>
                <w:b/>
                <w:sz w:val="20"/>
                <w:szCs w:val="20"/>
              </w:rPr>
              <w:t>Milieu humain</w:t>
            </w:r>
          </w:p>
        </w:tc>
        <w:tc>
          <w:tcPr>
            <w:tcW w:w="1311" w:type="dxa"/>
            <w:vAlign w:val="center"/>
          </w:tcPr>
          <w:p w:rsidR="006F1D16" w:rsidRPr="00CD66A1" w:rsidRDefault="006F1D16" w:rsidP="004F4212">
            <w:pPr>
              <w:ind w:right="57"/>
              <w:rPr>
                <w:b/>
                <w:sz w:val="20"/>
                <w:szCs w:val="20"/>
              </w:rPr>
            </w:pPr>
            <w:r w:rsidRPr="00CD66A1">
              <w:rPr>
                <w:b/>
                <w:sz w:val="20"/>
                <w:szCs w:val="20"/>
              </w:rPr>
              <w:t>Paiement des impenses</w:t>
            </w:r>
          </w:p>
        </w:tc>
        <w:tc>
          <w:tcPr>
            <w:tcW w:w="4074" w:type="dxa"/>
            <w:vAlign w:val="center"/>
          </w:tcPr>
          <w:p w:rsidR="006F1D16" w:rsidRPr="0060566C" w:rsidRDefault="006F1D16" w:rsidP="00157035">
            <w:pPr>
              <w:pStyle w:val="PargrafodaLista"/>
              <w:numPr>
                <w:ilvl w:val="0"/>
                <w:numId w:val="84"/>
              </w:numPr>
              <w:spacing w:after="0" w:line="240" w:lineRule="auto"/>
              <w:ind w:left="0" w:right="57"/>
              <w:contextualSpacing w:val="0"/>
              <w:jc w:val="both"/>
              <w:rPr>
                <w:rFonts w:ascii="Times New Roman" w:eastAsiaTheme="minorHAnsi" w:hAnsi="Times New Roman"/>
                <w:sz w:val="18"/>
                <w:szCs w:val="18"/>
              </w:rPr>
            </w:pPr>
            <w:r w:rsidRPr="0060566C">
              <w:rPr>
                <w:rFonts w:ascii="Times New Roman" w:eastAsiaTheme="minorHAnsi" w:hAnsi="Times New Roman"/>
                <w:sz w:val="18"/>
                <w:szCs w:val="18"/>
              </w:rPr>
              <w:t>Inventaire des PAPs identifiées et payées</w:t>
            </w:r>
          </w:p>
          <w:p w:rsidR="006F1D16" w:rsidRPr="0060566C" w:rsidRDefault="006F1D16" w:rsidP="00157035">
            <w:pPr>
              <w:pStyle w:val="PargrafodaLista"/>
              <w:numPr>
                <w:ilvl w:val="0"/>
                <w:numId w:val="84"/>
              </w:numPr>
              <w:spacing w:after="0" w:line="240" w:lineRule="auto"/>
              <w:ind w:left="0" w:right="57"/>
              <w:contextualSpacing w:val="0"/>
              <w:jc w:val="both"/>
              <w:rPr>
                <w:rFonts w:ascii="Times New Roman" w:eastAsiaTheme="minorHAnsi" w:hAnsi="Times New Roman"/>
                <w:sz w:val="18"/>
                <w:szCs w:val="18"/>
              </w:rPr>
            </w:pPr>
            <w:r w:rsidRPr="0060566C">
              <w:rPr>
                <w:rFonts w:ascii="Times New Roman" w:eastAsiaTheme="minorHAnsi" w:hAnsi="Times New Roman"/>
                <w:sz w:val="18"/>
                <w:szCs w:val="18"/>
              </w:rPr>
              <w:t>Inventaire des contentieux</w:t>
            </w:r>
          </w:p>
        </w:tc>
        <w:tc>
          <w:tcPr>
            <w:tcW w:w="2810" w:type="dxa"/>
            <w:vAlign w:val="center"/>
          </w:tcPr>
          <w:p w:rsidR="006F1D16" w:rsidRPr="00CD66A1" w:rsidRDefault="006F1D16" w:rsidP="004F4212">
            <w:pPr>
              <w:ind w:right="57"/>
              <w:rPr>
                <w:sz w:val="20"/>
                <w:szCs w:val="20"/>
              </w:rPr>
            </w:pPr>
            <w:r w:rsidRPr="00CD66A1">
              <w:rPr>
                <w:sz w:val="20"/>
                <w:szCs w:val="20"/>
              </w:rPr>
              <w:t>Rapport d’activités</w:t>
            </w:r>
          </w:p>
          <w:p w:rsidR="006F1D16" w:rsidRPr="00CD66A1" w:rsidRDefault="006F1D16" w:rsidP="004F4212">
            <w:pPr>
              <w:ind w:right="57"/>
              <w:rPr>
                <w:sz w:val="20"/>
                <w:szCs w:val="20"/>
              </w:rPr>
            </w:pPr>
            <w:r w:rsidRPr="00CD66A1">
              <w:rPr>
                <w:sz w:val="20"/>
                <w:szCs w:val="20"/>
              </w:rPr>
              <w:t>Par observation direct des PV signés par les différentes parties</w:t>
            </w:r>
          </w:p>
        </w:tc>
        <w:tc>
          <w:tcPr>
            <w:tcW w:w="1546" w:type="dxa"/>
            <w:vAlign w:val="center"/>
          </w:tcPr>
          <w:p w:rsidR="006F1D16" w:rsidRPr="0060566C" w:rsidRDefault="006F1D16" w:rsidP="004F4212">
            <w:pPr>
              <w:ind w:right="57"/>
              <w:rPr>
                <w:b/>
                <w:sz w:val="18"/>
                <w:szCs w:val="18"/>
              </w:rPr>
            </w:pPr>
            <w:r w:rsidRPr="0060566C">
              <w:rPr>
                <w:b/>
                <w:sz w:val="18"/>
                <w:szCs w:val="18"/>
              </w:rPr>
              <w:t>Promoteur</w:t>
            </w:r>
          </w:p>
        </w:tc>
        <w:tc>
          <w:tcPr>
            <w:tcW w:w="1364" w:type="dxa"/>
            <w:vAlign w:val="center"/>
          </w:tcPr>
          <w:p w:rsidR="006F1D16" w:rsidRPr="00CD66A1" w:rsidRDefault="006F1D16" w:rsidP="004F4212">
            <w:pPr>
              <w:ind w:right="57"/>
              <w:rPr>
                <w:b/>
                <w:sz w:val="20"/>
                <w:szCs w:val="20"/>
              </w:rPr>
            </w:pPr>
            <w:bookmarkStart w:id="303" w:name="_Toc34007077"/>
            <w:bookmarkStart w:id="304" w:name="_Toc34007279"/>
            <w:bookmarkStart w:id="305" w:name="_Toc42617954"/>
            <w:r w:rsidRPr="00CD66A1">
              <w:rPr>
                <w:b/>
                <w:sz w:val="20"/>
                <w:szCs w:val="20"/>
              </w:rPr>
              <w:t>Avant le début des travaux</w:t>
            </w:r>
            <w:bookmarkEnd w:id="303"/>
            <w:bookmarkEnd w:id="304"/>
            <w:bookmarkEnd w:id="305"/>
          </w:p>
        </w:tc>
        <w:tc>
          <w:tcPr>
            <w:tcW w:w="1336" w:type="dxa"/>
            <w:vAlign w:val="center"/>
          </w:tcPr>
          <w:p w:rsidR="006F1D16" w:rsidRPr="00CD66A1" w:rsidRDefault="006F1D16" w:rsidP="004F4212">
            <w:pPr>
              <w:ind w:right="57"/>
              <w:rPr>
                <w:b/>
                <w:sz w:val="20"/>
                <w:szCs w:val="20"/>
              </w:rPr>
            </w:pPr>
            <w:r w:rsidRPr="00CD66A1">
              <w:rPr>
                <w:b/>
                <w:sz w:val="20"/>
                <w:szCs w:val="20"/>
              </w:rPr>
              <w:t>Respect de la législation</w:t>
            </w:r>
          </w:p>
        </w:tc>
      </w:tr>
      <w:tr w:rsidR="006F1D16" w:rsidRPr="00CD66A1" w:rsidTr="00083B97">
        <w:trPr>
          <w:trHeight w:val="78"/>
          <w:jc w:val="center"/>
        </w:trPr>
        <w:tc>
          <w:tcPr>
            <w:tcW w:w="1555" w:type="dxa"/>
            <w:vMerge/>
            <w:shd w:val="clear" w:color="auto" w:fill="FFFFFF" w:themeFill="background1"/>
          </w:tcPr>
          <w:p w:rsidR="006F1D16" w:rsidRPr="00CD66A1" w:rsidRDefault="006F1D16" w:rsidP="004F4212">
            <w:pPr>
              <w:ind w:right="57"/>
              <w:rPr>
                <w:b/>
                <w:sz w:val="20"/>
                <w:szCs w:val="20"/>
              </w:rPr>
            </w:pPr>
          </w:p>
        </w:tc>
        <w:tc>
          <w:tcPr>
            <w:tcW w:w="1311" w:type="dxa"/>
            <w:vAlign w:val="center"/>
          </w:tcPr>
          <w:p w:rsidR="006F1D16" w:rsidRPr="00CD66A1" w:rsidRDefault="006F1D16" w:rsidP="004F4212">
            <w:pPr>
              <w:ind w:right="57"/>
              <w:rPr>
                <w:b/>
                <w:sz w:val="20"/>
                <w:szCs w:val="20"/>
              </w:rPr>
            </w:pPr>
            <w:r w:rsidRPr="00CD66A1">
              <w:rPr>
                <w:b/>
                <w:sz w:val="20"/>
                <w:szCs w:val="20"/>
              </w:rPr>
              <w:t>Santé</w:t>
            </w:r>
          </w:p>
        </w:tc>
        <w:tc>
          <w:tcPr>
            <w:tcW w:w="4074" w:type="dxa"/>
          </w:tcPr>
          <w:p w:rsidR="006F1D16" w:rsidRPr="0060566C" w:rsidRDefault="006F1D16" w:rsidP="004F4212">
            <w:pPr>
              <w:ind w:right="57"/>
              <w:rPr>
                <w:sz w:val="18"/>
                <w:szCs w:val="18"/>
              </w:rPr>
            </w:pPr>
            <w:r w:rsidRPr="0060566C">
              <w:rPr>
                <w:sz w:val="18"/>
                <w:szCs w:val="18"/>
              </w:rPr>
              <w:t>Dénombrer les maladies imputables au projet et leur taux de prévalence chez le personnel et les populations riveraines ;</w:t>
            </w:r>
          </w:p>
          <w:p w:rsidR="006F1D16" w:rsidRPr="0060566C" w:rsidRDefault="006F1D16" w:rsidP="004F4212">
            <w:pPr>
              <w:ind w:right="57"/>
              <w:rPr>
                <w:sz w:val="18"/>
                <w:szCs w:val="18"/>
              </w:rPr>
            </w:pPr>
            <w:r w:rsidRPr="0060566C">
              <w:rPr>
                <w:sz w:val="18"/>
                <w:szCs w:val="18"/>
              </w:rPr>
              <w:t>Dénombrer les campagnes de sensibilisation sur les IST/VIH-SIDA</w:t>
            </w:r>
          </w:p>
          <w:p w:rsidR="006F1D16" w:rsidRPr="0060566C" w:rsidRDefault="006F1D16" w:rsidP="004F4212">
            <w:pPr>
              <w:ind w:right="57"/>
              <w:rPr>
                <w:sz w:val="18"/>
                <w:szCs w:val="18"/>
              </w:rPr>
            </w:pPr>
            <w:r w:rsidRPr="0060566C">
              <w:rPr>
                <w:sz w:val="18"/>
                <w:szCs w:val="18"/>
              </w:rPr>
              <w:t>Dénombrer les campagnes de sensibilisation sur la COVID 19</w:t>
            </w:r>
          </w:p>
          <w:p w:rsidR="00586F0F" w:rsidRPr="0060566C" w:rsidRDefault="00586F0F" w:rsidP="004F4212">
            <w:pPr>
              <w:ind w:right="57"/>
              <w:rPr>
                <w:sz w:val="18"/>
                <w:szCs w:val="18"/>
              </w:rPr>
            </w:pPr>
            <w:r w:rsidRPr="0060566C">
              <w:rPr>
                <w:sz w:val="18"/>
                <w:szCs w:val="18"/>
              </w:rPr>
              <w:t xml:space="preserve">Dénombrer les cas </w:t>
            </w:r>
            <w:r w:rsidR="001363CE" w:rsidRPr="0060566C">
              <w:rPr>
                <w:sz w:val="18"/>
                <w:szCs w:val="18"/>
              </w:rPr>
              <w:t>d’EAS</w:t>
            </w:r>
            <w:r w:rsidRPr="0060566C">
              <w:rPr>
                <w:sz w:val="18"/>
                <w:szCs w:val="18"/>
              </w:rPr>
              <w:t xml:space="preserve"> / HS</w:t>
            </w:r>
          </w:p>
        </w:tc>
        <w:tc>
          <w:tcPr>
            <w:tcW w:w="2810" w:type="dxa"/>
          </w:tcPr>
          <w:p w:rsidR="006F1D16" w:rsidRPr="00CD66A1" w:rsidRDefault="006F1D16" w:rsidP="004F4212">
            <w:pPr>
              <w:ind w:right="57"/>
              <w:rPr>
                <w:sz w:val="20"/>
                <w:szCs w:val="20"/>
              </w:rPr>
            </w:pPr>
            <w:r w:rsidRPr="00CD66A1">
              <w:rPr>
                <w:sz w:val="20"/>
                <w:szCs w:val="20"/>
              </w:rPr>
              <w:t>Registres de santé ;</w:t>
            </w:r>
          </w:p>
          <w:p w:rsidR="006F1D16" w:rsidRPr="00CD66A1" w:rsidRDefault="006F1D16" w:rsidP="004F4212">
            <w:pPr>
              <w:ind w:right="57"/>
              <w:rPr>
                <w:sz w:val="20"/>
                <w:szCs w:val="20"/>
              </w:rPr>
            </w:pPr>
            <w:r w:rsidRPr="00CD66A1">
              <w:rPr>
                <w:sz w:val="20"/>
                <w:szCs w:val="20"/>
              </w:rPr>
              <w:t>Nombre d’accident ou d’incident signalé ;</w:t>
            </w:r>
          </w:p>
          <w:p w:rsidR="006F1D16" w:rsidRPr="00CD66A1" w:rsidRDefault="006F1D16" w:rsidP="004F4212">
            <w:pPr>
              <w:ind w:right="57"/>
              <w:rPr>
                <w:sz w:val="20"/>
                <w:szCs w:val="20"/>
              </w:rPr>
            </w:pPr>
            <w:r w:rsidRPr="00CD66A1">
              <w:rPr>
                <w:sz w:val="20"/>
                <w:szCs w:val="20"/>
              </w:rPr>
              <w:t>Nombre de consultation pour maladie</w:t>
            </w:r>
          </w:p>
          <w:p w:rsidR="006F1D16" w:rsidRPr="00CD66A1" w:rsidRDefault="006F1D16" w:rsidP="004F4212">
            <w:pPr>
              <w:ind w:right="57"/>
              <w:rPr>
                <w:sz w:val="20"/>
                <w:szCs w:val="20"/>
              </w:rPr>
            </w:pPr>
            <w:r w:rsidRPr="00CD66A1">
              <w:rPr>
                <w:sz w:val="20"/>
                <w:szCs w:val="20"/>
              </w:rPr>
              <w:t>Nombre de sensibilisations effectuées</w:t>
            </w:r>
          </w:p>
          <w:p w:rsidR="009F6D20" w:rsidRPr="00CD66A1" w:rsidRDefault="009F6D20" w:rsidP="004F4212">
            <w:pPr>
              <w:ind w:right="57"/>
              <w:rPr>
                <w:sz w:val="20"/>
                <w:szCs w:val="20"/>
              </w:rPr>
            </w:pPr>
            <w:r w:rsidRPr="00CD66A1">
              <w:rPr>
                <w:sz w:val="20"/>
                <w:szCs w:val="20"/>
              </w:rPr>
              <w:t xml:space="preserve">Nombre de cas </w:t>
            </w:r>
            <w:r w:rsidR="00B72C0F" w:rsidRPr="00CD66A1">
              <w:rPr>
                <w:sz w:val="20"/>
                <w:szCs w:val="20"/>
              </w:rPr>
              <w:t>récences</w:t>
            </w:r>
          </w:p>
        </w:tc>
        <w:tc>
          <w:tcPr>
            <w:tcW w:w="1546" w:type="dxa"/>
          </w:tcPr>
          <w:p w:rsidR="006F1D16" w:rsidRPr="0060566C" w:rsidRDefault="006F1D16" w:rsidP="004F4212">
            <w:pPr>
              <w:ind w:right="57"/>
              <w:rPr>
                <w:b/>
                <w:sz w:val="18"/>
                <w:szCs w:val="18"/>
              </w:rPr>
            </w:pPr>
            <w:r w:rsidRPr="0060566C">
              <w:rPr>
                <w:b/>
                <w:sz w:val="18"/>
                <w:szCs w:val="18"/>
              </w:rPr>
              <w:t xml:space="preserve">Environnementaliste de l’Entreprise </w:t>
            </w:r>
          </w:p>
          <w:p w:rsidR="006F1D16" w:rsidRPr="0060566C" w:rsidRDefault="00637EB9" w:rsidP="004F4212">
            <w:pPr>
              <w:ind w:right="57"/>
              <w:rPr>
                <w:b/>
                <w:sz w:val="18"/>
                <w:szCs w:val="18"/>
              </w:rPr>
            </w:pPr>
            <w:r w:rsidRPr="0060566C">
              <w:rPr>
                <w:b/>
                <w:sz w:val="18"/>
                <w:szCs w:val="18"/>
              </w:rPr>
              <w:t>Mission de contrôle (AAAC, Santé, Hygiène</w:t>
            </w:r>
            <w:r w:rsidR="006F1D16" w:rsidRPr="0060566C">
              <w:rPr>
                <w:b/>
                <w:sz w:val="18"/>
                <w:szCs w:val="18"/>
              </w:rPr>
              <w:t>)</w:t>
            </w:r>
          </w:p>
          <w:p w:rsidR="006F1D16" w:rsidRPr="0060566C" w:rsidRDefault="006F1D16" w:rsidP="004F4212">
            <w:pPr>
              <w:ind w:right="57"/>
              <w:rPr>
                <w:b/>
                <w:sz w:val="18"/>
                <w:szCs w:val="18"/>
              </w:rPr>
            </w:pPr>
          </w:p>
        </w:tc>
        <w:tc>
          <w:tcPr>
            <w:tcW w:w="1364" w:type="dxa"/>
            <w:vAlign w:val="center"/>
          </w:tcPr>
          <w:p w:rsidR="006F1D16" w:rsidRPr="00CD66A1" w:rsidRDefault="006F1D16" w:rsidP="004F4212">
            <w:pPr>
              <w:ind w:right="57"/>
              <w:rPr>
                <w:b/>
                <w:sz w:val="20"/>
                <w:szCs w:val="20"/>
              </w:rPr>
            </w:pPr>
            <w:r w:rsidRPr="00CD66A1">
              <w:rPr>
                <w:b/>
                <w:sz w:val="20"/>
                <w:szCs w:val="20"/>
              </w:rPr>
              <w:t>Semestrielle</w:t>
            </w:r>
          </w:p>
        </w:tc>
        <w:tc>
          <w:tcPr>
            <w:tcW w:w="1336" w:type="dxa"/>
            <w:vAlign w:val="center"/>
          </w:tcPr>
          <w:p w:rsidR="006F1D16" w:rsidRPr="00CD66A1" w:rsidRDefault="006F1D16" w:rsidP="004F4212">
            <w:pPr>
              <w:ind w:right="57"/>
              <w:rPr>
                <w:b/>
                <w:sz w:val="20"/>
                <w:szCs w:val="20"/>
              </w:rPr>
            </w:pPr>
            <w:r w:rsidRPr="00CD66A1">
              <w:rPr>
                <w:b/>
                <w:sz w:val="20"/>
                <w:szCs w:val="20"/>
              </w:rPr>
              <w:t>Préservation de la santé</w:t>
            </w:r>
          </w:p>
        </w:tc>
      </w:tr>
      <w:tr w:rsidR="006F1D16" w:rsidRPr="00CD66A1" w:rsidTr="00EC7847">
        <w:trPr>
          <w:trHeight w:val="86"/>
          <w:jc w:val="center"/>
        </w:trPr>
        <w:tc>
          <w:tcPr>
            <w:tcW w:w="1555" w:type="dxa"/>
            <w:vMerge/>
            <w:shd w:val="clear" w:color="auto" w:fill="FFFFFF" w:themeFill="background1"/>
          </w:tcPr>
          <w:p w:rsidR="006F1D16" w:rsidRPr="00CD66A1" w:rsidRDefault="006F1D16" w:rsidP="004F4212">
            <w:pPr>
              <w:ind w:right="57"/>
              <w:rPr>
                <w:b/>
                <w:sz w:val="20"/>
                <w:szCs w:val="20"/>
              </w:rPr>
            </w:pPr>
          </w:p>
        </w:tc>
        <w:tc>
          <w:tcPr>
            <w:tcW w:w="1311" w:type="dxa"/>
            <w:vAlign w:val="center"/>
          </w:tcPr>
          <w:p w:rsidR="006F1D16" w:rsidRPr="00CD66A1" w:rsidRDefault="006F1D16" w:rsidP="004F4212">
            <w:pPr>
              <w:ind w:right="57"/>
              <w:rPr>
                <w:b/>
                <w:sz w:val="20"/>
                <w:szCs w:val="20"/>
              </w:rPr>
            </w:pPr>
            <w:r w:rsidRPr="00CD66A1">
              <w:rPr>
                <w:b/>
                <w:sz w:val="20"/>
                <w:szCs w:val="20"/>
              </w:rPr>
              <w:t>Activités</w:t>
            </w:r>
            <w:r w:rsidR="00264468">
              <w:rPr>
                <w:rStyle w:val="Refdenotaderodap"/>
                <w:b/>
                <w:szCs w:val="20"/>
              </w:rPr>
              <w:footnoteReference w:id="4"/>
            </w:r>
            <w:r w:rsidRPr="00CD66A1">
              <w:rPr>
                <w:b/>
                <w:sz w:val="20"/>
                <w:szCs w:val="20"/>
              </w:rPr>
              <w:t>socio-économiques</w:t>
            </w:r>
          </w:p>
        </w:tc>
        <w:tc>
          <w:tcPr>
            <w:tcW w:w="4074" w:type="dxa"/>
          </w:tcPr>
          <w:p w:rsidR="006F1D16" w:rsidRPr="0060566C" w:rsidRDefault="006F1D16" w:rsidP="004F4212">
            <w:pPr>
              <w:ind w:right="57"/>
              <w:rPr>
                <w:sz w:val="18"/>
                <w:szCs w:val="18"/>
              </w:rPr>
            </w:pPr>
            <w:r w:rsidRPr="0060566C">
              <w:rPr>
                <w:sz w:val="18"/>
                <w:szCs w:val="18"/>
              </w:rPr>
              <w:t>Dénombrer les activités socioéconomiques induites par la présence du projet ;</w:t>
            </w:r>
          </w:p>
          <w:p w:rsidR="001363CE" w:rsidRPr="0060566C" w:rsidRDefault="006F1D16" w:rsidP="004F4212">
            <w:pPr>
              <w:ind w:right="57"/>
              <w:rPr>
                <w:sz w:val="18"/>
                <w:szCs w:val="18"/>
              </w:rPr>
            </w:pPr>
            <w:r w:rsidRPr="0060566C">
              <w:rPr>
                <w:sz w:val="18"/>
                <w:szCs w:val="18"/>
              </w:rPr>
              <w:t xml:space="preserve">Dénombrer les personnes formées à des activités génératrices de </w:t>
            </w:r>
            <w:r w:rsidR="001363CE" w:rsidRPr="0060566C">
              <w:rPr>
                <w:sz w:val="18"/>
                <w:szCs w:val="18"/>
              </w:rPr>
              <w:t>revenus</w:t>
            </w:r>
          </w:p>
          <w:p w:rsidR="006F1D16" w:rsidRPr="0060566C" w:rsidRDefault="001363CE" w:rsidP="004F4212">
            <w:pPr>
              <w:ind w:right="57"/>
              <w:rPr>
                <w:sz w:val="18"/>
                <w:szCs w:val="18"/>
              </w:rPr>
            </w:pPr>
            <w:r w:rsidRPr="0060566C">
              <w:rPr>
                <w:sz w:val="18"/>
                <w:szCs w:val="18"/>
              </w:rPr>
              <w:t>Dénombrer les personnes sensibilisées en matière de risques d’EAS/HS</w:t>
            </w:r>
          </w:p>
          <w:p w:rsidR="006F1D16" w:rsidRPr="0060566C" w:rsidRDefault="006F1D16" w:rsidP="004F4212">
            <w:pPr>
              <w:ind w:right="57"/>
              <w:rPr>
                <w:sz w:val="18"/>
                <w:szCs w:val="18"/>
              </w:rPr>
            </w:pPr>
            <w:r w:rsidRPr="0060566C">
              <w:rPr>
                <w:sz w:val="18"/>
                <w:szCs w:val="18"/>
              </w:rPr>
              <w:t>Dénombrer les mesures d’accompagnement</w:t>
            </w:r>
          </w:p>
          <w:p w:rsidR="006F1D16" w:rsidRPr="0060566C" w:rsidRDefault="006F1D16" w:rsidP="004F4212">
            <w:pPr>
              <w:ind w:right="57"/>
              <w:rPr>
                <w:sz w:val="18"/>
                <w:szCs w:val="18"/>
              </w:rPr>
            </w:pPr>
            <w:r w:rsidRPr="0060566C">
              <w:rPr>
                <w:sz w:val="18"/>
                <w:szCs w:val="18"/>
              </w:rPr>
              <w:t xml:space="preserve">Combien de jeunes sont recrutés dans chaque secteur concerné par le projet </w:t>
            </w:r>
          </w:p>
        </w:tc>
        <w:tc>
          <w:tcPr>
            <w:tcW w:w="2810" w:type="dxa"/>
          </w:tcPr>
          <w:p w:rsidR="006F1D16" w:rsidRPr="00CD66A1" w:rsidRDefault="006F1D16" w:rsidP="004F4212">
            <w:pPr>
              <w:ind w:right="57"/>
              <w:rPr>
                <w:sz w:val="20"/>
                <w:szCs w:val="20"/>
              </w:rPr>
            </w:pPr>
          </w:p>
          <w:p w:rsidR="006F1D16" w:rsidRPr="00CD66A1" w:rsidRDefault="006F1D16" w:rsidP="004F4212">
            <w:pPr>
              <w:ind w:right="57"/>
              <w:rPr>
                <w:sz w:val="20"/>
                <w:szCs w:val="20"/>
              </w:rPr>
            </w:pPr>
            <w:r w:rsidRPr="00CD66A1">
              <w:rPr>
                <w:sz w:val="20"/>
                <w:szCs w:val="20"/>
              </w:rPr>
              <w:t xml:space="preserve">Enquêtes auprès des populations, </w:t>
            </w:r>
          </w:p>
          <w:p w:rsidR="006F1D16" w:rsidRPr="00CD66A1" w:rsidRDefault="006F1D16" w:rsidP="004F4212">
            <w:pPr>
              <w:ind w:right="57"/>
              <w:rPr>
                <w:sz w:val="20"/>
                <w:szCs w:val="20"/>
              </w:rPr>
            </w:pPr>
            <w:r w:rsidRPr="00CD66A1">
              <w:rPr>
                <w:sz w:val="20"/>
                <w:szCs w:val="20"/>
              </w:rPr>
              <w:t>Par identification des fiches de recrutement ;</w:t>
            </w:r>
          </w:p>
          <w:p w:rsidR="006F1D16" w:rsidRPr="00CD66A1" w:rsidRDefault="006F1D16" w:rsidP="004F4212">
            <w:pPr>
              <w:ind w:right="57"/>
              <w:rPr>
                <w:sz w:val="20"/>
                <w:szCs w:val="20"/>
              </w:rPr>
            </w:pPr>
            <w:r w:rsidRPr="00CD66A1">
              <w:rPr>
                <w:sz w:val="20"/>
                <w:szCs w:val="20"/>
              </w:rPr>
              <w:t>Fiche de paie</w:t>
            </w:r>
          </w:p>
          <w:p w:rsidR="006F1D16" w:rsidRPr="00CD66A1" w:rsidRDefault="006F1D16" w:rsidP="004F4212">
            <w:pPr>
              <w:ind w:right="57"/>
              <w:rPr>
                <w:sz w:val="20"/>
                <w:szCs w:val="20"/>
              </w:rPr>
            </w:pPr>
          </w:p>
        </w:tc>
        <w:tc>
          <w:tcPr>
            <w:tcW w:w="1546" w:type="dxa"/>
            <w:vAlign w:val="center"/>
          </w:tcPr>
          <w:p w:rsidR="006F1D16" w:rsidRPr="0060566C" w:rsidRDefault="006F1D16" w:rsidP="004F4212">
            <w:pPr>
              <w:ind w:right="57"/>
              <w:rPr>
                <w:b/>
                <w:sz w:val="18"/>
                <w:szCs w:val="18"/>
              </w:rPr>
            </w:pPr>
            <w:r w:rsidRPr="0060566C">
              <w:rPr>
                <w:b/>
                <w:sz w:val="18"/>
                <w:szCs w:val="18"/>
              </w:rPr>
              <w:t>Mission de contr</w:t>
            </w:r>
            <w:r w:rsidR="006F353E" w:rsidRPr="0060566C">
              <w:rPr>
                <w:b/>
                <w:sz w:val="18"/>
                <w:szCs w:val="18"/>
              </w:rPr>
              <w:t>ôle (inspection du travail, AAA</w:t>
            </w:r>
            <w:r w:rsidRPr="0060566C">
              <w:rPr>
                <w:b/>
                <w:sz w:val="18"/>
                <w:szCs w:val="18"/>
              </w:rPr>
              <w:t>C), Mairie, Promoteur</w:t>
            </w:r>
          </w:p>
          <w:p w:rsidR="006F1D16" w:rsidRPr="0060566C" w:rsidRDefault="006F1D16" w:rsidP="004F4212">
            <w:pPr>
              <w:ind w:right="57"/>
              <w:rPr>
                <w:b/>
                <w:sz w:val="18"/>
                <w:szCs w:val="18"/>
              </w:rPr>
            </w:pPr>
          </w:p>
        </w:tc>
        <w:tc>
          <w:tcPr>
            <w:tcW w:w="1364" w:type="dxa"/>
            <w:vAlign w:val="center"/>
          </w:tcPr>
          <w:p w:rsidR="006F1D16" w:rsidRPr="00CD66A1" w:rsidRDefault="006F1D16" w:rsidP="004F4212">
            <w:pPr>
              <w:ind w:right="57"/>
              <w:rPr>
                <w:b/>
                <w:sz w:val="20"/>
                <w:szCs w:val="20"/>
              </w:rPr>
            </w:pPr>
            <w:r w:rsidRPr="00CD66A1">
              <w:rPr>
                <w:b/>
                <w:sz w:val="20"/>
                <w:szCs w:val="20"/>
              </w:rPr>
              <w:t>Trimestrielle</w:t>
            </w:r>
          </w:p>
        </w:tc>
        <w:tc>
          <w:tcPr>
            <w:tcW w:w="1336" w:type="dxa"/>
            <w:vAlign w:val="center"/>
          </w:tcPr>
          <w:p w:rsidR="006F1D16" w:rsidRPr="00CD66A1" w:rsidRDefault="006F1D16" w:rsidP="004F4212">
            <w:pPr>
              <w:ind w:right="57"/>
              <w:rPr>
                <w:b/>
                <w:sz w:val="20"/>
                <w:szCs w:val="20"/>
              </w:rPr>
            </w:pPr>
            <w:r w:rsidRPr="00CD66A1">
              <w:rPr>
                <w:b/>
                <w:sz w:val="20"/>
                <w:szCs w:val="20"/>
              </w:rPr>
              <w:t>Réduction de la pauvreté</w:t>
            </w:r>
          </w:p>
        </w:tc>
      </w:tr>
    </w:tbl>
    <w:p w:rsidR="006F1D16" w:rsidRPr="00A05698" w:rsidRDefault="006F1D16" w:rsidP="004F4212">
      <w:pPr>
        <w:sectPr w:rsidR="006F1D16" w:rsidRPr="00A05698" w:rsidSect="007945F0">
          <w:headerReference w:type="default" r:id="rId61"/>
          <w:footerReference w:type="default" r:id="rId62"/>
          <w:pgSz w:w="16840" w:h="11910" w:orient="landscape"/>
          <w:pgMar w:top="1417" w:right="1417" w:bottom="1417" w:left="1417" w:header="499" w:footer="709" w:gutter="0"/>
          <w:cols w:space="720"/>
          <w:docGrid w:linePitch="299"/>
        </w:sectPr>
      </w:pPr>
    </w:p>
    <w:p w:rsidR="003F6C7E" w:rsidRPr="00FF0A9A" w:rsidRDefault="003F6C7E" w:rsidP="00157035">
      <w:pPr>
        <w:pStyle w:val="PargrafodaLista"/>
        <w:numPr>
          <w:ilvl w:val="2"/>
          <w:numId w:val="99"/>
        </w:numPr>
        <w:spacing w:after="120" w:line="240" w:lineRule="auto"/>
        <w:ind w:right="-50"/>
        <w:outlineLvl w:val="1"/>
        <w:rPr>
          <w:rFonts w:ascii="Times New Roman" w:hAnsi="Times New Roman"/>
          <w:b/>
          <w:bCs/>
          <w:sz w:val="24"/>
          <w:szCs w:val="24"/>
        </w:rPr>
      </w:pPr>
      <w:bookmarkStart w:id="306" w:name="_Toc73459758"/>
      <w:bookmarkEnd w:id="270"/>
      <w:bookmarkEnd w:id="271"/>
      <w:r w:rsidRPr="00FF0A9A">
        <w:rPr>
          <w:rFonts w:ascii="Times New Roman" w:hAnsi="Times New Roman"/>
          <w:b/>
          <w:bCs/>
          <w:sz w:val="24"/>
          <w:szCs w:val="24"/>
        </w:rPr>
        <w:t>Calendrier de mise en œuvre des mesures</w:t>
      </w:r>
      <w:bookmarkEnd w:id="306"/>
      <w:r w:rsidRPr="00FF0A9A">
        <w:rPr>
          <w:rFonts w:ascii="Times New Roman" w:hAnsi="Times New Roman"/>
          <w:b/>
          <w:bCs/>
          <w:sz w:val="24"/>
          <w:szCs w:val="24"/>
        </w:rPr>
        <w:t xml:space="preserve"> </w:t>
      </w:r>
    </w:p>
    <w:p w:rsidR="00C9070C" w:rsidRPr="007131E8" w:rsidRDefault="003F6C7E" w:rsidP="00FF0A9A">
      <w:pPr>
        <w:ind w:left="284" w:right="-50"/>
      </w:pPr>
      <w:r w:rsidRPr="00D901AE">
        <w:t>Le calendrier de mise en œuvre et de suivi des activi</w:t>
      </w:r>
      <w:r w:rsidR="006F7649" w:rsidRPr="00D901AE">
        <w:t>tés environnementales du projet PUSA</w:t>
      </w:r>
      <w:r w:rsidRPr="00D901AE">
        <w:t xml:space="preserve"> s’établira comme suit : </w:t>
      </w:r>
    </w:p>
    <w:p w:rsidR="00E547CB" w:rsidRPr="00484E79" w:rsidRDefault="00B46AFA" w:rsidP="00E547CB">
      <w:pPr>
        <w:pStyle w:val="Legenda"/>
        <w:jc w:val="center"/>
        <w:rPr>
          <w:sz w:val="22"/>
          <w:szCs w:val="22"/>
        </w:rPr>
      </w:pPr>
      <w:bookmarkStart w:id="307" w:name="_Toc73522628"/>
      <w:r w:rsidRPr="00FF0A9A">
        <w:t xml:space="preserve">Tableau </w:t>
      </w:r>
      <w:r w:rsidR="00D00D1D">
        <w:fldChar w:fldCharType="begin"/>
      </w:r>
      <w:r w:rsidR="00D00D1D">
        <w:instrText xml:space="preserve"> SEQ Tableau \* ARABIC </w:instrText>
      </w:r>
      <w:r w:rsidR="00D00D1D">
        <w:fldChar w:fldCharType="separate"/>
      </w:r>
      <w:r w:rsidR="0060566C">
        <w:rPr>
          <w:noProof/>
        </w:rPr>
        <w:t>22</w:t>
      </w:r>
      <w:r w:rsidR="00D00D1D">
        <w:rPr>
          <w:noProof/>
        </w:rPr>
        <w:fldChar w:fldCharType="end"/>
      </w:r>
      <w:r w:rsidR="00E547CB" w:rsidRPr="00484E79">
        <w:rPr>
          <w:sz w:val="22"/>
          <w:szCs w:val="22"/>
        </w:rPr>
        <w:t>: Calendrier de mise en œuvre des mesures</w:t>
      </w:r>
      <w:bookmarkEnd w:id="307"/>
    </w:p>
    <w:tbl>
      <w:tblPr>
        <w:tblpPr w:leftFromText="141" w:rightFromText="141" w:vertAnchor="page" w:horzAnchor="margin" w:tblpY="2731"/>
        <w:tblW w:w="99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6"/>
        <w:gridCol w:w="1701"/>
        <w:gridCol w:w="2585"/>
        <w:gridCol w:w="3260"/>
      </w:tblGrid>
      <w:tr w:rsidR="00D901AE" w:rsidRPr="00F96430" w:rsidTr="0060566C">
        <w:trPr>
          <w:cantSplit/>
          <w:trHeight w:val="83"/>
        </w:trPr>
        <w:tc>
          <w:tcPr>
            <w:tcW w:w="2376" w:type="dxa"/>
            <w:vMerge w:val="restart"/>
            <w:tcBorders>
              <w:top w:val="single" w:sz="4" w:space="0" w:color="auto"/>
              <w:right w:val="single" w:sz="4" w:space="0" w:color="auto"/>
            </w:tcBorders>
            <w:shd w:val="clear" w:color="auto" w:fill="E2EFD9" w:themeFill="accent6" w:themeFillTint="33"/>
            <w:vAlign w:val="center"/>
          </w:tcPr>
          <w:p w:rsidR="00653664" w:rsidRPr="00D901AE" w:rsidRDefault="00653664" w:rsidP="0060566C">
            <w:pPr>
              <w:jc w:val="center"/>
              <w:rPr>
                <w:b/>
                <w:color w:val="000000"/>
                <w:sz w:val="20"/>
                <w:szCs w:val="20"/>
              </w:rPr>
            </w:pPr>
            <w:r w:rsidRPr="00D901AE">
              <w:rPr>
                <w:b/>
                <w:color w:val="000000"/>
                <w:sz w:val="20"/>
                <w:szCs w:val="20"/>
              </w:rPr>
              <w:t>Mesures</w:t>
            </w:r>
          </w:p>
        </w:tc>
        <w:tc>
          <w:tcPr>
            <w:tcW w:w="4286" w:type="dxa"/>
            <w:gridSpan w:val="2"/>
            <w:vMerge w:val="restart"/>
            <w:tcBorders>
              <w:left w:val="single" w:sz="4" w:space="0" w:color="auto"/>
              <w:right w:val="single" w:sz="4" w:space="0" w:color="auto"/>
            </w:tcBorders>
            <w:shd w:val="clear" w:color="auto" w:fill="E2EFD9" w:themeFill="accent6" w:themeFillTint="33"/>
            <w:vAlign w:val="center"/>
          </w:tcPr>
          <w:p w:rsidR="00653664" w:rsidRPr="00D901AE" w:rsidRDefault="00653664" w:rsidP="0060566C">
            <w:pPr>
              <w:jc w:val="center"/>
              <w:rPr>
                <w:b/>
                <w:color w:val="000000"/>
                <w:sz w:val="20"/>
                <w:szCs w:val="20"/>
              </w:rPr>
            </w:pPr>
            <w:r w:rsidRPr="00D901AE">
              <w:rPr>
                <w:b/>
                <w:sz w:val="20"/>
                <w:szCs w:val="20"/>
              </w:rPr>
              <w:t xml:space="preserve">Actions proposées  </w:t>
            </w:r>
          </w:p>
        </w:tc>
        <w:tc>
          <w:tcPr>
            <w:tcW w:w="3260" w:type="dxa"/>
            <w:tcBorders>
              <w:left w:val="single" w:sz="4" w:space="0" w:color="auto"/>
              <w:bottom w:val="single" w:sz="6" w:space="0" w:color="000000"/>
              <w:right w:val="single" w:sz="4" w:space="0" w:color="auto"/>
            </w:tcBorders>
            <w:shd w:val="clear" w:color="auto" w:fill="E2EFD9" w:themeFill="accent6" w:themeFillTint="33"/>
          </w:tcPr>
          <w:p w:rsidR="00653664" w:rsidRPr="00D901AE" w:rsidRDefault="00653664" w:rsidP="0060566C">
            <w:pPr>
              <w:jc w:val="center"/>
              <w:rPr>
                <w:b/>
                <w:sz w:val="20"/>
                <w:szCs w:val="20"/>
              </w:rPr>
            </w:pPr>
            <w:r w:rsidRPr="00D901AE">
              <w:rPr>
                <w:b/>
                <w:sz w:val="20"/>
                <w:szCs w:val="20"/>
              </w:rPr>
              <w:t xml:space="preserve">Période de réalisation </w:t>
            </w:r>
          </w:p>
        </w:tc>
      </w:tr>
      <w:tr w:rsidR="00D901AE" w:rsidRPr="00F96430" w:rsidTr="0060566C">
        <w:trPr>
          <w:cantSplit/>
          <w:trHeight w:val="60"/>
        </w:trPr>
        <w:tc>
          <w:tcPr>
            <w:tcW w:w="2376" w:type="dxa"/>
            <w:vMerge/>
            <w:tcBorders>
              <w:bottom w:val="single" w:sz="4" w:space="0" w:color="auto"/>
              <w:right w:val="single" w:sz="4" w:space="0" w:color="auto"/>
            </w:tcBorders>
            <w:vAlign w:val="center"/>
          </w:tcPr>
          <w:p w:rsidR="00653664" w:rsidRPr="00F96430" w:rsidRDefault="00653664" w:rsidP="0060566C">
            <w:pPr>
              <w:jc w:val="center"/>
              <w:rPr>
                <w:b/>
                <w:color w:val="000000"/>
                <w:sz w:val="20"/>
                <w:szCs w:val="20"/>
              </w:rPr>
            </w:pPr>
          </w:p>
        </w:tc>
        <w:tc>
          <w:tcPr>
            <w:tcW w:w="4286" w:type="dxa"/>
            <w:gridSpan w:val="2"/>
            <w:vMerge/>
            <w:tcBorders>
              <w:left w:val="single" w:sz="4" w:space="0" w:color="auto"/>
              <w:right w:val="single" w:sz="4" w:space="0" w:color="auto"/>
            </w:tcBorders>
            <w:vAlign w:val="center"/>
          </w:tcPr>
          <w:p w:rsidR="00653664" w:rsidRPr="00F96430" w:rsidRDefault="00653664" w:rsidP="0060566C">
            <w:pPr>
              <w:jc w:val="center"/>
              <w:rPr>
                <w:b/>
                <w:sz w:val="20"/>
                <w:szCs w:val="20"/>
              </w:rPr>
            </w:pPr>
          </w:p>
        </w:tc>
        <w:tc>
          <w:tcPr>
            <w:tcW w:w="3260" w:type="dxa"/>
            <w:tcBorders>
              <w:left w:val="single" w:sz="4" w:space="0" w:color="auto"/>
              <w:bottom w:val="single" w:sz="4" w:space="0" w:color="auto"/>
              <w:right w:val="single" w:sz="4" w:space="0" w:color="auto"/>
            </w:tcBorders>
            <w:shd w:val="clear" w:color="auto" w:fill="FFF2CC" w:themeFill="accent4" w:themeFillTint="33"/>
          </w:tcPr>
          <w:p w:rsidR="00653664" w:rsidRPr="00F96430" w:rsidRDefault="00653664" w:rsidP="0060566C">
            <w:pPr>
              <w:jc w:val="center"/>
              <w:rPr>
                <w:b/>
                <w:sz w:val="20"/>
                <w:szCs w:val="20"/>
              </w:rPr>
            </w:pPr>
            <w:r w:rsidRPr="00F96430">
              <w:rPr>
                <w:b/>
                <w:sz w:val="20"/>
                <w:szCs w:val="20"/>
              </w:rPr>
              <w:t xml:space="preserve">An 1 </w:t>
            </w:r>
          </w:p>
        </w:tc>
      </w:tr>
      <w:tr w:rsidR="00D901AE" w:rsidRPr="00F96430" w:rsidTr="0060566C">
        <w:trPr>
          <w:cantSplit/>
          <w:trHeight w:val="475"/>
        </w:trPr>
        <w:tc>
          <w:tcPr>
            <w:tcW w:w="2376" w:type="dxa"/>
            <w:tcBorders>
              <w:top w:val="single" w:sz="4" w:space="0" w:color="auto"/>
              <w:right w:val="single" w:sz="4" w:space="0" w:color="auto"/>
            </w:tcBorders>
            <w:vAlign w:val="center"/>
          </w:tcPr>
          <w:p w:rsidR="003A13CD" w:rsidRPr="00D901AE" w:rsidRDefault="003A13CD" w:rsidP="0060566C">
            <w:pPr>
              <w:jc w:val="center"/>
              <w:rPr>
                <w:b/>
                <w:bCs/>
                <w:sz w:val="20"/>
                <w:szCs w:val="20"/>
              </w:rPr>
            </w:pPr>
            <w:r w:rsidRPr="00D901AE">
              <w:rPr>
                <w:b/>
                <w:bCs/>
                <w:sz w:val="20"/>
                <w:szCs w:val="20"/>
              </w:rPr>
              <w:t>Mesures d´atténuation</w:t>
            </w:r>
          </w:p>
        </w:tc>
        <w:tc>
          <w:tcPr>
            <w:tcW w:w="4286" w:type="dxa"/>
            <w:gridSpan w:val="2"/>
            <w:tcBorders>
              <w:left w:val="single" w:sz="4" w:space="0" w:color="auto"/>
              <w:right w:val="single" w:sz="4" w:space="0" w:color="auto"/>
            </w:tcBorders>
          </w:tcPr>
          <w:p w:rsidR="003A13CD" w:rsidRPr="00D901AE" w:rsidRDefault="003A13CD" w:rsidP="0060566C">
            <w:pPr>
              <w:rPr>
                <w:sz w:val="20"/>
                <w:szCs w:val="20"/>
              </w:rPr>
            </w:pPr>
            <w:r w:rsidRPr="00D901AE">
              <w:rPr>
                <w:sz w:val="20"/>
                <w:szCs w:val="20"/>
              </w:rPr>
              <w:t>Voir liste des mesures d´atténuation par sous projet</w:t>
            </w:r>
          </w:p>
        </w:tc>
        <w:tc>
          <w:tcPr>
            <w:tcW w:w="3260" w:type="dxa"/>
            <w:tcBorders>
              <w:top w:val="single" w:sz="4" w:space="0" w:color="auto"/>
              <w:left w:val="single" w:sz="4" w:space="0" w:color="auto"/>
              <w:right w:val="single" w:sz="4" w:space="0" w:color="auto"/>
            </w:tcBorders>
          </w:tcPr>
          <w:p w:rsidR="003A13CD" w:rsidRPr="00D901AE" w:rsidRDefault="00791ADE" w:rsidP="0060566C">
            <w:pPr>
              <w:rPr>
                <w:sz w:val="20"/>
                <w:szCs w:val="20"/>
              </w:rPr>
            </w:pPr>
            <w:r w:rsidRPr="00D901AE">
              <w:rPr>
                <w:sz w:val="20"/>
                <w:szCs w:val="20"/>
              </w:rPr>
              <w:t>Dès</w:t>
            </w:r>
            <w:r w:rsidR="004407B1" w:rsidRPr="00D901AE">
              <w:rPr>
                <w:sz w:val="20"/>
                <w:szCs w:val="20"/>
              </w:rPr>
              <w:t xml:space="preserve"> le début et en continus de la mise en œuvre des activités du projet</w:t>
            </w:r>
          </w:p>
        </w:tc>
      </w:tr>
      <w:tr w:rsidR="00D901AE" w:rsidRPr="00F96430" w:rsidTr="0060566C">
        <w:trPr>
          <w:cantSplit/>
          <w:trHeight w:val="545"/>
        </w:trPr>
        <w:tc>
          <w:tcPr>
            <w:tcW w:w="2376" w:type="dxa"/>
            <w:tcBorders>
              <w:top w:val="single" w:sz="4" w:space="0" w:color="auto"/>
              <w:right w:val="single" w:sz="4" w:space="0" w:color="auto"/>
            </w:tcBorders>
            <w:shd w:val="clear" w:color="auto" w:fill="auto"/>
            <w:vAlign w:val="center"/>
          </w:tcPr>
          <w:p w:rsidR="003A13CD" w:rsidRPr="00F96430" w:rsidRDefault="003A13CD" w:rsidP="0060566C">
            <w:pPr>
              <w:jc w:val="center"/>
              <w:rPr>
                <w:b/>
                <w:bCs/>
                <w:sz w:val="20"/>
                <w:szCs w:val="20"/>
              </w:rPr>
            </w:pPr>
            <w:r w:rsidRPr="00F96430">
              <w:rPr>
                <w:b/>
                <w:bCs/>
                <w:sz w:val="20"/>
                <w:szCs w:val="20"/>
              </w:rPr>
              <w:t>Mesures institutionnelles</w:t>
            </w:r>
          </w:p>
        </w:tc>
        <w:tc>
          <w:tcPr>
            <w:tcW w:w="4286" w:type="dxa"/>
            <w:gridSpan w:val="2"/>
            <w:tcBorders>
              <w:left w:val="single" w:sz="4" w:space="0" w:color="auto"/>
              <w:right w:val="single" w:sz="4" w:space="0" w:color="auto"/>
            </w:tcBorders>
            <w:shd w:val="clear" w:color="auto" w:fill="auto"/>
          </w:tcPr>
          <w:p w:rsidR="003A13CD" w:rsidRPr="00F96430" w:rsidRDefault="003A13CD" w:rsidP="0060566C">
            <w:pPr>
              <w:rPr>
                <w:sz w:val="20"/>
                <w:szCs w:val="20"/>
              </w:rPr>
            </w:pPr>
            <w:r w:rsidRPr="00F96430">
              <w:rPr>
                <w:sz w:val="20"/>
                <w:szCs w:val="20"/>
              </w:rPr>
              <w:t>Recrutement d´un Spécialiste en Sauvegardes Environnementales et Sociales</w:t>
            </w:r>
          </w:p>
        </w:tc>
        <w:tc>
          <w:tcPr>
            <w:tcW w:w="3260" w:type="dxa"/>
            <w:tcBorders>
              <w:left w:val="single" w:sz="4" w:space="0" w:color="auto"/>
              <w:right w:val="single" w:sz="4" w:space="0" w:color="auto"/>
            </w:tcBorders>
          </w:tcPr>
          <w:p w:rsidR="003A13CD" w:rsidRPr="00F96430" w:rsidRDefault="00BF09D5" w:rsidP="0060566C">
            <w:pPr>
              <w:rPr>
                <w:sz w:val="20"/>
                <w:szCs w:val="20"/>
              </w:rPr>
            </w:pPr>
            <w:r w:rsidRPr="00F96430">
              <w:rPr>
                <w:sz w:val="20"/>
                <w:szCs w:val="20"/>
              </w:rPr>
              <w:t>Premier</w:t>
            </w:r>
            <w:r w:rsidR="00C50D9E" w:rsidRPr="00F96430">
              <w:rPr>
                <w:sz w:val="20"/>
                <w:szCs w:val="20"/>
              </w:rPr>
              <w:t xml:space="preserve"> mois, avant le début de la mise en œuvre du projet</w:t>
            </w:r>
          </w:p>
        </w:tc>
      </w:tr>
      <w:tr w:rsidR="00E629A7" w:rsidRPr="00F96430" w:rsidTr="0060566C">
        <w:trPr>
          <w:cantSplit/>
          <w:trHeight w:val="491"/>
        </w:trPr>
        <w:tc>
          <w:tcPr>
            <w:tcW w:w="2376" w:type="dxa"/>
            <w:vMerge w:val="restart"/>
            <w:tcBorders>
              <w:top w:val="single" w:sz="4" w:space="0" w:color="auto"/>
              <w:right w:val="single" w:sz="4" w:space="0" w:color="auto"/>
            </w:tcBorders>
            <w:shd w:val="clear" w:color="auto" w:fill="auto"/>
            <w:vAlign w:val="center"/>
          </w:tcPr>
          <w:p w:rsidR="00E629A7" w:rsidRPr="00F96430" w:rsidRDefault="00E629A7" w:rsidP="0060566C">
            <w:pPr>
              <w:jc w:val="center"/>
              <w:rPr>
                <w:b/>
                <w:bCs/>
                <w:sz w:val="20"/>
                <w:szCs w:val="20"/>
              </w:rPr>
            </w:pPr>
            <w:r w:rsidRPr="00F96430">
              <w:rPr>
                <w:b/>
                <w:bCs/>
                <w:sz w:val="20"/>
                <w:szCs w:val="20"/>
              </w:rPr>
              <w:t>Mesures techniques</w:t>
            </w:r>
          </w:p>
          <w:p w:rsidR="00E629A7" w:rsidRPr="00F96430" w:rsidRDefault="00E629A7" w:rsidP="0060566C">
            <w:pPr>
              <w:jc w:val="center"/>
              <w:rPr>
                <w:b/>
                <w:color w:val="000000"/>
                <w:sz w:val="20"/>
                <w:szCs w:val="20"/>
              </w:rPr>
            </w:pPr>
          </w:p>
        </w:tc>
        <w:tc>
          <w:tcPr>
            <w:tcW w:w="4286" w:type="dxa"/>
            <w:gridSpan w:val="2"/>
            <w:tcBorders>
              <w:left w:val="single" w:sz="4" w:space="0" w:color="auto"/>
              <w:right w:val="single" w:sz="4" w:space="0" w:color="auto"/>
            </w:tcBorders>
            <w:shd w:val="clear" w:color="auto" w:fill="auto"/>
          </w:tcPr>
          <w:p w:rsidR="00E629A7" w:rsidRPr="00F96430" w:rsidRDefault="00E629A7" w:rsidP="0060566C">
            <w:pPr>
              <w:rPr>
                <w:sz w:val="20"/>
                <w:szCs w:val="20"/>
              </w:rPr>
            </w:pPr>
            <w:r w:rsidRPr="00F96430">
              <w:rPr>
                <w:sz w:val="20"/>
                <w:szCs w:val="20"/>
              </w:rPr>
              <w:t xml:space="preserve">Réalisation d´EIES pour certains sous projet </w:t>
            </w:r>
          </w:p>
        </w:tc>
        <w:tc>
          <w:tcPr>
            <w:tcW w:w="3260" w:type="dxa"/>
            <w:tcBorders>
              <w:left w:val="single" w:sz="4" w:space="0" w:color="auto"/>
              <w:right w:val="single" w:sz="4" w:space="0" w:color="auto"/>
            </w:tcBorders>
          </w:tcPr>
          <w:p w:rsidR="00E629A7" w:rsidRPr="00F96430" w:rsidRDefault="00E629A7" w:rsidP="0060566C">
            <w:pPr>
              <w:rPr>
                <w:sz w:val="20"/>
                <w:szCs w:val="20"/>
              </w:rPr>
            </w:pPr>
            <w:r w:rsidRPr="00F96430">
              <w:rPr>
                <w:sz w:val="20"/>
                <w:szCs w:val="20"/>
              </w:rPr>
              <w:t xml:space="preserve"> Trois premiers mois, ou avant la mise en œuvre du projet</w:t>
            </w:r>
          </w:p>
        </w:tc>
      </w:tr>
      <w:tr w:rsidR="00E629A7" w:rsidRPr="00F96430" w:rsidTr="0060566C">
        <w:trPr>
          <w:cantSplit/>
          <w:trHeight w:val="142"/>
        </w:trPr>
        <w:tc>
          <w:tcPr>
            <w:tcW w:w="2376" w:type="dxa"/>
            <w:vMerge/>
            <w:tcBorders>
              <w:right w:val="single" w:sz="4" w:space="0" w:color="auto"/>
            </w:tcBorders>
            <w:shd w:val="clear" w:color="auto" w:fill="auto"/>
            <w:vAlign w:val="center"/>
          </w:tcPr>
          <w:p w:rsidR="00E629A7" w:rsidRPr="00F96430" w:rsidRDefault="00E629A7" w:rsidP="0060566C">
            <w:pPr>
              <w:jc w:val="center"/>
              <w:rPr>
                <w:b/>
                <w:bCs/>
                <w:sz w:val="20"/>
                <w:szCs w:val="20"/>
              </w:rPr>
            </w:pPr>
          </w:p>
        </w:tc>
        <w:tc>
          <w:tcPr>
            <w:tcW w:w="4286" w:type="dxa"/>
            <w:gridSpan w:val="2"/>
            <w:tcBorders>
              <w:left w:val="single" w:sz="4" w:space="0" w:color="auto"/>
              <w:right w:val="single" w:sz="4" w:space="0" w:color="auto"/>
            </w:tcBorders>
            <w:shd w:val="clear" w:color="auto" w:fill="auto"/>
          </w:tcPr>
          <w:p w:rsidR="00E629A7" w:rsidRPr="00F96430" w:rsidRDefault="00E629A7" w:rsidP="0060566C">
            <w:pPr>
              <w:rPr>
                <w:sz w:val="20"/>
                <w:szCs w:val="20"/>
              </w:rPr>
            </w:pPr>
            <w:r w:rsidRPr="00F96430">
              <w:rPr>
                <w:sz w:val="20"/>
                <w:szCs w:val="20"/>
              </w:rPr>
              <w:t xml:space="preserve">Réalisation des directives, bonnes pratiques agricoles et manuel d’entretien des infrastructures agricoles </w:t>
            </w:r>
          </w:p>
        </w:tc>
        <w:tc>
          <w:tcPr>
            <w:tcW w:w="3260" w:type="dxa"/>
            <w:tcBorders>
              <w:left w:val="single" w:sz="4" w:space="0" w:color="auto"/>
              <w:right w:val="single" w:sz="4" w:space="0" w:color="auto"/>
            </w:tcBorders>
          </w:tcPr>
          <w:p w:rsidR="00E629A7" w:rsidRPr="00F96430" w:rsidRDefault="00E629A7" w:rsidP="0060566C">
            <w:pPr>
              <w:rPr>
                <w:sz w:val="20"/>
                <w:szCs w:val="20"/>
              </w:rPr>
            </w:pPr>
            <w:r w:rsidRPr="00F96430">
              <w:rPr>
                <w:sz w:val="20"/>
                <w:szCs w:val="20"/>
              </w:rPr>
              <w:t>Troisième mois avant la mise en œuvre du projet</w:t>
            </w:r>
          </w:p>
          <w:p w:rsidR="00E629A7" w:rsidRPr="00F96430" w:rsidRDefault="00E629A7" w:rsidP="0060566C">
            <w:pPr>
              <w:rPr>
                <w:sz w:val="20"/>
                <w:szCs w:val="20"/>
              </w:rPr>
            </w:pPr>
          </w:p>
        </w:tc>
      </w:tr>
      <w:tr w:rsidR="00E629A7" w:rsidRPr="00F96430" w:rsidTr="0060566C">
        <w:trPr>
          <w:cantSplit/>
          <w:trHeight w:val="142"/>
        </w:trPr>
        <w:tc>
          <w:tcPr>
            <w:tcW w:w="2376" w:type="dxa"/>
            <w:vMerge/>
            <w:tcBorders>
              <w:right w:val="single" w:sz="4" w:space="0" w:color="auto"/>
            </w:tcBorders>
            <w:shd w:val="clear" w:color="auto" w:fill="auto"/>
            <w:vAlign w:val="center"/>
          </w:tcPr>
          <w:p w:rsidR="00E629A7" w:rsidRPr="00F96430" w:rsidRDefault="00E629A7" w:rsidP="0060566C">
            <w:pPr>
              <w:jc w:val="center"/>
              <w:rPr>
                <w:b/>
                <w:bCs/>
                <w:sz w:val="20"/>
                <w:szCs w:val="20"/>
              </w:rPr>
            </w:pPr>
          </w:p>
        </w:tc>
        <w:tc>
          <w:tcPr>
            <w:tcW w:w="4286" w:type="dxa"/>
            <w:gridSpan w:val="2"/>
            <w:tcBorders>
              <w:left w:val="single" w:sz="4" w:space="0" w:color="auto"/>
              <w:right w:val="single" w:sz="4" w:space="0" w:color="auto"/>
            </w:tcBorders>
            <w:shd w:val="clear" w:color="auto" w:fill="auto"/>
          </w:tcPr>
          <w:p w:rsidR="00E629A7" w:rsidRPr="00F96430" w:rsidRDefault="00E629A7" w:rsidP="0060566C">
            <w:pPr>
              <w:rPr>
                <w:sz w:val="20"/>
                <w:szCs w:val="20"/>
              </w:rPr>
            </w:pPr>
            <w:r w:rsidRPr="00F96430">
              <w:rPr>
                <w:sz w:val="20"/>
                <w:szCs w:val="20"/>
              </w:rPr>
              <w:t xml:space="preserve">Mesures d’élimination de facteurs de vulnérabilité des activités agricoles </w:t>
            </w:r>
          </w:p>
        </w:tc>
        <w:tc>
          <w:tcPr>
            <w:tcW w:w="3260" w:type="dxa"/>
            <w:tcBorders>
              <w:left w:val="single" w:sz="4" w:space="0" w:color="auto"/>
              <w:right w:val="single" w:sz="4" w:space="0" w:color="auto"/>
            </w:tcBorders>
          </w:tcPr>
          <w:p w:rsidR="00E629A7" w:rsidRPr="00F96430" w:rsidRDefault="00E629A7" w:rsidP="0060566C">
            <w:pPr>
              <w:rPr>
                <w:sz w:val="20"/>
                <w:szCs w:val="20"/>
              </w:rPr>
            </w:pPr>
            <w:r w:rsidRPr="00F96430">
              <w:rPr>
                <w:sz w:val="20"/>
                <w:szCs w:val="20"/>
              </w:rPr>
              <w:t>Début de la mise en œuvre des activités du projet</w:t>
            </w:r>
          </w:p>
        </w:tc>
      </w:tr>
      <w:tr w:rsidR="00D901AE" w:rsidRPr="00F96430" w:rsidTr="0060566C">
        <w:trPr>
          <w:cantSplit/>
          <w:trHeight w:val="485"/>
        </w:trPr>
        <w:tc>
          <w:tcPr>
            <w:tcW w:w="2376" w:type="dxa"/>
            <w:tcBorders>
              <w:top w:val="single" w:sz="4" w:space="0" w:color="auto"/>
              <w:left w:val="single" w:sz="6" w:space="0" w:color="000000"/>
              <w:right w:val="single" w:sz="4" w:space="0" w:color="auto"/>
            </w:tcBorders>
            <w:shd w:val="clear" w:color="auto" w:fill="auto"/>
            <w:vAlign w:val="center"/>
          </w:tcPr>
          <w:p w:rsidR="003A13CD" w:rsidRPr="00F96430" w:rsidRDefault="003A13CD" w:rsidP="0060566C">
            <w:pPr>
              <w:jc w:val="center"/>
              <w:rPr>
                <w:b/>
                <w:bCs/>
                <w:sz w:val="20"/>
                <w:szCs w:val="20"/>
              </w:rPr>
            </w:pPr>
            <w:r w:rsidRPr="00F96430">
              <w:rPr>
                <w:b/>
                <w:bCs/>
                <w:sz w:val="20"/>
                <w:szCs w:val="20"/>
              </w:rPr>
              <w:t>Formation</w:t>
            </w:r>
          </w:p>
        </w:tc>
        <w:tc>
          <w:tcPr>
            <w:tcW w:w="4286" w:type="dxa"/>
            <w:gridSpan w:val="2"/>
            <w:tcBorders>
              <w:top w:val="single" w:sz="6" w:space="0" w:color="000000"/>
              <w:left w:val="single" w:sz="4" w:space="0" w:color="auto"/>
              <w:right w:val="single" w:sz="4" w:space="0" w:color="auto"/>
            </w:tcBorders>
            <w:shd w:val="clear" w:color="auto" w:fill="auto"/>
          </w:tcPr>
          <w:p w:rsidR="003A13CD" w:rsidRPr="00F96430" w:rsidRDefault="003A13CD" w:rsidP="0060566C">
            <w:pPr>
              <w:rPr>
                <w:sz w:val="20"/>
                <w:szCs w:val="20"/>
              </w:rPr>
            </w:pPr>
            <w:r w:rsidRPr="00F96430">
              <w:rPr>
                <w:sz w:val="20"/>
                <w:szCs w:val="20"/>
              </w:rPr>
              <w:t>Formation des Points focaux environnementales et sociales (PFES) en évaluation environnementale</w:t>
            </w:r>
          </w:p>
        </w:tc>
        <w:tc>
          <w:tcPr>
            <w:tcW w:w="3260" w:type="dxa"/>
            <w:tcBorders>
              <w:top w:val="single" w:sz="6" w:space="0" w:color="000000"/>
              <w:left w:val="single" w:sz="4" w:space="0" w:color="auto"/>
              <w:right w:val="single" w:sz="4" w:space="0" w:color="auto"/>
            </w:tcBorders>
          </w:tcPr>
          <w:p w:rsidR="009F69EA" w:rsidRPr="00F96430" w:rsidRDefault="008B1382" w:rsidP="0060566C">
            <w:pPr>
              <w:rPr>
                <w:sz w:val="20"/>
                <w:szCs w:val="20"/>
              </w:rPr>
            </w:pPr>
            <w:r w:rsidRPr="00F96430">
              <w:rPr>
                <w:sz w:val="20"/>
                <w:szCs w:val="20"/>
              </w:rPr>
              <w:t>Premier</w:t>
            </w:r>
            <w:r w:rsidR="009F69EA" w:rsidRPr="00F96430">
              <w:rPr>
                <w:sz w:val="20"/>
                <w:szCs w:val="20"/>
              </w:rPr>
              <w:t xml:space="preserve"> mois après leur désignation </w:t>
            </w:r>
          </w:p>
          <w:p w:rsidR="003A13CD" w:rsidRPr="00F96430" w:rsidRDefault="003A13CD" w:rsidP="0060566C">
            <w:pPr>
              <w:rPr>
                <w:sz w:val="20"/>
                <w:szCs w:val="20"/>
              </w:rPr>
            </w:pPr>
          </w:p>
        </w:tc>
      </w:tr>
      <w:tr w:rsidR="006E6F12" w:rsidRPr="00F96430" w:rsidTr="0060566C">
        <w:trPr>
          <w:cantSplit/>
          <w:trHeight w:val="308"/>
        </w:trPr>
        <w:tc>
          <w:tcPr>
            <w:tcW w:w="2376" w:type="dxa"/>
            <w:tcBorders>
              <w:top w:val="single" w:sz="4" w:space="0" w:color="auto"/>
              <w:left w:val="single" w:sz="6" w:space="0" w:color="000000"/>
              <w:right w:val="single" w:sz="4" w:space="0" w:color="auto"/>
            </w:tcBorders>
            <w:shd w:val="clear" w:color="auto" w:fill="auto"/>
            <w:vAlign w:val="center"/>
          </w:tcPr>
          <w:p w:rsidR="003A13CD" w:rsidRPr="00F96430" w:rsidRDefault="003A13CD" w:rsidP="0060566C">
            <w:pPr>
              <w:jc w:val="center"/>
              <w:rPr>
                <w:b/>
                <w:bCs/>
                <w:sz w:val="20"/>
                <w:szCs w:val="20"/>
              </w:rPr>
            </w:pPr>
            <w:r w:rsidRPr="00F96430">
              <w:rPr>
                <w:b/>
                <w:bCs/>
                <w:sz w:val="20"/>
                <w:szCs w:val="20"/>
              </w:rPr>
              <w:t>Sensibilisation</w:t>
            </w:r>
          </w:p>
        </w:tc>
        <w:tc>
          <w:tcPr>
            <w:tcW w:w="4286" w:type="dxa"/>
            <w:gridSpan w:val="2"/>
            <w:tcBorders>
              <w:top w:val="single" w:sz="6" w:space="0" w:color="000000"/>
              <w:left w:val="single" w:sz="4" w:space="0" w:color="auto"/>
              <w:right w:val="single" w:sz="4" w:space="0" w:color="auto"/>
            </w:tcBorders>
            <w:shd w:val="clear" w:color="auto" w:fill="auto"/>
          </w:tcPr>
          <w:p w:rsidR="003A13CD" w:rsidRPr="00F96430" w:rsidRDefault="003A13CD" w:rsidP="0060566C">
            <w:pPr>
              <w:rPr>
                <w:sz w:val="20"/>
                <w:szCs w:val="20"/>
              </w:rPr>
            </w:pPr>
            <w:r w:rsidRPr="00F96430">
              <w:rPr>
                <w:sz w:val="20"/>
                <w:szCs w:val="20"/>
              </w:rPr>
              <w:t>Sensibilisation et mobilisation des populations locales, des Producteurs agricoles et d’autres acteurs concernés</w:t>
            </w:r>
          </w:p>
        </w:tc>
        <w:tc>
          <w:tcPr>
            <w:tcW w:w="3260" w:type="dxa"/>
            <w:tcBorders>
              <w:top w:val="single" w:sz="6" w:space="0" w:color="000000"/>
              <w:left w:val="single" w:sz="4" w:space="0" w:color="auto"/>
              <w:right w:val="single" w:sz="4" w:space="0" w:color="auto"/>
            </w:tcBorders>
          </w:tcPr>
          <w:p w:rsidR="003A13CD" w:rsidRPr="00F96430" w:rsidRDefault="006E6F12" w:rsidP="0060566C">
            <w:pPr>
              <w:rPr>
                <w:sz w:val="20"/>
                <w:szCs w:val="20"/>
              </w:rPr>
            </w:pPr>
            <w:r w:rsidRPr="00F96430">
              <w:rPr>
                <w:sz w:val="20"/>
                <w:szCs w:val="20"/>
              </w:rPr>
              <w:t>Dès</w:t>
            </w:r>
            <w:r w:rsidR="008B1382" w:rsidRPr="00F96430">
              <w:rPr>
                <w:sz w:val="20"/>
                <w:szCs w:val="20"/>
              </w:rPr>
              <w:t xml:space="preserve"> le début de l'identification des sous projet et des zones d’</w:t>
            </w:r>
            <w:r w:rsidRPr="00F96430">
              <w:rPr>
                <w:sz w:val="20"/>
                <w:szCs w:val="20"/>
              </w:rPr>
              <w:t>intervention validé</w:t>
            </w:r>
          </w:p>
        </w:tc>
      </w:tr>
      <w:tr w:rsidR="00587795" w:rsidRPr="00F96430" w:rsidTr="0060566C">
        <w:trPr>
          <w:cantSplit/>
          <w:trHeight w:val="421"/>
        </w:trPr>
        <w:tc>
          <w:tcPr>
            <w:tcW w:w="2376" w:type="dxa"/>
            <w:vMerge w:val="restart"/>
            <w:tcBorders>
              <w:top w:val="single" w:sz="4" w:space="0" w:color="auto"/>
              <w:left w:val="single" w:sz="6" w:space="0" w:color="000000"/>
              <w:right w:val="single" w:sz="4" w:space="0" w:color="auto"/>
            </w:tcBorders>
            <w:shd w:val="clear" w:color="auto" w:fill="auto"/>
            <w:vAlign w:val="center"/>
          </w:tcPr>
          <w:p w:rsidR="003A13CD" w:rsidRPr="00F96430" w:rsidRDefault="003A13CD" w:rsidP="0060566C">
            <w:pPr>
              <w:jc w:val="center"/>
              <w:rPr>
                <w:b/>
                <w:bCs/>
                <w:sz w:val="20"/>
                <w:szCs w:val="20"/>
              </w:rPr>
            </w:pPr>
            <w:r w:rsidRPr="00F96430">
              <w:rPr>
                <w:b/>
                <w:bCs/>
                <w:sz w:val="20"/>
                <w:szCs w:val="20"/>
              </w:rPr>
              <w:t>Mesures de suivi</w:t>
            </w:r>
          </w:p>
        </w:tc>
        <w:tc>
          <w:tcPr>
            <w:tcW w:w="1701" w:type="dxa"/>
            <w:vMerge w:val="restart"/>
            <w:tcBorders>
              <w:top w:val="single" w:sz="6" w:space="0" w:color="000000"/>
              <w:left w:val="single" w:sz="4" w:space="0" w:color="auto"/>
              <w:right w:val="single" w:sz="4" w:space="0" w:color="auto"/>
            </w:tcBorders>
            <w:shd w:val="clear" w:color="auto" w:fill="auto"/>
            <w:vAlign w:val="center"/>
          </w:tcPr>
          <w:p w:rsidR="004C514A" w:rsidRPr="00F96430" w:rsidRDefault="003A13CD" w:rsidP="0060566C">
            <w:pPr>
              <w:tabs>
                <w:tab w:val="left" w:pos="35"/>
              </w:tabs>
              <w:ind w:hanging="107"/>
              <w:jc w:val="center"/>
              <w:rPr>
                <w:sz w:val="20"/>
                <w:szCs w:val="20"/>
              </w:rPr>
            </w:pPr>
            <w:r w:rsidRPr="00F96430">
              <w:rPr>
                <w:sz w:val="20"/>
                <w:szCs w:val="20"/>
              </w:rPr>
              <w:t>Suivi</w:t>
            </w:r>
          </w:p>
          <w:p w:rsidR="004C514A" w:rsidRPr="00F96430" w:rsidRDefault="0060566C" w:rsidP="0060566C">
            <w:pPr>
              <w:tabs>
                <w:tab w:val="left" w:pos="35"/>
              </w:tabs>
              <w:ind w:hanging="107"/>
              <w:jc w:val="center"/>
              <w:rPr>
                <w:sz w:val="20"/>
                <w:szCs w:val="20"/>
              </w:rPr>
            </w:pPr>
            <w:r w:rsidRPr="00F96430">
              <w:rPr>
                <w:sz w:val="20"/>
                <w:szCs w:val="20"/>
              </w:rPr>
              <w:t>Environnemental</w:t>
            </w:r>
            <w:r w:rsidR="003A13CD" w:rsidRPr="00F96430">
              <w:rPr>
                <w:sz w:val="20"/>
                <w:szCs w:val="20"/>
              </w:rPr>
              <w:t xml:space="preserve"> et</w:t>
            </w:r>
          </w:p>
          <w:p w:rsidR="004C514A" w:rsidRPr="00F96430" w:rsidRDefault="0060566C" w:rsidP="0060566C">
            <w:pPr>
              <w:tabs>
                <w:tab w:val="left" w:pos="35"/>
              </w:tabs>
              <w:ind w:hanging="107"/>
              <w:jc w:val="center"/>
              <w:rPr>
                <w:sz w:val="20"/>
                <w:szCs w:val="20"/>
              </w:rPr>
            </w:pPr>
            <w:r w:rsidRPr="00F96430">
              <w:rPr>
                <w:sz w:val="20"/>
                <w:szCs w:val="20"/>
              </w:rPr>
              <w:t>Surveillance</w:t>
            </w:r>
          </w:p>
          <w:p w:rsidR="004C514A" w:rsidRPr="00F96430" w:rsidRDefault="0060566C" w:rsidP="0060566C">
            <w:pPr>
              <w:tabs>
                <w:tab w:val="left" w:pos="35"/>
              </w:tabs>
              <w:ind w:hanging="107"/>
              <w:jc w:val="center"/>
              <w:rPr>
                <w:sz w:val="20"/>
                <w:szCs w:val="20"/>
              </w:rPr>
            </w:pPr>
            <w:r w:rsidRPr="00F96430">
              <w:rPr>
                <w:sz w:val="20"/>
                <w:szCs w:val="20"/>
              </w:rPr>
              <w:t>Environnementale</w:t>
            </w:r>
          </w:p>
          <w:p w:rsidR="003A13CD" w:rsidRPr="00F96430" w:rsidRDefault="003A13CD" w:rsidP="0060566C">
            <w:pPr>
              <w:tabs>
                <w:tab w:val="left" w:pos="35"/>
              </w:tabs>
              <w:ind w:hanging="107"/>
              <w:jc w:val="center"/>
              <w:rPr>
                <w:sz w:val="20"/>
                <w:szCs w:val="20"/>
              </w:rPr>
            </w:pPr>
            <w:r w:rsidRPr="00F96430">
              <w:rPr>
                <w:sz w:val="20"/>
                <w:szCs w:val="20"/>
              </w:rPr>
              <w:t>du PUSA</w:t>
            </w:r>
          </w:p>
        </w:tc>
        <w:tc>
          <w:tcPr>
            <w:tcW w:w="2585" w:type="dxa"/>
            <w:tcBorders>
              <w:top w:val="single" w:sz="6" w:space="0" w:color="000000"/>
              <w:left w:val="single" w:sz="4" w:space="0" w:color="auto"/>
              <w:right w:val="single" w:sz="4" w:space="0" w:color="auto"/>
            </w:tcBorders>
            <w:shd w:val="clear" w:color="auto" w:fill="auto"/>
            <w:vAlign w:val="center"/>
          </w:tcPr>
          <w:p w:rsidR="003A13CD" w:rsidRPr="00F96430" w:rsidRDefault="003A13CD" w:rsidP="0060566C">
            <w:pPr>
              <w:tabs>
                <w:tab w:val="left" w:pos="35"/>
              </w:tabs>
              <w:ind w:hanging="107"/>
              <w:jc w:val="center"/>
              <w:rPr>
                <w:sz w:val="20"/>
                <w:szCs w:val="20"/>
              </w:rPr>
            </w:pPr>
            <w:r w:rsidRPr="00F96430">
              <w:rPr>
                <w:sz w:val="20"/>
                <w:szCs w:val="20"/>
              </w:rPr>
              <w:t>Suivi</w:t>
            </w:r>
            <w:r w:rsidR="00F96430">
              <w:rPr>
                <w:rFonts w:ascii="MS Mincho" w:eastAsia="MS Mincho" w:hAnsi="MS Mincho" w:cs="MS Mincho"/>
                <w:sz w:val="20"/>
                <w:szCs w:val="20"/>
              </w:rPr>
              <w:t xml:space="preserve"> </w:t>
            </w:r>
            <w:r w:rsidRPr="00F96430">
              <w:rPr>
                <w:sz w:val="20"/>
                <w:szCs w:val="20"/>
              </w:rPr>
              <w:t>de proximité</w:t>
            </w:r>
          </w:p>
        </w:tc>
        <w:tc>
          <w:tcPr>
            <w:tcW w:w="3260" w:type="dxa"/>
            <w:tcBorders>
              <w:top w:val="single" w:sz="6" w:space="0" w:color="000000"/>
              <w:left w:val="single" w:sz="4" w:space="0" w:color="auto"/>
              <w:right w:val="single" w:sz="4" w:space="0" w:color="auto"/>
            </w:tcBorders>
          </w:tcPr>
          <w:p w:rsidR="006E6F12" w:rsidRPr="00F96430" w:rsidRDefault="006E6F12" w:rsidP="0060566C">
            <w:pPr>
              <w:tabs>
                <w:tab w:val="left" w:pos="35"/>
              </w:tabs>
              <w:ind w:hanging="107"/>
              <w:rPr>
                <w:sz w:val="20"/>
                <w:szCs w:val="20"/>
              </w:rPr>
            </w:pPr>
            <w:r w:rsidRPr="00F96430">
              <w:rPr>
                <w:sz w:val="20"/>
                <w:szCs w:val="20"/>
              </w:rPr>
              <w:t xml:space="preserve">Durant </w:t>
            </w:r>
            <w:r w:rsidR="004C514A" w:rsidRPr="00F96430">
              <w:rPr>
                <w:sz w:val="20"/>
                <w:szCs w:val="20"/>
              </w:rPr>
              <w:t xml:space="preserve">toute </w:t>
            </w:r>
            <w:r w:rsidRPr="00F96430">
              <w:rPr>
                <w:sz w:val="20"/>
                <w:szCs w:val="20"/>
              </w:rPr>
              <w:t xml:space="preserve">la mise en œuvre </w:t>
            </w:r>
            <w:r w:rsidR="004C514A" w:rsidRPr="00F96430">
              <w:rPr>
                <w:sz w:val="20"/>
                <w:szCs w:val="20"/>
              </w:rPr>
              <w:t>du projet</w:t>
            </w:r>
          </w:p>
          <w:p w:rsidR="003A13CD" w:rsidRPr="00F96430" w:rsidRDefault="003A13CD" w:rsidP="0060566C">
            <w:pPr>
              <w:tabs>
                <w:tab w:val="left" w:pos="35"/>
              </w:tabs>
              <w:ind w:hanging="107"/>
              <w:rPr>
                <w:sz w:val="20"/>
                <w:szCs w:val="20"/>
              </w:rPr>
            </w:pPr>
          </w:p>
        </w:tc>
      </w:tr>
      <w:tr w:rsidR="00F96430" w:rsidRPr="00F96430" w:rsidTr="0060566C">
        <w:trPr>
          <w:cantSplit/>
          <w:trHeight w:val="20"/>
        </w:trPr>
        <w:tc>
          <w:tcPr>
            <w:tcW w:w="2376" w:type="dxa"/>
            <w:vMerge/>
            <w:tcBorders>
              <w:left w:val="single" w:sz="6" w:space="0" w:color="000000"/>
              <w:right w:val="single" w:sz="4" w:space="0" w:color="auto"/>
            </w:tcBorders>
            <w:shd w:val="clear" w:color="auto" w:fill="auto"/>
          </w:tcPr>
          <w:p w:rsidR="0060771A" w:rsidRPr="00F96430" w:rsidRDefault="0060771A" w:rsidP="0060566C">
            <w:pPr>
              <w:rPr>
                <w:b/>
                <w:bCs/>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60771A" w:rsidRPr="00F96430" w:rsidRDefault="0060771A" w:rsidP="0060566C">
            <w:pPr>
              <w:tabs>
                <w:tab w:val="left" w:pos="360"/>
              </w:tabs>
              <w:ind w:left="360" w:hanging="360"/>
              <w:jc w:val="center"/>
              <w:rPr>
                <w:sz w:val="20"/>
                <w:szCs w:val="20"/>
              </w:rPr>
            </w:pPr>
          </w:p>
        </w:tc>
        <w:tc>
          <w:tcPr>
            <w:tcW w:w="2585" w:type="dxa"/>
            <w:tcBorders>
              <w:left w:val="single" w:sz="4" w:space="0" w:color="auto"/>
              <w:bottom w:val="single" w:sz="4" w:space="0" w:color="auto"/>
              <w:right w:val="single" w:sz="4" w:space="0" w:color="auto"/>
            </w:tcBorders>
            <w:shd w:val="clear" w:color="auto" w:fill="auto"/>
            <w:vAlign w:val="center"/>
          </w:tcPr>
          <w:p w:rsidR="0060771A" w:rsidRPr="00F96430" w:rsidRDefault="0060771A" w:rsidP="0060566C">
            <w:pPr>
              <w:tabs>
                <w:tab w:val="left" w:pos="360"/>
              </w:tabs>
              <w:ind w:left="360" w:hanging="360"/>
              <w:jc w:val="center"/>
              <w:rPr>
                <w:sz w:val="20"/>
                <w:szCs w:val="20"/>
              </w:rPr>
            </w:pPr>
            <w:r w:rsidRPr="00F96430">
              <w:rPr>
                <w:sz w:val="20"/>
                <w:szCs w:val="20"/>
              </w:rPr>
              <w:t>Supervision</w:t>
            </w:r>
          </w:p>
        </w:tc>
        <w:tc>
          <w:tcPr>
            <w:tcW w:w="3260" w:type="dxa"/>
            <w:tcBorders>
              <w:left w:val="single" w:sz="4" w:space="0" w:color="auto"/>
              <w:bottom w:val="single" w:sz="4" w:space="0" w:color="auto"/>
              <w:right w:val="single" w:sz="4" w:space="0" w:color="auto"/>
            </w:tcBorders>
          </w:tcPr>
          <w:p w:rsidR="0060771A" w:rsidRPr="00F96430" w:rsidRDefault="00587795" w:rsidP="0060566C">
            <w:pPr>
              <w:tabs>
                <w:tab w:val="left" w:pos="360"/>
              </w:tabs>
              <w:ind w:left="360" w:hanging="360"/>
              <w:rPr>
                <w:sz w:val="20"/>
                <w:szCs w:val="20"/>
              </w:rPr>
            </w:pPr>
            <w:r w:rsidRPr="00F96430">
              <w:rPr>
                <w:sz w:val="20"/>
                <w:szCs w:val="20"/>
              </w:rPr>
              <w:t>Tous les mois durant la mise en œuvre du projet</w:t>
            </w:r>
          </w:p>
        </w:tc>
      </w:tr>
      <w:tr w:rsidR="00D901AE" w:rsidRPr="00F96430" w:rsidTr="0060566C">
        <w:trPr>
          <w:cantSplit/>
          <w:trHeight w:val="155"/>
        </w:trPr>
        <w:tc>
          <w:tcPr>
            <w:tcW w:w="2376" w:type="dxa"/>
            <w:vMerge/>
            <w:tcBorders>
              <w:left w:val="single" w:sz="6" w:space="0" w:color="000000"/>
              <w:right w:val="single" w:sz="4" w:space="0" w:color="auto"/>
            </w:tcBorders>
            <w:shd w:val="clear" w:color="auto" w:fill="auto"/>
          </w:tcPr>
          <w:p w:rsidR="003A13CD" w:rsidRPr="00F96430" w:rsidRDefault="003A13CD" w:rsidP="0060566C">
            <w:pPr>
              <w:rPr>
                <w:bCs/>
                <w:sz w:val="20"/>
                <w:szCs w:val="20"/>
              </w:rPr>
            </w:pPr>
          </w:p>
        </w:tc>
        <w:tc>
          <w:tcPr>
            <w:tcW w:w="1701" w:type="dxa"/>
            <w:vMerge w:val="restart"/>
            <w:tcBorders>
              <w:top w:val="single" w:sz="6" w:space="0" w:color="000000"/>
              <w:left w:val="single" w:sz="4" w:space="0" w:color="auto"/>
              <w:right w:val="single" w:sz="4" w:space="0" w:color="auto"/>
            </w:tcBorders>
            <w:shd w:val="clear" w:color="auto" w:fill="auto"/>
            <w:vAlign w:val="center"/>
          </w:tcPr>
          <w:p w:rsidR="003A13CD" w:rsidRPr="00F96430" w:rsidRDefault="003A13CD" w:rsidP="0060566C">
            <w:pPr>
              <w:tabs>
                <w:tab w:val="left" w:pos="35"/>
              </w:tabs>
              <w:ind w:left="35" w:hanging="35"/>
              <w:jc w:val="center"/>
              <w:rPr>
                <w:sz w:val="20"/>
                <w:szCs w:val="20"/>
              </w:rPr>
            </w:pPr>
            <w:r w:rsidRPr="00F96430">
              <w:rPr>
                <w:sz w:val="20"/>
                <w:szCs w:val="20"/>
              </w:rPr>
              <w:t xml:space="preserve">Évaluation </w:t>
            </w:r>
            <w:r w:rsidR="00A73BE0">
              <w:rPr>
                <w:sz w:val="20"/>
                <w:szCs w:val="20"/>
              </w:rPr>
              <w:t>AEI</w:t>
            </w:r>
          </w:p>
        </w:tc>
        <w:tc>
          <w:tcPr>
            <w:tcW w:w="2585" w:type="dxa"/>
            <w:tcBorders>
              <w:top w:val="single" w:sz="6" w:space="0" w:color="000000"/>
              <w:left w:val="single" w:sz="4" w:space="0" w:color="auto"/>
              <w:right w:val="single" w:sz="4" w:space="0" w:color="auto"/>
            </w:tcBorders>
            <w:shd w:val="clear" w:color="auto" w:fill="auto"/>
            <w:vAlign w:val="center"/>
          </w:tcPr>
          <w:p w:rsidR="003A13CD" w:rsidRPr="00F96430" w:rsidRDefault="007A6478" w:rsidP="0060566C">
            <w:pPr>
              <w:tabs>
                <w:tab w:val="left" w:pos="35"/>
              </w:tabs>
              <w:ind w:left="35" w:hanging="35"/>
              <w:jc w:val="center"/>
              <w:rPr>
                <w:sz w:val="20"/>
                <w:szCs w:val="20"/>
              </w:rPr>
            </w:pPr>
            <w:r w:rsidRPr="00F96430">
              <w:rPr>
                <w:sz w:val="20"/>
                <w:szCs w:val="20"/>
              </w:rPr>
              <w:t>Mi</w:t>
            </w:r>
            <w:r w:rsidR="003A13CD" w:rsidRPr="00F96430">
              <w:rPr>
                <w:sz w:val="20"/>
                <w:szCs w:val="20"/>
              </w:rPr>
              <w:t>-parcours</w:t>
            </w:r>
          </w:p>
        </w:tc>
        <w:tc>
          <w:tcPr>
            <w:tcW w:w="3260" w:type="dxa"/>
            <w:tcBorders>
              <w:top w:val="single" w:sz="6" w:space="0" w:color="000000"/>
              <w:left w:val="single" w:sz="4" w:space="0" w:color="auto"/>
              <w:right w:val="single" w:sz="4" w:space="0" w:color="auto"/>
            </w:tcBorders>
          </w:tcPr>
          <w:p w:rsidR="003A13CD" w:rsidRPr="00F96430" w:rsidRDefault="00E629A7" w:rsidP="0060566C">
            <w:pPr>
              <w:tabs>
                <w:tab w:val="left" w:pos="35"/>
              </w:tabs>
              <w:ind w:left="35" w:hanging="35"/>
              <w:rPr>
                <w:sz w:val="20"/>
                <w:szCs w:val="20"/>
              </w:rPr>
            </w:pPr>
            <w:r w:rsidRPr="00F96430">
              <w:rPr>
                <w:sz w:val="20"/>
                <w:szCs w:val="20"/>
              </w:rPr>
              <w:t>Sixième</w:t>
            </w:r>
            <w:r w:rsidR="00FB158A" w:rsidRPr="00F96430">
              <w:rPr>
                <w:sz w:val="20"/>
                <w:szCs w:val="20"/>
              </w:rPr>
              <w:t xml:space="preserve"> mois pendant la mise en œuvre du </w:t>
            </w:r>
            <w:r w:rsidRPr="00F96430">
              <w:rPr>
                <w:sz w:val="20"/>
                <w:szCs w:val="20"/>
              </w:rPr>
              <w:t>projet</w:t>
            </w:r>
          </w:p>
        </w:tc>
      </w:tr>
      <w:tr w:rsidR="008B1382" w:rsidRPr="00F96430" w:rsidTr="0060566C">
        <w:trPr>
          <w:cantSplit/>
          <w:trHeight w:val="113"/>
        </w:trPr>
        <w:tc>
          <w:tcPr>
            <w:tcW w:w="2376" w:type="dxa"/>
            <w:vMerge/>
            <w:tcBorders>
              <w:left w:val="single" w:sz="6" w:space="0" w:color="000000"/>
              <w:right w:val="single" w:sz="4" w:space="0" w:color="auto"/>
            </w:tcBorders>
            <w:shd w:val="clear" w:color="auto" w:fill="auto"/>
          </w:tcPr>
          <w:p w:rsidR="003A13CD" w:rsidRPr="00F96430" w:rsidRDefault="003A13CD" w:rsidP="0060566C">
            <w:pPr>
              <w:rPr>
                <w:bCs/>
                <w:sz w:val="20"/>
                <w:szCs w:val="20"/>
              </w:rPr>
            </w:pPr>
          </w:p>
        </w:tc>
        <w:tc>
          <w:tcPr>
            <w:tcW w:w="1701" w:type="dxa"/>
            <w:vMerge/>
            <w:tcBorders>
              <w:left w:val="single" w:sz="4" w:space="0" w:color="auto"/>
              <w:right w:val="single" w:sz="4" w:space="0" w:color="auto"/>
            </w:tcBorders>
            <w:shd w:val="clear" w:color="auto" w:fill="auto"/>
          </w:tcPr>
          <w:p w:rsidR="003A13CD" w:rsidRPr="00F96430" w:rsidRDefault="003A13CD" w:rsidP="0060566C">
            <w:pPr>
              <w:tabs>
                <w:tab w:val="left" w:pos="360"/>
              </w:tabs>
              <w:ind w:left="360" w:hanging="360"/>
              <w:rPr>
                <w:sz w:val="20"/>
                <w:szCs w:val="20"/>
              </w:rPr>
            </w:pPr>
          </w:p>
        </w:tc>
        <w:tc>
          <w:tcPr>
            <w:tcW w:w="2585" w:type="dxa"/>
            <w:tcBorders>
              <w:top w:val="single" w:sz="4" w:space="0" w:color="auto"/>
              <w:left w:val="single" w:sz="4" w:space="0" w:color="auto"/>
              <w:right w:val="single" w:sz="4" w:space="0" w:color="auto"/>
            </w:tcBorders>
            <w:shd w:val="clear" w:color="auto" w:fill="auto"/>
            <w:vAlign w:val="center"/>
          </w:tcPr>
          <w:p w:rsidR="003A13CD" w:rsidRPr="00F96430" w:rsidRDefault="007A6478" w:rsidP="0060566C">
            <w:pPr>
              <w:tabs>
                <w:tab w:val="left" w:pos="360"/>
              </w:tabs>
              <w:ind w:left="360" w:hanging="360"/>
              <w:jc w:val="center"/>
            </w:pPr>
            <w:r w:rsidRPr="00F96430">
              <w:rPr>
                <w:sz w:val="20"/>
                <w:szCs w:val="20"/>
              </w:rPr>
              <w:t>Finale</w:t>
            </w:r>
          </w:p>
        </w:tc>
        <w:tc>
          <w:tcPr>
            <w:tcW w:w="3260" w:type="dxa"/>
            <w:tcBorders>
              <w:top w:val="single" w:sz="4" w:space="0" w:color="auto"/>
              <w:left w:val="single" w:sz="4" w:space="0" w:color="auto"/>
              <w:right w:val="single" w:sz="4" w:space="0" w:color="auto"/>
            </w:tcBorders>
          </w:tcPr>
          <w:p w:rsidR="003A13CD" w:rsidRPr="00A21783" w:rsidRDefault="00E629A7" w:rsidP="0060566C">
            <w:pPr>
              <w:tabs>
                <w:tab w:val="left" w:pos="360"/>
              </w:tabs>
              <w:ind w:left="360" w:hanging="360"/>
              <w:rPr>
                <w:sz w:val="20"/>
                <w:szCs w:val="20"/>
              </w:rPr>
            </w:pPr>
            <w:r w:rsidRPr="00A21783">
              <w:rPr>
                <w:sz w:val="20"/>
                <w:szCs w:val="20"/>
              </w:rPr>
              <w:t>Fin de la mise en œuvre du projet</w:t>
            </w:r>
          </w:p>
        </w:tc>
      </w:tr>
    </w:tbl>
    <w:p w:rsidR="00E547CB" w:rsidRDefault="00E547CB" w:rsidP="00E547CB">
      <w:pPr>
        <w:rPr>
          <w:b/>
          <w:bCs/>
          <w:sz w:val="22"/>
          <w:szCs w:val="22"/>
        </w:rPr>
      </w:pPr>
    </w:p>
    <w:p w:rsidR="007131E8" w:rsidRPr="00FF68A0" w:rsidRDefault="00B46AFA" w:rsidP="007131E8">
      <w:pPr>
        <w:jc w:val="center"/>
        <w:rPr>
          <w:rFonts w:eastAsia="Times New Roman" w:cs="Calibri"/>
          <w:b/>
          <w:bCs/>
          <w:sz w:val="22"/>
          <w:szCs w:val="22"/>
          <w:lang w:eastAsia="en-US"/>
        </w:rPr>
      </w:pPr>
      <w:bookmarkStart w:id="308" w:name="_Toc11189478"/>
      <w:bookmarkStart w:id="309" w:name="_Toc73522629"/>
      <w:r w:rsidRPr="00A05698">
        <w:rPr>
          <w:b/>
        </w:rPr>
        <w:t xml:space="preserve">Tableau </w:t>
      </w:r>
      <w:r w:rsidRPr="00A05698">
        <w:rPr>
          <w:b/>
        </w:rPr>
        <w:fldChar w:fldCharType="begin"/>
      </w:r>
      <w:r w:rsidRPr="00A05698">
        <w:rPr>
          <w:b/>
        </w:rPr>
        <w:instrText xml:space="preserve"> </w:instrText>
      </w:r>
      <w:r>
        <w:rPr>
          <w:b/>
        </w:rPr>
        <w:instrText>SEQ</w:instrText>
      </w:r>
      <w:r w:rsidRPr="00A05698">
        <w:rPr>
          <w:b/>
        </w:rPr>
        <w:instrText xml:space="preserve"> Tableau \* ARABIC </w:instrText>
      </w:r>
      <w:r w:rsidRPr="00A05698">
        <w:rPr>
          <w:b/>
        </w:rPr>
        <w:fldChar w:fldCharType="separate"/>
      </w:r>
      <w:r w:rsidR="0060566C">
        <w:rPr>
          <w:b/>
          <w:noProof/>
        </w:rPr>
        <w:t>23</w:t>
      </w:r>
      <w:r w:rsidRPr="00A05698">
        <w:rPr>
          <w:b/>
        </w:rPr>
        <w:fldChar w:fldCharType="end"/>
      </w:r>
      <w:r w:rsidR="007131E8" w:rsidRPr="00FF68A0">
        <w:rPr>
          <w:rFonts w:eastAsia="Times New Roman" w:cs="Calibri"/>
          <w:b/>
          <w:bCs/>
          <w:sz w:val="22"/>
          <w:szCs w:val="22"/>
          <w:lang w:val="fr-CA" w:eastAsia="en-US"/>
        </w:rPr>
        <w:t xml:space="preserve">: </w:t>
      </w:r>
      <w:r w:rsidR="007131E8" w:rsidRPr="00FF68A0">
        <w:rPr>
          <w:rFonts w:eastAsia="Times New Roman" w:cs="Calibri"/>
          <w:b/>
          <w:bCs/>
          <w:sz w:val="22"/>
          <w:szCs w:val="22"/>
          <w:lang w:eastAsia="en-US"/>
        </w:rPr>
        <w:t>Plan d’action de mise en œuvre et de suivi- évaluation du CGES</w:t>
      </w:r>
      <w:bookmarkEnd w:id="308"/>
      <w:bookmarkEnd w:id="309"/>
    </w:p>
    <w:p w:rsidR="007131E8" w:rsidRPr="00212D93" w:rsidRDefault="007131E8" w:rsidP="007131E8">
      <w:pPr>
        <w:outlineLvl w:val="0"/>
        <w:rPr>
          <w:rFonts w:eastAsia="Times New Roman"/>
          <w:b/>
          <w:bCs/>
          <w:sz w:val="22"/>
          <w:szCs w:val="22"/>
          <w:lang w:val="fr-CA" w:eastAsia="en-US"/>
        </w:rPr>
      </w:pP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2598"/>
        <w:gridCol w:w="1024"/>
        <w:gridCol w:w="858"/>
        <w:gridCol w:w="408"/>
        <w:gridCol w:w="403"/>
        <w:gridCol w:w="305"/>
        <w:gridCol w:w="354"/>
        <w:gridCol w:w="354"/>
        <w:gridCol w:w="354"/>
        <w:gridCol w:w="348"/>
        <w:gridCol w:w="348"/>
        <w:gridCol w:w="348"/>
        <w:gridCol w:w="406"/>
        <w:gridCol w:w="406"/>
        <w:gridCol w:w="406"/>
      </w:tblGrid>
      <w:tr w:rsidR="008F6B96" w:rsidRPr="00FF68A0" w:rsidTr="008F6B96">
        <w:trPr>
          <w:trHeight w:val="85"/>
          <w:tblHeader/>
          <w:jc w:val="center"/>
        </w:trPr>
        <w:tc>
          <w:tcPr>
            <w:tcW w:w="1510" w:type="dxa"/>
            <w:vMerge w:val="restart"/>
            <w:shd w:val="clear" w:color="auto" w:fill="D9D9D9"/>
            <w:vAlign w:val="center"/>
          </w:tcPr>
          <w:p w:rsidR="003A3658" w:rsidRPr="00FF68A0" w:rsidRDefault="003A3658" w:rsidP="003D144E">
            <w:pPr>
              <w:autoSpaceDE w:val="0"/>
              <w:autoSpaceDN w:val="0"/>
              <w:adjustRightInd w:val="0"/>
              <w:jc w:val="center"/>
              <w:rPr>
                <w:rFonts w:eastAsia="Times New Roman" w:cs="Calibri"/>
                <w:sz w:val="19"/>
                <w:szCs w:val="19"/>
                <w:lang w:val="fr-CA" w:eastAsia="en-US"/>
              </w:rPr>
            </w:pPr>
            <w:bookmarkStart w:id="310" w:name="_Toc386199114"/>
            <w:bookmarkStart w:id="311" w:name="_Toc296647970"/>
            <w:r w:rsidRPr="00FF68A0">
              <w:rPr>
                <w:rFonts w:eastAsia="Times New Roman" w:cs="Calibri"/>
                <w:b/>
                <w:bCs/>
                <w:sz w:val="19"/>
                <w:szCs w:val="19"/>
                <w:lang w:val="fr-CA" w:eastAsia="en-US"/>
              </w:rPr>
              <w:t>Mesures</w:t>
            </w:r>
          </w:p>
          <w:p w:rsidR="003A3658" w:rsidRPr="00FF68A0" w:rsidRDefault="003A3658" w:rsidP="003D144E">
            <w:pPr>
              <w:rPr>
                <w:rFonts w:eastAsia="Times New Roman" w:cs="Calibri"/>
                <w:sz w:val="19"/>
                <w:szCs w:val="19"/>
                <w:lang w:val="fr-CA" w:eastAsia="en-US"/>
              </w:rPr>
            </w:pPr>
          </w:p>
        </w:tc>
        <w:tc>
          <w:tcPr>
            <w:tcW w:w="2598" w:type="dxa"/>
            <w:vMerge w:val="restart"/>
            <w:shd w:val="clear" w:color="auto" w:fill="D9D9D9"/>
            <w:vAlign w:val="center"/>
          </w:tcPr>
          <w:p w:rsidR="003A3658" w:rsidRPr="00FF68A0" w:rsidRDefault="003A3658" w:rsidP="003D144E">
            <w:pPr>
              <w:autoSpaceDE w:val="0"/>
              <w:autoSpaceDN w:val="0"/>
              <w:adjustRightInd w:val="0"/>
              <w:jc w:val="center"/>
              <w:rPr>
                <w:rFonts w:eastAsia="Times New Roman" w:cs="Calibri"/>
                <w:b/>
                <w:bCs/>
                <w:sz w:val="19"/>
                <w:szCs w:val="19"/>
                <w:lang w:val="fr-CA" w:eastAsia="en-US"/>
              </w:rPr>
            </w:pPr>
            <w:r w:rsidRPr="00FF68A0">
              <w:rPr>
                <w:rFonts w:eastAsia="Times New Roman" w:cs="Calibri"/>
                <w:b/>
                <w:bCs/>
                <w:sz w:val="19"/>
                <w:szCs w:val="19"/>
                <w:lang w:val="fr-CA" w:eastAsia="en-US"/>
              </w:rPr>
              <w:t>Actions proposées</w:t>
            </w:r>
          </w:p>
          <w:p w:rsidR="003A3658" w:rsidRPr="00FF68A0" w:rsidRDefault="003A3658" w:rsidP="003D144E">
            <w:pPr>
              <w:rPr>
                <w:rFonts w:eastAsia="Times New Roman" w:cs="Calibri"/>
                <w:sz w:val="19"/>
                <w:szCs w:val="19"/>
                <w:lang w:val="fr-CA" w:eastAsia="en-US"/>
              </w:rPr>
            </w:pPr>
          </w:p>
        </w:tc>
        <w:tc>
          <w:tcPr>
            <w:tcW w:w="1882" w:type="dxa"/>
            <w:gridSpan w:val="2"/>
            <w:vMerge w:val="restart"/>
            <w:shd w:val="clear" w:color="auto" w:fill="D9D9D9"/>
          </w:tcPr>
          <w:p w:rsidR="003A3658" w:rsidRPr="00FF68A0" w:rsidRDefault="003A3658" w:rsidP="003D144E">
            <w:pPr>
              <w:jc w:val="center"/>
              <w:rPr>
                <w:rFonts w:eastAsia="Times New Roman" w:cs="Calibri"/>
                <w:b/>
                <w:bCs/>
                <w:sz w:val="19"/>
                <w:szCs w:val="19"/>
                <w:lang w:val="fr-CA" w:eastAsia="en-US"/>
              </w:rPr>
            </w:pPr>
            <w:r w:rsidRPr="00FF68A0">
              <w:rPr>
                <w:rFonts w:eastAsia="Times New Roman" w:cs="Calibri"/>
                <w:b/>
                <w:sz w:val="19"/>
                <w:szCs w:val="19"/>
                <w:lang w:val="fr-CA" w:eastAsia="en-US"/>
              </w:rPr>
              <w:t>Responsabilités de mise en œuvre</w:t>
            </w:r>
          </w:p>
        </w:tc>
        <w:tc>
          <w:tcPr>
            <w:tcW w:w="4440" w:type="dxa"/>
            <w:gridSpan w:val="12"/>
            <w:shd w:val="clear" w:color="auto" w:fill="D9D9D9"/>
            <w:vAlign w:val="center"/>
          </w:tcPr>
          <w:p w:rsidR="003A3658" w:rsidRPr="00FF68A0" w:rsidRDefault="003A3658" w:rsidP="003D144E">
            <w:pPr>
              <w:jc w:val="center"/>
              <w:rPr>
                <w:rFonts w:eastAsia="Times New Roman" w:cs="Calibri"/>
                <w:b/>
                <w:bCs/>
                <w:sz w:val="19"/>
                <w:szCs w:val="19"/>
                <w:lang w:val="fr-CA" w:eastAsia="en-US"/>
              </w:rPr>
            </w:pPr>
            <w:r w:rsidRPr="00FF68A0">
              <w:rPr>
                <w:rFonts w:eastAsia="Times New Roman" w:cs="Calibri"/>
                <w:b/>
                <w:bCs/>
                <w:sz w:val="19"/>
                <w:szCs w:val="19"/>
                <w:lang w:val="fr-CA" w:eastAsia="en-US"/>
              </w:rPr>
              <w:t>Période de réalisation</w:t>
            </w:r>
            <w:r>
              <w:rPr>
                <w:rFonts w:eastAsia="Times New Roman" w:cs="Calibri"/>
                <w:b/>
                <w:bCs/>
                <w:sz w:val="19"/>
                <w:szCs w:val="19"/>
                <w:lang w:val="fr-CA" w:eastAsia="en-US"/>
              </w:rPr>
              <w:t xml:space="preserve"> (MOIS)</w:t>
            </w:r>
          </w:p>
        </w:tc>
      </w:tr>
      <w:tr w:rsidR="008F6B96" w:rsidRPr="00FF68A0" w:rsidTr="008F6B96">
        <w:trPr>
          <w:trHeight w:val="85"/>
          <w:tblHeader/>
          <w:jc w:val="center"/>
        </w:trPr>
        <w:tc>
          <w:tcPr>
            <w:tcW w:w="1510" w:type="dxa"/>
            <w:vMerge/>
            <w:shd w:val="clear" w:color="auto" w:fill="auto"/>
            <w:vAlign w:val="center"/>
          </w:tcPr>
          <w:p w:rsidR="009736D6" w:rsidRPr="00FF68A0" w:rsidRDefault="009736D6" w:rsidP="003D144E">
            <w:pPr>
              <w:rPr>
                <w:rFonts w:eastAsia="Times New Roman" w:cs="Calibri"/>
                <w:sz w:val="19"/>
                <w:szCs w:val="19"/>
                <w:lang w:val="fr-CA" w:eastAsia="en-US"/>
              </w:rPr>
            </w:pPr>
          </w:p>
        </w:tc>
        <w:tc>
          <w:tcPr>
            <w:tcW w:w="2598" w:type="dxa"/>
            <w:vMerge/>
            <w:shd w:val="clear" w:color="auto" w:fill="auto"/>
            <w:vAlign w:val="center"/>
          </w:tcPr>
          <w:p w:rsidR="009736D6" w:rsidRPr="00FF68A0" w:rsidRDefault="009736D6" w:rsidP="003D144E">
            <w:pPr>
              <w:rPr>
                <w:rFonts w:eastAsia="Times New Roman" w:cs="Calibri"/>
                <w:sz w:val="19"/>
                <w:szCs w:val="19"/>
                <w:lang w:val="fr-CA" w:eastAsia="en-US"/>
              </w:rPr>
            </w:pPr>
          </w:p>
        </w:tc>
        <w:tc>
          <w:tcPr>
            <w:tcW w:w="1882" w:type="dxa"/>
            <w:gridSpan w:val="2"/>
            <w:vMerge/>
            <w:shd w:val="clear" w:color="auto" w:fill="auto"/>
          </w:tcPr>
          <w:p w:rsidR="009736D6" w:rsidRPr="00FF68A0" w:rsidRDefault="009736D6" w:rsidP="003D144E">
            <w:pPr>
              <w:rPr>
                <w:rFonts w:eastAsia="Times New Roman" w:cs="Calibri"/>
                <w:b/>
                <w:sz w:val="19"/>
                <w:szCs w:val="19"/>
                <w:lang w:val="fr-CA" w:eastAsia="en-US"/>
              </w:rPr>
            </w:pPr>
          </w:p>
        </w:tc>
        <w:tc>
          <w:tcPr>
            <w:tcW w:w="408" w:type="dxa"/>
            <w:shd w:val="clear" w:color="auto" w:fill="F2F2F2"/>
            <w:vAlign w:val="center"/>
          </w:tcPr>
          <w:p w:rsidR="009736D6" w:rsidRPr="00FF68A0" w:rsidRDefault="009736D6" w:rsidP="00773726">
            <w:pPr>
              <w:jc w:val="center"/>
              <w:rPr>
                <w:rFonts w:eastAsia="Times New Roman" w:cs="Calibri"/>
                <w:sz w:val="19"/>
                <w:szCs w:val="19"/>
                <w:lang w:val="fr-CA" w:eastAsia="en-US"/>
              </w:rPr>
            </w:pPr>
            <w:r>
              <w:rPr>
                <w:rFonts w:eastAsia="Times New Roman" w:cs="Calibri"/>
                <w:b/>
                <w:sz w:val="19"/>
                <w:szCs w:val="19"/>
                <w:lang w:val="fr-CA" w:eastAsia="en-US"/>
              </w:rPr>
              <w:t>1</w:t>
            </w:r>
          </w:p>
        </w:tc>
        <w:tc>
          <w:tcPr>
            <w:tcW w:w="403" w:type="dxa"/>
            <w:shd w:val="clear" w:color="auto" w:fill="F2F2F2"/>
            <w:vAlign w:val="center"/>
          </w:tcPr>
          <w:p w:rsidR="009736D6" w:rsidRPr="00FF68A0"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2</w:t>
            </w:r>
          </w:p>
        </w:tc>
        <w:tc>
          <w:tcPr>
            <w:tcW w:w="305" w:type="dxa"/>
            <w:shd w:val="clear" w:color="auto" w:fill="F2F2F2"/>
            <w:vAlign w:val="center"/>
          </w:tcPr>
          <w:p w:rsidR="009736D6" w:rsidRPr="00FF68A0"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3</w:t>
            </w:r>
          </w:p>
        </w:tc>
        <w:tc>
          <w:tcPr>
            <w:tcW w:w="354" w:type="dxa"/>
            <w:shd w:val="clear" w:color="auto" w:fill="F2F2F2"/>
            <w:vAlign w:val="center"/>
          </w:tcPr>
          <w:p w:rsidR="009736D6" w:rsidRPr="00FF68A0"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4</w:t>
            </w:r>
          </w:p>
        </w:tc>
        <w:tc>
          <w:tcPr>
            <w:tcW w:w="354" w:type="dxa"/>
            <w:shd w:val="clear" w:color="auto" w:fill="F2F2F2"/>
            <w:vAlign w:val="center"/>
          </w:tcPr>
          <w:p w:rsidR="009736D6" w:rsidRPr="00FF68A0"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5</w:t>
            </w:r>
          </w:p>
        </w:tc>
        <w:tc>
          <w:tcPr>
            <w:tcW w:w="354" w:type="dxa"/>
            <w:shd w:val="clear" w:color="auto" w:fill="F2F2F2"/>
            <w:vAlign w:val="center"/>
          </w:tcPr>
          <w:p w:rsidR="009736D6" w:rsidRPr="00FF68A0"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6</w:t>
            </w:r>
          </w:p>
        </w:tc>
        <w:tc>
          <w:tcPr>
            <w:tcW w:w="348" w:type="dxa"/>
            <w:shd w:val="clear" w:color="auto" w:fill="F2F2F2"/>
            <w:vAlign w:val="center"/>
          </w:tcPr>
          <w:p w:rsidR="009736D6"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7</w:t>
            </w:r>
          </w:p>
        </w:tc>
        <w:tc>
          <w:tcPr>
            <w:tcW w:w="348" w:type="dxa"/>
            <w:shd w:val="clear" w:color="auto" w:fill="F2F2F2"/>
            <w:vAlign w:val="center"/>
          </w:tcPr>
          <w:p w:rsidR="009736D6"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8</w:t>
            </w:r>
          </w:p>
        </w:tc>
        <w:tc>
          <w:tcPr>
            <w:tcW w:w="348" w:type="dxa"/>
            <w:shd w:val="clear" w:color="auto" w:fill="F2F2F2"/>
            <w:vAlign w:val="center"/>
          </w:tcPr>
          <w:p w:rsidR="009736D6"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9</w:t>
            </w:r>
          </w:p>
        </w:tc>
        <w:tc>
          <w:tcPr>
            <w:tcW w:w="406" w:type="dxa"/>
            <w:shd w:val="clear" w:color="auto" w:fill="F2F2F2"/>
            <w:vAlign w:val="center"/>
          </w:tcPr>
          <w:p w:rsidR="009736D6"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10</w:t>
            </w:r>
          </w:p>
        </w:tc>
        <w:tc>
          <w:tcPr>
            <w:tcW w:w="406" w:type="dxa"/>
            <w:shd w:val="clear" w:color="auto" w:fill="F2F2F2"/>
            <w:vAlign w:val="center"/>
          </w:tcPr>
          <w:p w:rsidR="009736D6"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11</w:t>
            </w:r>
          </w:p>
        </w:tc>
        <w:tc>
          <w:tcPr>
            <w:tcW w:w="406" w:type="dxa"/>
            <w:shd w:val="clear" w:color="auto" w:fill="F2F2F2"/>
            <w:vAlign w:val="center"/>
          </w:tcPr>
          <w:p w:rsidR="009736D6" w:rsidRDefault="009736D6" w:rsidP="00773726">
            <w:pPr>
              <w:jc w:val="center"/>
              <w:rPr>
                <w:rFonts w:eastAsia="Times New Roman" w:cs="Calibri"/>
                <w:sz w:val="19"/>
                <w:szCs w:val="19"/>
                <w:lang w:val="fr-CA" w:eastAsia="en-US"/>
              </w:rPr>
            </w:pPr>
            <w:r>
              <w:rPr>
                <w:rFonts w:eastAsia="Times New Roman" w:cs="Calibri"/>
                <w:sz w:val="19"/>
                <w:szCs w:val="19"/>
                <w:lang w:val="fr-CA" w:eastAsia="en-US"/>
              </w:rPr>
              <w:t>12</w:t>
            </w:r>
          </w:p>
        </w:tc>
      </w:tr>
      <w:tr w:rsidR="008F6B96" w:rsidRPr="00FF68A0" w:rsidTr="008F6B96">
        <w:trPr>
          <w:jc w:val="center"/>
        </w:trPr>
        <w:tc>
          <w:tcPr>
            <w:tcW w:w="1510" w:type="dxa"/>
            <w:shd w:val="clear" w:color="auto" w:fill="auto"/>
            <w:vAlign w:val="center"/>
          </w:tcPr>
          <w:p w:rsidR="009736D6" w:rsidRPr="00FF68A0" w:rsidRDefault="009736D6" w:rsidP="003D144E">
            <w:pPr>
              <w:autoSpaceDE w:val="0"/>
              <w:autoSpaceDN w:val="0"/>
              <w:adjustRightInd w:val="0"/>
              <w:rPr>
                <w:rFonts w:eastAsia="Times New Roman" w:cs="Calibri"/>
                <w:b/>
                <w:bCs/>
                <w:sz w:val="19"/>
                <w:szCs w:val="19"/>
                <w:lang w:val="fr-CA" w:eastAsia="en-US"/>
              </w:rPr>
            </w:pPr>
            <w:r w:rsidRPr="00FF68A0">
              <w:rPr>
                <w:rFonts w:eastAsia="Times New Roman" w:cs="Calibri"/>
                <w:b/>
                <w:bCs/>
                <w:sz w:val="19"/>
                <w:szCs w:val="19"/>
                <w:lang w:val="fr-CA" w:eastAsia="en-US"/>
              </w:rPr>
              <w:t>Analyse et approbation des sous projets</w:t>
            </w:r>
          </w:p>
        </w:tc>
        <w:tc>
          <w:tcPr>
            <w:tcW w:w="2598" w:type="dxa"/>
            <w:shd w:val="clear" w:color="auto" w:fill="auto"/>
            <w:vAlign w:val="center"/>
          </w:tcPr>
          <w:p w:rsidR="009736D6" w:rsidRPr="00FF68A0" w:rsidRDefault="009736D6" w:rsidP="003D144E">
            <w:pPr>
              <w:rPr>
                <w:rFonts w:eastAsia="Times New Roman" w:cs="Calibri"/>
                <w:sz w:val="19"/>
                <w:szCs w:val="19"/>
                <w:lang w:val="fr-CA" w:eastAsia="en-US"/>
              </w:rPr>
            </w:pPr>
            <w:r w:rsidRPr="00FF68A0">
              <w:rPr>
                <w:rFonts w:eastAsia="Times New Roman" w:cs="Calibri"/>
                <w:sz w:val="19"/>
                <w:szCs w:val="19"/>
                <w:lang w:val="fr-CA" w:eastAsia="en-US"/>
              </w:rPr>
              <w:t>Screening environnemental des sous projets</w:t>
            </w:r>
          </w:p>
          <w:p w:rsidR="009736D6" w:rsidRPr="00FF68A0" w:rsidRDefault="009736D6" w:rsidP="003D144E">
            <w:pPr>
              <w:autoSpaceDE w:val="0"/>
              <w:autoSpaceDN w:val="0"/>
              <w:adjustRightInd w:val="0"/>
              <w:rPr>
                <w:rFonts w:eastAsia="Times New Roman" w:cs="Calibri"/>
                <w:sz w:val="19"/>
                <w:szCs w:val="19"/>
                <w:lang w:val="fr-CA" w:eastAsia="en-US"/>
              </w:rPr>
            </w:pPr>
            <w:r w:rsidRPr="00FF68A0">
              <w:rPr>
                <w:rFonts w:eastAsia="Times New Roman" w:cs="Calibri"/>
                <w:sz w:val="19"/>
                <w:szCs w:val="19"/>
                <w:lang w:val="fr-CA" w:eastAsia="en-US"/>
              </w:rPr>
              <w:t>Sélection des sous projets</w:t>
            </w:r>
          </w:p>
        </w:tc>
        <w:tc>
          <w:tcPr>
            <w:tcW w:w="1882" w:type="dxa"/>
            <w:gridSpan w:val="2"/>
            <w:shd w:val="clear" w:color="auto" w:fill="FFFFFF"/>
          </w:tcPr>
          <w:p w:rsidR="009736D6" w:rsidRPr="00FF68A0" w:rsidRDefault="0023771B" w:rsidP="003D144E">
            <w:pPr>
              <w:rPr>
                <w:rFonts w:eastAsia="Times New Roman" w:cs="Calibri"/>
                <w:sz w:val="19"/>
                <w:szCs w:val="19"/>
                <w:lang w:val="fr-CA" w:eastAsia="en-US"/>
              </w:rPr>
            </w:pPr>
            <w:r>
              <w:rPr>
                <w:rFonts w:eastAsia="Times New Roman" w:cs="Calibri"/>
                <w:sz w:val="19"/>
                <w:szCs w:val="19"/>
                <w:lang w:val="fr-CA" w:eastAsia="en-US"/>
              </w:rPr>
              <w:t>PUSA</w:t>
            </w:r>
            <w:r w:rsidR="00F87928">
              <w:rPr>
                <w:rFonts w:eastAsia="Times New Roman" w:cs="Calibri"/>
                <w:sz w:val="19"/>
                <w:szCs w:val="19"/>
                <w:lang w:val="fr-CA" w:eastAsia="en-US"/>
              </w:rPr>
              <w:t xml:space="preserve"> /FAO</w:t>
            </w:r>
          </w:p>
          <w:p w:rsidR="009736D6" w:rsidRPr="00FF68A0" w:rsidRDefault="009736D6" w:rsidP="003D144E">
            <w:pPr>
              <w:rPr>
                <w:rFonts w:eastAsia="Times New Roman" w:cs="Calibri"/>
                <w:sz w:val="19"/>
                <w:szCs w:val="19"/>
                <w:lang w:val="fr-CA" w:eastAsia="en-US"/>
              </w:rPr>
            </w:pPr>
            <w:r w:rsidRPr="00FF68A0">
              <w:rPr>
                <w:rFonts w:eastAsia="Times New Roman" w:cs="Calibri"/>
                <w:sz w:val="19"/>
                <w:szCs w:val="19"/>
                <w:lang w:val="fr-CA" w:eastAsia="en-US"/>
              </w:rPr>
              <w:t>AAAC</w:t>
            </w:r>
          </w:p>
          <w:p w:rsidR="009736D6" w:rsidRPr="00FF68A0" w:rsidRDefault="002B26A5" w:rsidP="003D144E">
            <w:pPr>
              <w:rPr>
                <w:rFonts w:eastAsia="Times New Roman" w:cs="Calibri"/>
                <w:sz w:val="19"/>
                <w:szCs w:val="19"/>
                <w:lang w:val="fr-CA" w:eastAsia="en-US"/>
              </w:rPr>
            </w:pPr>
            <w:r>
              <w:rPr>
                <w:rFonts w:eastAsia="Times New Roman" w:cs="Calibri"/>
                <w:sz w:val="19"/>
                <w:szCs w:val="19"/>
                <w:lang w:val="fr-CA" w:eastAsia="en-US"/>
              </w:rPr>
              <w:t>SSES</w:t>
            </w:r>
          </w:p>
        </w:tc>
        <w:tc>
          <w:tcPr>
            <w:tcW w:w="408" w:type="dxa"/>
            <w:shd w:val="clear" w:color="auto" w:fill="FFFFFF"/>
            <w:vAlign w:val="center"/>
          </w:tcPr>
          <w:p w:rsidR="009736D6" w:rsidRPr="00FF68A0" w:rsidRDefault="00D14E58"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3" w:type="dxa"/>
            <w:shd w:val="clear" w:color="auto" w:fill="FFFFFF"/>
            <w:vAlign w:val="center"/>
          </w:tcPr>
          <w:p w:rsidR="009736D6" w:rsidRPr="00FF68A0" w:rsidRDefault="00527230" w:rsidP="00773726">
            <w:pPr>
              <w:jc w:val="center"/>
              <w:rPr>
                <w:rFonts w:eastAsia="Times New Roman" w:cs="Calibri"/>
                <w:sz w:val="19"/>
                <w:szCs w:val="19"/>
                <w:lang w:val="fr-CA" w:eastAsia="en-US"/>
              </w:rPr>
            </w:pPr>
            <w:r w:rsidRPr="00FF68A0">
              <w:rPr>
                <w:rFonts w:eastAsia="Times New Roman" w:cs="Calibri"/>
                <w:b/>
                <w:sz w:val="19"/>
                <w:szCs w:val="19"/>
                <w:lang w:val="fr-CA" w:eastAsia="en-US"/>
              </w:rPr>
              <w:t>X</w:t>
            </w:r>
            <w:r w:rsidRPr="00FF68A0" w:rsidDel="00527230">
              <w:rPr>
                <w:rFonts w:eastAsia="Times New Roman" w:cs="Calibri"/>
                <w:b/>
                <w:sz w:val="19"/>
                <w:szCs w:val="19"/>
                <w:lang w:val="fr-CA" w:eastAsia="en-US"/>
              </w:rPr>
              <w:t xml:space="preserve"> </w:t>
            </w:r>
          </w:p>
        </w:tc>
        <w:tc>
          <w:tcPr>
            <w:tcW w:w="305" w:type="dxa"/>
            <w:shd w:val="clear" w:color="auto" w:fill="FFFFFF"/>
          </w:tcPr>
          <w:p w:rsidR="009736D6" w:rsidRPr="00FF68A0" w:rsidRDefault="009736D6" w:rsidP="003D144E">
            <w:pPr>
              <w:rPr>
                <w:rFonts w:eastAsia="Times New Roman" w:cs="Calibri"/>
                <w:sz w:val="19"/>
                <w:szCs w:val="19"/>
                <w:lang w:val="fr-CA" w:eastAsia="en-US"/>
              </w:rPr>
            </w:pPr>
          </w:p>
        </w:tc>
        <w:tc>
          <w:tcPr>
            <w:tcW w:w="354" w:type="dxa"/>
            <w:shd w:val="clear" w:color="auto" w:fill="FFFFFF"/>
          </w:tcPr>
          <w:p w:rsidR="009736D6" w:rsidRPr="00FF68A0" w:rsidRDefault="009736D6" w:rsidP="003D144E">
            <w:pPr>
              <w:rPr>
                <w:rFonts w:eastAsia="Times New Roman" w:cs="Calibri"/>
                <w:sz w:val="19"/>
                <w:szCs w:val="19"/>
                <w:lang w:val="fr-CA" w:eastAsia="en-US"/>
              </w:rPr>
            </w:pPr>
          </w:p>
        </w:tc>
        <w:tc>
          <w:tcPr>
            <w:tcW w:w="354" w:type="dxa"/>
            <w:shd w:val="clear" w:color="auto" w:fill="FFFFFF"/>
          </w:tcPr>
          <w:p w:rsidR="009736D6" w:rsidRPr="00FF68A0" w:rsidRDefault="009736D6" w:rsidP="003D144E">
            <w:pPr>
              <w:rPr>
                <w:rFonts w:eastAsia="Times New Roman" w:cs="Calibri"/>
                <w:sz w:val="19"/>
                <w:szCs w:val="19"/>
                <w:lang w:val="fr-CA" w:eastAsia="en-US"/>
              </w:rPr>
            </w:pPr>
          </w:p>
        </w:tc>
        <w:tc>
          <w:tcPr>
            <w:tcW w:w="354" w:type="dxa"/>
            <w:shd w:val="clear" w:color="auto" w:fill="FFFFFF"/>
          </w:tcPr>
          <w:p w:rsidR="009736D6" w:rsidRPr="00FF68A0" w:rsidRDefault="009736D6" w:rsidP="003D144E">
            <w:pPr>
              <w:rPr>
                <w:rFonts w:eastAsia="Times New Roman" w:cs="Calibri"/>
                <w:sz w:val="19"/>
                <w:szCs w:val="19"/>
                <w:lang w:val="fr-CA" w:eastAsia="en-US"/>
              </w:rPr>
            </w:pPr>
          </w:p>
        </w:tc>
        <w:tc>
          <w:tcPr>
            <w:tcW w:w="348" w:type="dxa"/>
            <w:shd w:val="clear" w:color="auto" w:fill="FFFFFF"/>
          </w:tcPr>
          <w:p w:rsidR="009736D6" w:rsidRPr="00FF68A0" w:rsidRDefault="009736D6" w:rsidP="003D144E">
            <w:pPr>
              <w:rPr>
                <w:rFonts w:eastAsia="Times New Roman" w:cs="Calibri"/>
                <w:b/>
                <w:sz w:val="19"/>
                <w:szCs w:val="19"/>
                <w:lang w:val="fr-CA" w:eastAsia="en-US"/>
              </w:rPr>
            </w:pPr>
          </w:p>
        </w:tc>
        <w:tc>
          <w:tcPr>
            <w:tcW w:w="348" w:type="dxa"/>
            <w:shd w:val="clear" w:color="auto" w:fill="FFFFFF"/>
          </w:tcPr>
          <w:p w:rsidR="009736D6" w:rsidRPr="00FF68A0" w:rsidRDefault="009736D6" w:rsidP="003D144E">
            <w:pPr>
              <w:rPr>
                <w:rFonts w:eastAsia="Times New Roman" w:cs="Calibri"/>
                <w:b/>
                <w:sz w:val="19"/>
                <w:szCs w:val="19"/>
                <w:lang w:val="fr-CA" w:eastAsia="en-US"/>
              </w:rPr>
            </w:pPr>
          </w:p>
        </w:tc>
        <w:tc>
          <w:tcPr>
            <w:tcW w:w="348" w:type="dxa"/>
            <w:shd w:val="clear" w:color="auto" w:fill="FFFFFF"/>
          </w:tcPr>
          <w:p w:rsidR="009736D6" w:rsidRPr="00FF68A0" w:rsidRDefault="009736D6" w:rsidP="003D144E">
            <w:pPr>
              <w:rPr>
                <w:rFonts w:eastAsia="Times New Roman" w:cs="Calibri"/>
                <w:b/>
                <w:sz w:val="19"/>
                <w:szCs w:val="19"/>
                <w:lang w:val="fr-CA" w:eastAsia="en-US"/>
              </w:rPr>
            </w:pPr>
          </w:p>
        </w:tc>
        <w:tc>
          <w:tcPr>
            <w:tcW w:w="406" w:type="dxa"/>
            <w:shd w:val="clear" w:color="auto" w:fill="FFFFFF"/>
          </w:tcPr>
          <w:p w:rsidR="009736D6" w:rsidRPr="00FF68A0" w:rsidRDefault="009736D6" w:rsidP="003D144E">
            <w:pPr>
              <w:rPr>
                <w:rFonts w:eastAsia="Times New Roman" w:cs="Calibri"/>
                <w:b/>
                <w:sz w:val="19"/>
                <w:szCs w:val="19"/>
                <w:lang w:val="fr-CA" w:eastAsia="en-US"/>
              </w:rPr>
            </w:pPr>
          </w:p>
        </w:tc>
        <w:tc>
          <w:tcPr>
            <w:tcW w:w="406" w:type="dxa"/>
            <w:shd w:val="clear" w:color="auto" w:fill="FFFFFF"/>
          </w:tcPr>
          <w:p w:rsidR="009736D6" w:rsidRPr="00FF68A0" w:rsidRDefault="009736D6" w:rsidP="003D144E">
            <w:pPr>
              <w:rPr>
                <w:rFonts w:eastAsia="Times New Roman" w:cs="Calibri"/>
                <w:b/>
                <w:sz w:val="19"/>
                <w:szCs w:val="19"/>
                <w:lang w:val="fr-CA" w:eastAsia="en-US"/>
              </w:rPr>
            </w:pPr>
          </w:p>
        </w:tc>
        <w:tc>
          <w:tcPr>
            <w:tcW w:w="406" w:type="dxa"/>
            <w:shd w:val="clear" w:color="auto" w:fill="FFFFFF"/>
          </w:tcPr>
          <w:p w:rsidR="009736D6" w:rsidRPr="00FF68A0" w:rsidRDefault="009736D6" w:rsidP="003D144E">
            <w:pPr>
              <w:rPr>
                <w:rFonts w:eastAsia="Times New Roman" w:cs="Calibri"/>
                <w:b/>
                <w:sz w:val="19"/>
                <w:szCs w:val="19"/>
                <w:lang w:val="fr-CA" w:eastAsia="en-US"/>
              </w:rPr>
            </w:pPr>
          </w:p>
        </w:tc>
      </w:tr>
      <w:tr w:rsidR="008F6B96" w:rsidRPr="00FF68A0" w:rsidTr="008F6B96">
        <w:trPr>
          <w:jc w:val="center"/>
        </w:trPr>
        <w:tc>
          <w:tcPr>
            <w:tcW w:w="1510" w:type="dxa"/>
            <w:shd w:val="clear" w:color="auto" w:fill="auto"/>
            <w:vAlign w:val="center"/>
          </w:tcPr>
          <w:p w:rsidR="009736D6" w:rsidRPr="00FF68A0" w:rsidRDefault="009736D6" w:rsidP="003D144E">
            <w:pPr>
              <w:autoSpaceDE w:val="0"/>
              <w:autoSpaceDN w:val="0"/>
              <w:adjustRightInd w:val="0"/>
              <w:rPr>
                <w:rFonts w:eastAsia="Times New Roman" w:cs="Calibri"/>
                <w:b/>
                <w:bCs/>
                <w:sz w:val="19"/>
                <w:szCs w:val="19"/>
                <w:lang w:val="fr-CA" w:eastAsia="en-US"/>
              </w:rPr>
            </w:pPr>
            <w:r w:rsidRPr="00FF68A0">
              <w:rPr>
                <w:rFonts w:eastAsia="Times New Roman" w:cs="Calibri"/>
                <w:b/>
                <w:bCs/>
                <w:sz w:val="19"/>
                <w:szCs w:val="19"/>
                <w:lang w:val="fr-CA" w:eastAsia="en-US"/>
              </w:rPr>
              <w:t>Mesures d’atténuation</w:t>
            </w:r>
          </w:p>
        </w:tc>
        <w:tc>
          <w:tcPr>
            <w:tcW w:w="2598" w:type="dxa"/>
            <w:shd w:val="clear" w:color="auto" w:fill="auto"/>
            <w:vAlign w:val="center"/>
          </w:tcPr>
          <w:p w:rsidR="009736D6" w:rsidRPr="00FF68A0" w:rsidRDefault="009736D6" w:rsidP="003D144E">
            <w:pPr>
              <w:autoSpaceDE w:val="0"/>
              <w:autoSpaceDN w:val="0"/>
              <w:adjustRightInd w:val="0"/>
              <w:rPr>
                <w:rFonts w:eastAsia="Times New Roman" w:cs="Calibri"/>
                <w:sz w:val="19"/>
                <w:szCs w:val="19"/>
                <w:lang w:val="fr-CA" w:eastAsia="en-US"/>
              </w:rPr>
            </w:pPr>
            <w:r w:rsidRPr="00FF68A0">
              <w:rPr>
                <w:rFonts w:eastAsia="Times New Roman" w:cs="Calibri"/>
                <w:sz w:val="19"/>
                <w:szCs w:val="19"/>
                <w:lang w:val="fr-CA" w:eastAsia="en-US"/>
              </w:rPr>
              <w:t>Voir liste des mesures d’atténuation par sous-projet</w:t>
            </w:r>
          </w:p>
        </w:tc>
        <w:tc>
          <w:tcPr>
            <w:tcW w:w="1882" w:type="dxa"/>
            <w:gridSpan w:val="2"/>
            <w:shd w:val="clear" w:color="auto" w:fill="FFFFFF"/>
          </w:tcPr>
          <w:p w:rsidR="009736D6" w:rsidRPr="00FF68A0" w:rsidRDefault="009736D6" w:rsidP="003D144E">
            <w:pPr>
              <w:rPr>
                <w:rFonts w:eastAsia="Times New Roman" w:cs="Calibri"/>
                <w:b/>
                <w:sz w:val="19"/>
                <w:szCs w:val="19"/>
                <w:lang w:val="fr-CA" w:eastAsia="en-US"/>
              </w:rPr>
            </w:pPr>
            <w:r w:rsidRPr="00FF68A0">
              <w:rPr>
                <w:rFonts w:eastAsia="Times New Roman" w:cs="Calibri"/>
                <w:sz w:val="19"/>
                <w:szCs w:val="19"/>
                <w:lang w:val="fr-CA" w:eastAsia="en-US"/>
              </w:rPr>
              <w:t>Bénéficiaires de sous projets</w:t>
            </w:r>
          </w:p>
        </w:tc>
        <w:tc>
          <w:tcPr>
            <w:tcW w:w="408" w:type="dxa"/>
            <w:shd w:val="clear" w:color="auto" w:fill="FFFFFF"/>
            <w:vAlign w:val="center"/>
          </w:tcPr>
          <w:p w:rsidR="009736D6" w:rsidRPr="00FF68A0" w:rsidRDefault="009736D6" w:rsidP="003D144E">
            <w:pPr>
              <w:rPr>
                <w:rFonts w:eastAsia="Times New Roman" w:cs="Calibri"/>
                <w:b/>
                <w:sz w:val="19"/>
                <w:szCs w:val="19"/>
                <w:lang w:val="fr-CA" w:eastAsia="en-US"/>
              </w:rPr>
            </w:pPr>
          </w:p>
        </w:tc>
        <w:tc>
          <w:tcPr>
            <w:tcW w:w="403" w:type="dxa"/>
            <w:shd w:val="clear" w:color="auto" w:fill="FFFFFF"/>
            <w:vAlign w:val="center"/>
          </w:tcPr>
          <w:p w:rsidR="009736D6" w:rsidRPr="00FF68A0" w:rsidRDefault="009736D6" w:rsidP="003D144E">
            <w:pPr>
              <w:rPr>
                <w:rFonts w:eastAsia="Times New Roman" w:cs="Calibri"/>
                <w:b/>
                <w:sz w:val="19"/>
                <w:szCs w:val="19"/>
                <w:lang w:val="fr-CA" w:eastAsia="en-US"/>
              </w:rPr>
            </w:pPr>
          </w:p>
        </w:tc>
        <w:tc>
          <w:tcPr>
            <w:tcW w:w="305" w:type="dxa"/>
            <w:shd w:val="clear" w:color="auto" w:fill="FFFFFF"/>
            <w:vAlign w:val="center"/>
          </w:tcPr>
          <w:p w:rsidR="009736D6" w:rsidRPr="00FF68A0" w:rsidRDefault="009736D6" w:rsidP="003D144E">
            <w:pPr>
              <w:rPr>
                <w:rFonts w:eastAsia="Times New Roman" w:cs="Calibri"/>
                <w:b/>
                <w:sz w:val="19"/>
                <w:szCs w:val="19"/>
                <w:lang w:val="fr-CA" w:eastAsia="en-US"/>
              </w:rPr>
            </w:pPr>
          </w:p>
        </w:tc>
        <w:tc>
          <w:tcPr>
            <w:tcW w:w="354" w:type="dxa"/>
            <w:shd w:val="clear" w:color="auto" w:fill="FFFFFF"/>
            <w:vAlign w:val="center"/>
          </w:tcPr>
          <w:p w:rsidR="009736D6" w:rsidRPr="00FF68A0" w:rsidRDefault="009736D6" w:rsidP="00FF0A9A">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9736D6" w:rsidRPr="00FF68A0" w:rsidRDefault="009736D6" w:rsidP="00FF0A9A">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9736D6" w:rsidRPr="00FF68A0" w:rsidRDefault="009736D6" w:rsidP="00FF0A9A">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shd w:val="clear" w:color="auto" w:fill="FFFFFF"/>
            <w:vAlign w:val="center"/>
          </w:tcPr>
          <w:p w:rsidR="009736D6" w:rsidRPr="00FF68A0" w:rsidRDefault="00003C35" w:rsidP="00FF0A9A">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shd w:val="clear" w:color="auto" w:fill="FFFFFF"/>
            <w:vAlign w:val="center"/>
          </w:tcPr>
          <w:p w:rsidR="009736D6" w:rsidRPr="00FF68A0" w:rsidRDefault="00003C35" w:rsidP="00FF0A9A">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shd w:val="clear" w:color="auto" w:fill="FFFFFF"/>
            <w:vAlign w:val="center"/>
          </w:tcPr>
          <w:p w:rsidR="009736D6" w:rsidRPr="00FF68A0" w:rsidRDefault="00003C35" w:rsidP="00FF0A9A">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6" w:type="dxa"/>
            <w:shd w:val="clear" w:color="auto" w:fill="FFFFFF"/>
            <w:vAlign w:val="center"/>
          </w:tcPr>
          <w:p w:rsidR="009736D6" w:rsidRPr="00FF68A0" w:rsidRDefault="00003C35" w:rsidP="00FF0A9A">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6" w:type="dxa"/>
            <w:shd w:val="clear" w:color="auto" w:fill="FFFFFF"/>
            <w:vAlign w:val="center"/>
          </w:tcPr>
          <w:p w:rsidR="009736D6" w:rsidRPr="00FF68A0" w:rsidRDefault="00003C35" w:rsidP="00FF0A9A">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6" w:type="dxa"/>
            <w:shd w:val="clear" w:color="auto" w:fill="FFFFFF"/>
          </w:tcPr>
          <w:p w:rsidR="009736D6" w:rsidRPr="00FF68A0" w:rsidRDefault="009736D6" w:rsidP="003D144E">
            <w:pPr>
              <w:rPr>
                <w:rFonts w:eastAsia="Times New Roman" w:cs="Calibri"/>
                <w:b/>
                <w:sz w:val="19"/>
                <w:szCs w:val="19"/>
                <w:lang w:val="fr-CA" w:eastAsia="en-US"/>
              </w:rPr>
            </w:pPr>
          </w:p>
        </w:tc>
      </w:tr>
      <w:tr w:rsidR="008F6B96" w:rsidRPr="00FF68A0" w:rsidTr="008F6B96">
        <w:trPr>
          <w:jc w:val="center"/>
        </w:trPr>
        <w:tc>
          <w:tcPr>
            <w:tcW w:w="1510" w:type="dxa"/>
            <w:vMerge w:val="restart"/>
            <w:shd w:val="clear" w:color="auto" w:fill="auto"/>
            <w:vAlign w:val="center"/>
          </w:tcPr>
          <w:p w:rsidR="00F11D58" w:rsidRPr="00FF68A0" w:rsidRDefault="00F11D58" w:rsidP="003D144E">
            <w:pPr>
              <w:autoSpaceDE w:val="0"/>
              <w:autoSpaceDN w:val="0"/>
              <w:adjustRightInd w:val="0"/>
              <w:rPr>
                <w:rFonts w:eastAsia="Times New Roman" w:cs="Calibri"/>
                <w:b/>
                <w:bCs/>
                <w:sz w:val="19"/>
                <w:szCs w:val="19"/>
                <w:lang w:val="fr-CA" w:eastAsia="en-US"/>
              </w:rPr>
            </w:pPr>
            <w:r w:rsidRPr="00FF68A0">
              <w:rPr>
                <w:rFonts w:eastAsia="Times New Roman" w:cs="Calibri"/>
                <w:b/>
                <w:bCs/>
                <w:sz w:val="19"/>
                <w:szCs w:val="19"/>
                <w:lang w:val="fr-CA" w:eastAsia="en-US"/>
              </w:rPr>
              <w:t>Mesures institutionnelles</w:t>
            </w:r>
          </w:p>
        </w:tc>
        <w:tc>
          <w:tcPr>
            <w:tcW w:w="2598" w:type="dxa"/>
            <w:shd w:val="clear" w:color="auto" w:fill="auto"/>
            <w:vAlign w:val="center"/>
          </w:tcPr>
          <w:p w:rsidR="00F11D58" w:rsidRPr="00FF68A0" w:rsidRDefault="00F11D58" w:rsidP="003D144E">
            <w:pPr>
              <w:autoSpaceDE w:val="0"/>
              <w:autoSpaceDN w:val="0"/>
              <w:adjustRightInd w:val="0"/>
              <w:rPr>
                <w:rFonts w:eastAsia="Times New Roman" w:cs="Calibri"/>
                <w:sz w:val="19"/>
                <w:szCs w:val="19"/>
                <w:lang w:val="fr-CA" w:eastAsia="en-US"/>
              </w:rPr>
            </w:pPr>
            <w:r w:rsidRPr="00F11D58">
              <w:rPr>
                <w:rFonts w:eastAsia="Times New Roman" w:cs="Calibri"/>
                <w:sz w:val="19"/>
                <w:szCs w:val="19"/>
                <w:lang w:eastAsia="en-US"/>
              </w:rPr>
              <w:t>Recrutement d´un Spécialiste en Sauvegardes Environnementales et Sociales</w:t>
            </w:r>
          </w:p>
        </w:tc>
        <w:tc>
          <w:tcPr>
            <w:tcW w:w="1882" w:type="dxa"/>
            <w:gridSpan w:val="2"/>
            <w:shd w:val="clear" w:color="auto" w:fill="FFFFFF"/>
          </w:tcPr>
          <w:p w:rsidR="00F11D58" w:rsidRPr="00FF68A0" w:rsidRDefault="00F11D58" w:rsidP="003D144E">
            <w:pPr>
              <w:rPr>
                <w:rFonts w:eastAsia="Times New Roman" w:cs="Calibri"/>
                <w:sz w:val="19"/>
                <w:szCs w:val="19"/>
                <w:lang w:val="fr-CA" w:eastAsia="en-US"/>
              </w:rPr>
            </w:pPr>
            <w:r>
              <w:rPr>
                <w:rFonts w:eastAsia="Times New Roman" w:cs="Calibri"/>
                <w:sz w:val="19"/>
                <w:szCs w:val="19"/>
                <w:lang w:val="fr-CA" w:eastAsia="en-US"/>
              </w:rPr>
              <w:t xml:space="preserve">PUSA / </w:t>
            </w:r>
            <w:r w:rsidR="00D906D1">
              <w:rPr>
                <w:rFonts w:eastAsia="Times New Roman" w:cs="Calibri"/>
                <w:sz w:val="19"/>
                <w:szCs w:val="19"/>
                <w:lang w:val="fr-CA" w:eastAsia="en-US"/>
              </w:rPr>
              <w:t>FAO/ BM</w:t>
            </w:r>
          </w:p>
        </w:tc>
        <w:tc>
          <w:tcPr>
            <w:tcW w:w="408" w:type="dxa"/>
            <w:shd w:val="clear" w:color="auto" w:fill="FFFFFF"/>
            <w:vAlign w:val="center"/>
          </w:tcPr>
          <w:p w:rsidR="00F11D58" w:rsidRPr="00FF68A0" w:rsidDel="00003C35" w:rsidRDefault="00D906D1"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3" w:type="dxa"/>
            <w:shd w:val="clear" w:color="auto" w:fill="FFFFFF"/>
            <w:vAlign w:val="center"/>
          </w:tcPr>
          <w:p w:rsidR="00F11D58" w:rsidRPr="00FF68A0" w:rsidDel="00003C35" w:rsidRDefault="00F11D58" w:rsidP="003D144E">
            <w:pPr>
              <w:rPr>
                <w:rFonts w:eastAsia="Times New Roman" w:cs="Calibri"/>
                <w:b/>
                <w:sz w:val="19"/>
                <w:szCs w:val="19"/>
                <w:lang w:val="fr-CA" w:eastAsia="en-US"/>
              </w:rPr>
            </w:pPr>
          </w:p>
        </w:tc>
        <w:tc>
          <w:tcPr>
            <w:tcW w:w="305" w:type="dxa"/>
            <w:shd w:val="clear" w:color="auto" w:fill="FFFFFF"/>
            <w:vAlign w:val="center"/>
          </w:tcPr>
          <w:p w:rsidR="00F11D58" w:rsidRPr="00FF68A0" w:rsidDel="00003C35" w:rsidRDefault="00F11D58" w:rsidP="003D144E">
            <w:pPr>
              <w:rPr>
                <w:rFonts w:eastAsia="Times New Roman" w:cs="Calibri"/>
                <w:b/>
                <w:sz w:val="19"/>
                <w:szCs w:val="19"/>
                <w:lang w:val="fr-CA" w:eastAsia="en-US"/>
              </w:rPr>
            </w:pPr>
          </w:p>
        </w:tc>
        <w:tc>
          <w:tcPr>
            <w:tcW w:w="354" w:type="dxa"/>
            <w:shd w:val="clear" w:color="auto" w:fill="FFFFFF"/>
            <w:vAlign w:val="center"/>
          </w:tcPr>
          <w:p w:rsidR="00F11D58" w:rsidRPr="00FF68A0" w:rsidRDefault="00F11D58" w:rsidP="003D144E">
            <w:pPr>
              <w:rPr>
                <w:rFonts w:eastAsia="Times New Roman" w:cs="Calibri"/>
                <w:b/>
                <w:sz w:val="19"/>
                <w:szCs w:val="19"/>
                <w:lang w:val="fr-CA" w:eastAsia="en-US"/>
              </w:rPr>
            </w:pPr>
          </w:p>
        </w:tc>
        <w:tc>
          <w:tcPr>
            <w:tcW w:w="354" w:type="dxa"/>
            <w:shd w:val="clear" w:color="auto" w:fill="FFFFFF"/>
            <w:vAlign w:val="center"/>
          </w:tcPr>
          <w:p w:rsidR="00F11D58" w:rsidRPr="00FF68A0" w:rsidRDefault="00F11D58" w:rsidP="003D144E">
            <w:pPr>
              <w:rPr>
                <w:rFonts w:eastAsia="Times New Roman" w:cs="Calibri"/>
                <w:b/>
                <w:sz w:val="19"/>
                <w:szCs w:val="19"/>
                <w:lang w:val="fr-CA" w:eastAsia="en-US"/>
              </w:rPr>
            </w:pPr>
          </w:p>
        </w:tc>
        <w:tc>
          <w:tcPr>
            <w:tcW w:w="354" w:type="dxa"/>
            <w:shd w:val="clear" w:color="auto" w:fill="FFFFFF"/>
            <w:vAlign w:val="center"/>
          </w:tcPr>
          <w:p w:rsidR="00F11D58" w:rsidRPr="00FF68A0" w:rsidRDefault="00F11D58" w:rsidP="003D144E">
            <w:pPr>
              <w:rPr>
                <w:rFonts w:eastAsia="Times New Roman" w:cs="Calibri"/>
                <w:b/>
                <w:sz w:val="19"/>
                <w:szCs w:val="19"/>
                <w:lang w:val="fr-CA" w:eastAsia="en-US"/>
              </w:rPr>
            </w:pPr>
          </w:p>
        </w:tc>
        <w:tc>
          <w:tcPr>
            <w:tcW w:w="348" w:type="dxa"/>
            <w:shd w:val="clear" w:color="auto" w:fill="FFFFFF"/>
          </w:tcPr>
          <w:p w:rsidR="00F11D58" w:rsidRPr="00FF68A0" w:rsidRDefault="00F11D58" w:rsidP="003D144E">
            <w:pPr>
              <w:rPr>
                <w:rFonts w:eastAsia="Times New Roman" w:cs="Calibri"/>
                <w:b/>
                <w:sz w:val="19"/>
                <w:szCs w:val="19"/>
                <w:lang w:val="fr-CA" w:eastAsia="en-US"/>
              </w:rPr>
            </w:pPr>
          </w:p>
        </w:tc>
        <w:tc>
          <w:tcPr>
            <w:tcW w:w="348" w:type="dxa"/>
            <w:shd w:val="clear" w:color="auto" w:fill="FFFFFF"/>
          </w:tcPr>
          <w:p w:rsidR="00F11D58" w:rsidRPr="00FF68A0" w:rsidRDefault="00F11D58" w:rsidP="003D144E">
            <w:pPr>
              <w:rPr>
                <w:rFonts w:eastAsia="Times New Roman" w:cs="Calibri"/>
                <w:b/>
                <w:sz w:val="19"/>
                <w:szCs w:val="19"/>
                <w:lang w:val="fr-CA" w:eastAsia="en-US"/>
              </w:rPr>
            </w:pPr>
          </w:p>
        </w:tc>
        <w:tc>
          <w:tcPr>
            <w:tcW w:w="348" w:type="dxa"/>
            <w:shd w:val="clear" w:color="auto" w:fill="FFFFFF"/>
          </w:tcPr>
          <w:p w:rsidR="00F11D58" w:rsidRPr="00FF68A0" w:rsidRDefault="00F11D58" w:rsidP="003D144E">
            <w:pPr>
              <w:rPr>
                <w:rFonts w:eastAsia="Times New Roman" w:cs="Calibri"/>
                <w:b/>
                <w:sz w:val="19"/>
                <w:szCs w:val="19"/>
                <w:lang w:val="fr-CA" w:eastAsia="en-US"/>
              </w:rPr>
            </w:pPr>
          </w:p>
        </w:tc>
        <w:tc>
          <w:tcPr>
            <w:tcW w:w="406" w:type="dxa"/>
            <w:shd w:val="clear" w:color="auto" w:fill="FFFFFF"/>
          </w:tcPr>
          <w:p w:rsidR="00F11D58" w:rsidRPr="00FF68A0" w:rsidRDefault="00F11D58" w:rsidP="003D144E">
            <w:pPr>
              <w:rPr>
                <w:rFonts w:eastAsia="Times New Roman" w:cs="Calibri"/>
                <w:b/>
                <w:sz w:val="19"/>
                <w:szCs w:val="19"/>
                <w:lang w:val="fr-CA" w:eastAsia="en-US"/>
              </w:rPr>
            </w:pPr>
          </w:p>
        </w:tc>
        <w:tc>
          <w:tcPr>
            <w:tcW w:w="406" w:type="dxa"/>
            <w:shd w:val="clear" w:color="auto" w:fill="FFFFFF"/>
          </w:tcPr>
          <w:p w:rsidR="00F11D58" w:rsidRPr="00FF68A0" w:rsidRDefault="00F11D58" w:rsidP="003D144E">
            <w:pPr>
              <w:rPr>
                <w:rFonts w:eastAsia="Times New Roman" w:cs="Calibri"/>
                <w:b/>
                <w:sz w:val="19"/>
                <w:szCs w:val="19"/>
                <w:lang w:val="fr-CA" w:eastAsia="en-US"/>
              </w:rPr>
            </w:pPr>
          </w:p>
        </w:tc>
        <w:tc>
          <w:tcPr>
            <w:tcW w:w="406" w:type="dxa"/>
            <w:shd w:val="clear" w:color="auto" w:fill="FFFFFF"/>
          </w:tcPr>
          <w:p w:rsidR="00F11D58" w:rsidRPr="00FF68A0" w:rsidRDefault="00F11D58" w:rsidP="003D144E">
            <w:pPr>
              <w:rPr>
                <w:rFonts w:eastAsia="Times New Roman" w:cs="Calibri"/>
                <w:b/>
                <w:sz w:val="19"/>
                <w:szCs w:val="19"/>
                <w:lang w:val="fr-CA" w:eastAsia="en-US"/>
              </w:rPr>
            </w:pPr>
          </w:p>
        </w:tc>
      </w:tr>
      <w:tr w:rsidR="008F6B96" w:rsidRPr="00FF68A0" w:rsidTr="008F6B96">
        <w:trPr>
          <w:jc w:val="center"/>
        </w:trPr>
        <w:tc>
          <w:tcPr>
            <w:tcW w:w="1510" w:type="dxa"/>
            <w:vMerge/>
            <w:shd w:val="clear" w:color="auto" w:fill="auto"/>
            <w:vAlign w:val="center"/>
          </w:tcPr>
          <w:p w:rsidR="00F11D58" w:rsidRPr="00FF68A0" w:rsidRDefault="00F11D58" w:rsidP="003D144E">
            <w:pPr>
              <w:autoSpaceDE w:val="0"/>
              <w:autoSpaceDN w:val="0"/>
              <w:adjustRightInd w:val="0"/>
              <w:rPr>
                <w:rFonts w:eastAsia="Times New Roman" w:cs="Calibri"/>
                <w:b/>
                <w:bCs/>
                <w:sz w:val="19"/>
                <w:szCs w:val="19"/>
                <w:lang w:val="fr-CA" w:eastAsia="en-US"/>
              </w:rPr>
            </w:pPr>
          </w:p>
        </w:tc>
        <w:tc>
          <w:tcPr>
            <w:tcW w:w="2598" w:type="dxa"/>
            <w:shd w:val="clear" w:color="auto" w:fill="auto"/>
            <w:vAlign w:val="center"/>
          </w:tcPr>
          <w:p w:rsidR="00F11D58" w:rsidRPr="00FF68A0" w:rsidRDefault="00F11D58" w:rsidP="003D144E">
            <w:pPr>
              <w:autoSpaceDE w:val="0"/>
              <w:autoSpaceDN w:val="0"/>
              <w:adjustRightInd w:val="0"/>
              <w:rPr>
                <w:rFonts w:eastAsia="Times New Roman" w:cs="Calibri"/>
                <w:sz w:val="19"/>
                <w:szCs w:val="19"/>
                <w:lang w:val="fr-CA" w:eastAsia="en-US"/>
              </w:rPr>
            </w:pPr>
            <w:r w:rsidRPr="00FF68A0">
              <w:rPr>
                <w:rFonts w:eastAsia="Times New Roman" w:cs="Calibri"/>
                <w:sz w:val="19"/>
                <w:szCs w:val="19"/>
                <w:lang w:val="fr-CA" w:eastAsia="en-US"/>
              </w:rPr>
              <w:t>Désignation des Points focaux Environnement</w:t>
            </w:r>
          </w:p>
        </w:tc>
        <w:tc>
          <w:tcPr>
            <w:tcW w:w="1882" w:type="dxa"/>
            <w:gridSpan w:val="2"/>
            <w:shd w:val="clear" w:color="auto" w:fill="FFFFFF"/>
          </w:tcPr>
          <w:p w:rsidR="00F11D58" w:rsidRPr="00FF68A0" w:rsidRDefault="00F11D58" w:rsidP="003D144E">
            <w:pPr>
              <w:rPr>
                <w:rFonts w:eastAsia="Times New Roman" w:cs="Calibri"/>
                <w:sz w:val="19"/>
                <w:szCs w:val="19"/>
                <w:lang w:val="fr-CA" w:eastAsia="en-US"/>
              </w:rPr>
            </w:pPr>
            <w:r w:rsidRPr="00FF68A0">
              <w:rPr>
                <w:rFonts w:eastAsia="Times New Roman" w:cs="Calibri"/>
                <w:sz w:val="19"/>
                <w:szCs w:val="19"/>
                <w:lang w:val="fr-CA" w:eastAsia="en-US"/>
              </w:rPr>
              <w:t>MADR</w:t>
            </w:r>
          </w:p>
          <w:p w:rsidR="00F11D58" w:rsidRPr="00FF68A0" w:rsidRDefault="00F11D58" w:rsidP="003D144E">
            <w:pPr>
              <w:rPr>
                <w:rFonts w:eastAsia="Times New Roman" w:cs="Calibri"/>
                <w:sz w:val="19"/>
                <w:szCs w:val="19"/>
                <w:lang w:val="fr-CA" w:eastAsia="en-US"/>
              </w:rPr>
            </w:pPr>
            <w:r>
              <w:rPr>
                <w:rFonts w:eastAsia="Times New Roman" w:cs="Calibri"/>
                <w:sz w:val="19"/>
                <w:szCs w:val="19"/>
                <w:lang w:val="fr-CA" w:eastAsia="en-US"/>
              </w:rPr>
              <w:t>PUSA / FAO</w:t>
            </w:r>
          </w:p>
        </w:tc>
        <w:tc>
          <w:tcPr>
            <w:tcW w:w="408" w:type="dxa"/>
            <w:shd w:val="clear" w:color="auto" w:fill="FFFFFF"/>
            <w:vAlign w:val="center"/>
          </w:tcPr>
          <w:p w:rsidR="00F11D58" w:rsidRPr="00FF68A0" w:rsidRDefault="00F11D58" w:rsidP="003D144E">
            <w:pPr>
              <w:rPr>
                <w:rFonts w:eastAsia="Times New Roman" w:cs="Calibri"/>
                <w:b/>
                <w:sz w:val="19"/>
                <w:szCs w:val="19"/>
                <w:lang w:val="fr-CA" w:eastAsia="en-US"/>
              </w:rPr>
            </w:pPr>
          </w:p>
        </w:tc>
        <w:tc>
          <w:tcPr>
            <w:tcW w:w="403" w:type="dxa"/>
            <w:shd w:val="clear" w:color="auto" w:fill="FFFFFF"/>
            <w:vAlign w:val="center"/>
          </w:tcPr>
          <w:p w:rsidR="00F11D58" w:rsidRPr="00FF68A0" w:rsidRDefault="00F11D58" w:rsidP="003D144E">
            <w:pPr>
              <w:rPr>
                <w:rFonts w:eastAsia="Times New Roman" w:cs="Calibri"/>
                <w:b/>
                <w:sz w:val="19"/>
                <w:szCs w:val="19"/>
                <w:lang w:val="fr-CA" w:eastAsia="en-US"/>
              </w:rPr>
            </w:pPr>
          </w:p>
        </w:tc>
        <w:tc>
          <w:tcPr>
            <w:tcW w:w="305" w:type="dxa"/>
            <w:shd w:val="clear" w:color="auto" w:fill="FFFFFF"/>
            <w:vAlign w:val="center"/>
          </w:tcPr>
          <w:p w:rsidR="00F11D58" w:rsidRPr="00FF68A0" w:rsidRDefault="00F11D58"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F11D58" w:rsidRPr="00FF68A0" w:rsidRDefault="00F11D58" w:rsidP="003D144E">
            <w:pPr>
              <w:rPr>
                <w:rFonts w:eastAsia="Times New Roman" w:cs="Calibri"/>
                <w:b/>
                <w:sz w:val="19"/>
                <w:szCs w:val="19"/>
                <w:lang w:val="fr-CA" w:eastAsia="en-US"/>
              </w:rPr>
            </w:pPr>
          </w:p>
        </w:tc>
        <w:tc>
          <w:tcPr>
            <w:tcW w:w="354" w:type="dxa"/>
            <w:shd w:val="clear" w:color="auto" w:fill="FFFFFF"/>
            <w:vAlign w:val="center"/>
          </w:tcPr>
          <w:p w:rsidR="00F11D58" w:rsidRPr="00FF68A0" w:rsidRDefault="00F11D58" w:rsidP="003D144E">
            <w:pPr>
              <w:rPr>
                <w:rFonts w:eastAsia="Times New Roman" w:cs="Calibri"/>
                <w:b/>
                <w:sz w:val="19"/>
                <w:szCs w:val="19"/>
                <w:lang w:val="fr-CA" w:eastAsia="en-US"/>
              </w:rPr>
            </w:pPr>
          </w:p>
        </w:tc>
        <w:tc>
          <w:tcPr>
            <w:tcW w:w="354" w:type="dxa"/>
            <w:shd w:val="clear" w:color="auto" w:fill="FFFFFF"/>
            <w:vAlign w:val="center"/>
          </w:tcPr>
          <w:p w:rsidR="00F11D58" w:rsidRPr="00FF68A0" w:rsidRDefault="00F11D58" w:rsidP="003D144E">
            <w:pPr>
              <w:rPr>
                <w:rFonts w:eastAsia="Times New Roman" w:cs="Calibri"/>
                <w:b/>
                <w:sz w:val="19"/>
                <w:szCs w:val="19"/>
                <w:lang w:val="fr-CA" w:eastAsia="en-US"/>
              </w:rPr>
            </w:pPr>
          </w:p>
        </w:tc>
        <w:tc>
          <w:tcPr>
            <w:tcW w:w="348" w:type="dxa"/>
            <w:shd w:val="clear" w:color="auto" w:fill="FFFFFF"/>
          </w:tcPr>
          <w:p w:rsidR="00F11D58" w:rsidRPr="00FF68A0" w:rsidRDefault="00F11D58" w:rsidP="003D144E">
            <w:pPr>
              <w:rPr>
                <w:rFonts w:eastAsia="Times New Roman" w:cs="Calibri"/>
                <w:b/>
                <w:sz w:val="19"/>
                <w:szCs w:val="19"/>
                <w:lang w:val="fr-CA" w:eastAsia="en-US"/>
              </w:rPr>
            </w:pPr>
          </w:p>
        </w:tc>
        <w:tc>
          <w:tcPr>
            <w:tcW w:w="348" w:type="dxa"/>
            <w:shd w:val="clear" w:color="auto" w:fill="FFFFFF"/>
          </w:tcPr>
          <w:p w:rsidR="00F11D58" w:rsidRPr="00FF68A0" w:rsidRDefault="00F11D58" w:rsidP="003D144E">
            <w:pPr>
              <w:rPr>
                <w:rFonts w:eastAsia="Times New Roman" w:cs="Calibri"/>
                <w:b/>
                <w:sz w:val="19"/>
                <w:szCs w:val="19"/>
                <w:lang w:val="fr-CA" w:eastAsia="en-US"/>
              </w:rPr>
            </w:pPr>
          </w:p>
        </w:tc>
        <w:tc>
          <w:tcPr>
            <w:tcW w:w="348" w:type="dxa"/>
            <w:shd w:val="clear" w:color="auto" w:fill="FFFFFF"/>
          </w:tcPr>
          <w:p w:rsidR="00F11D58" w:rsidRPr="00FF68A0" w:rsidRDefault="00F11D58" w:rsidP="003D144E">
            <w:pPr>
              <w:rPr>
                <w:rFonts w:eastAsia="Times New Roman" w:cs="Calibri"/>
                <w:b/>
                <w:sz w:val="19"/>
                <w:szCs w:val="19"/>
                <w:lang w:val="fr-CA" w:eastAsia="en-US"/>
              </w:rPr>
            </w:pPr>
          </w:p>
        </w:tc>
        <w:tc>
          <w:tcPr>
            <w:tcW w:w="406" w:type="dxa"/>
            <w:shd w:val="clear" w:color="auto" w:fill="FFFFFF"/>
          </w:tcPr>
          <w:p w:rsidR="00F11D58" w:rsidRPr="00FF68A0" w:rsidRDefault="00F11D58" w:rsidP="003D144E">
            <w:pPr>
              <w:rPr>
                <w:rFonts w:eastAsia="Times New Roman" w:cs="Calibri"/>
                <w:b/>
                <w:sz w:val="19"/>
                <w:szCs w:val="19"/>
                <w:lang w:val="fr-CA" w:eastAsia="en-US"/>
              </w:rPr>
            </w:pPr>
          </w:p>
        </w:tc>
        <w:tc>
          <w:tcPr>
            <w:tcW w:w="406" w:type="dxa"/>
            <w:shd w:val="clear" w:color="auto" w:fill="FFFFFF"/>
          </w:tcPr>
          <w:p w:rsidR="00F11D58" w:rsidRPr="00FF68A0" w:rsidRDefault="00F11D58" w:rsidP="003D144E">
            <w:pPr>
              <w:rPr>
                <w:rFonts w:eastAsia="Times New Roman" w:cs="Calibri"/>
                <w:b/>
                <w:sz w:val="19"/>
                <w:szCs w:val="19"/>
                <w:lang w:val="fr-CA" w:eastAsia="en-US"/>
              </w:rPr>
            </w:pPr>
          </w:p>
        </w:tc>
        <w:tc>
          <w:tcPr>
            <w:tcW w:w="406" w:type="dxa"/>
            <w:shd w:val="clear" w:color="auto" w:fill="FFFFFF"/>
          </w:tcPr>
          <w:p w:rsidR="00F11D58" w:rsidRPr="00FF68A0" w:rsidRDefault="00F11D58" w:rsidP="003D144E">
            <w:pPr>
              <w:rPr>
                <w:rFonts w:eastAsia="Times New Roman" w:cs="Calibri"/>
                <w:b/>
                <w:sz w:val="19"/>
                <w:szCs w:val="19"/>
                <w:lang w:val="fr-CA" w:eastAsia="en-US"/>
              </w:rPr>
            </w:pPr>
          </w:p>
        </w:tc>
      </w:tr>
      <w:tr w:rsidR="008F6B96" w:rsidRPr="00FF68A0" w:rsidTr="008F6B96">
        <w:trPr>
          <w:jc w:val="center"/>
        </w:trPr>
        <w:tc>
          <w:tcPr>
            <w:tcW w:w="1510" w:type="dxa"/>
            <w:vMerge w:val="restart"/>
            <w:shd w:val="clear" w:color="auto" w:fill="auto"/>
            <w:vAlign w:val="center"/>
          </w:tcPr>
          <w:p w:rsidR="009736D6" w:rsidRPr="00FF68A0" w:rsidRDefault="009736D6" w:rsidP="003D144E">
            <w:pPr>
              <w:autoSpaceDE w:val="0"/>
              <w:autoSpaceDN w:val="0"/>
              <w:adjustRightInd w:val="0"/>
              <w:ind w:right="-34"/>
              <w:rPr>
                <w:rFonts w:eastAsia="Times New Roman" w:cs="Calibri"/>
                <w:b/>
                <w:sz w:val="19"/>
                <w:szCs w:val="19"/>
                <w:lang w:val="fr-CA" w:eastAsia="en-US"/>
              </w:rPr>
            </w:pPr>
            <w:r w:rsidRPr="00FF68A0">
              <w:rPr>
                <w:rFonts w:eastAsia="Times New Roman" w:cs="Calibri"/>
                <w:b/>
                <w:sz w:val="19"/>
                <w:szCs w:val="19"/>
                <w:lang w:val="fr-CA" w:eastAsia="en-US"/>
              </w:rPr>
              <w:t>Mesures techniques</w:t>
            </w:r>
          </w:p>
          <w:p w:rsidR="009736D6" w:rsidRPr="00FF68A0" w:rsidRDefault="009736D6" w:rsidP="003D144E">
            <w:pPr>
              <w:rPr>
                <w:rFonts w:eastAsia="Times New Roman" w:cs="Calibri"/>
                <w:b/>
                <w:sz w:val="19"/>
                <w:szCs w:val="19"/>
                <w:lang w:val="fr-CA" w:eastAsia="en-US"/>
              </w:rPr>
            </w:pPr>
          </w:p>
        </w:tc>
        <w:tc>
          <w:tcPr>
            <w:tcW w:w="2598" w:type="dxa"/>
            <w:shd w:val="clear" w:color="auto" w:fill="auto"/>
            <w:vAlign w:val="center"/>
          </w:tcPr>
          <w:p w:rsidR="009736D6" w:rsidRPr="00FF68A0" w:rsidRDefault="009736D6" w:rsidP="003D144E">
            <w:pPr>
              <w:autoSpaceDE w:val="0"/>
              <w:autoSpaceDN w:val="0"/>
              <w:adjustRightInd w:val="0"/>
              <w:rPr>
                <w:rFonts w:eastAsia="Times New Roman" w:cs="Calibri"/>
                <w:sz w:val="19"/>
                <w:szCs w:val="19"/>
                <w:lang w:val="fr-CA" w:eastAsia="en-US"/>
              </w:rPr>
            </w:pPr>
            <w:r w:rsidRPr="00FF68A0">
              <w:rPr>
                <w:rFonts w:eastAsia="Times New Roman" w:cs="Calibri"/>
                <w:sz w:val="19"/>
                <w:szCs w:val="19"/>
                <w:lang w:val="fr-CA" w:eastAsia="en-US"/>
              </w:rPr>
              <w:t>Réalisation des E</w:t>
            </w:r>
            <w:r w:rsidR="00866A65">
              <w:rPr>
                <w:rFonts w:eastAsia="Times New Roman" w:cs="Calibri"/>
                <w:sz w:val="19"/>
                <w:szCs w:val="19"/>
                <w:lang w:val="fr-CA" w:eastAsia="en-US"/>
              </w:rPr>
              <w:t>I</w:t>
            </w:r>
            <w:r w:rsidRPr="00FF68A0">
              <w:rPr>
                <w:rFonts w:eastAsia="Times New Roman" w:cs="Calibri"/>
                <w:sz w:val="19"/>
                <w:szCs w:val="19"/>
                <w:lang w:val="fr-CA" w:eastAsia="en-US"/>
              </w:rPr>
              <w:t>ES pour certaines activités du P</w:t>
            </w:r>
            <w:r w:rsidR="00866A65">
              <w:rPr>
                <w:rFonts w:eastAsia="Times New Roman" w:cs="Calibri"/>
                <w:sz w:val="19"/>
                <w:szCs w:val="19"/>
                <w:lang w:val="fr-CA" w:eastAsia="en-US"/>
              </w:rPr>
              <w:t>USA</w:t>
            </w:r>
          </w:p>
        </w:tc>
        <w:tc>
          <w:tcPr>
            <w:tcW w:w="1882" w:type="dxa"/>
            <w:gridSpan w:val="2"/>
            <w:shd w:val="clear" w:color="auto" w:fill="FFFFFF"/>
          </w:tcPr>
          <w:p w:rsidR="009736D6" w:rsidRPr="00FF68A0" w:rsidRDefault="009736D6" w:rsidP="003D144E">
            <w:pPr>
              <w:rPr>
                <w:rFonts w:eastAsia="Times New Roman" w:cs="Calibri"/>
                <w:sz w:val="19"/>
                <w:szCs w:val="19"/>
                <w:lang w:val="fr-CA" w:eastAsia="en-US"/>
              </w:rPr>
            </w:pPr>
            <w:r w:rsidRPr="00FF68A0">
              <w:rPr>
                <w:rFonts w:eastAsia="Times New Roman" w:cs="Calibri"/>
                <w:sz w:val="19"/>
                <w:szCs w:val="19"/>
                <w:lang w:val="fr-CA" w:eastAsia="en-US"/>
              </w:rPr>
              <w:t>Consultants</w:t>
            </w:r>
          </w:p>
        </w:tc>
        <w:tc>
          <w:tcPr>
            <w:tcW w:w="408" w:type="dxa"/>
            <w:shd w:val="clear" w:color="auto" w:fill="FFFFFF"/>
            <w:vAlign w:val="center"/>
          </w:tcPr>
          <w:p w:rsidR="009736D6" w:rsidRPr="00FF68A0" w:rsidRDefault="009736D6"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3" w:type="dxa"/>
            <w:shd w:val="clear" w:color="auto" w:fill="FFFFFF"/>
            <w:vAlign w:val="center"/>
          </w:tcPr>
          <w:p w:rsidR="009736D6" w:rsidRPr="00FF68A0" w:rsidRDefault="00866A65"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05" w:type="dxa"/>
            <w:shd w:val="clear" w:color="auto" w:fill="FFFFFF"/>
            <w:vAlign w:val="center"/>
          </w:tcPr>
          <w:p w:rsidR="009736D6" w:rsidRPr="00FF68A0" w:rsidRDefault="00866A65"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9736D6" w:rsidRPr="00FF68A0" w:rsidRDefault="009736D6" w:rsidP="003D144E">
            <w:pPr>
              <w:rPr>
                <w:rFonts w:eastAsia="Times New Roman" w:cs="Calibri"/>
                <w:b/>
                <w:sz w:val="19"/>
                <w:szCs w:val="19"/>
                <w:lang w:val="fr-CA" w:eastAsia="en-US"/>
              </w:rPr>
            </w:pPr>
          </w:p>
        </w:tc>
        <w:tc>
          <w:tcPr>
            <w:tcW w:w="354" w:type="dxa"/>
            <w:shd w:val="clear" w:color="auto" w:fill="FFFFFF"/>
            <w:vAlign w:val="center"/>
          </w:tcPr>
          <w:p w:rsidR="009736D6" w:rsidRPr="00FF68A0" w:rsidRDefault="009736D6" w:rsidP="003D144E">
            <w:pPr>
              <w:rPr>
                <w:rFonts w:eastAsia="Times New Roman" w:cs="Calibri"/>
                <w:b/>
                <w:sz w:val="19"/>
                <w:szCs w:val="19"/>
                <w:lang w:val="fr-CA" w:eastAsia="en-US"/>
              </w:rPr>
            </w:pPr>
          </w:p>
        </w:tc>
        <w:tc>
          <w:tcPr>
            <w:tcW w:w="354" w:type="dxa"/>
            <w:shd w:val="clear" w:color="auto" w:fill="FFFFFF"/>
            <w:vAlign w:val="center"/>
          </w:tcPr>
          <w:p w:rsidR="009736D6" w:rsidRPr="00FF68A0" w:rsidRDefault="009736D6" w:rsidP="003D144E">
            <w:pPr>
              <w:rPr>
                <w:rFonts w:eastAsia="Times New Roman" w:cs="Calibri"/>
                <w:b/>
                <w:sz w:val="19"/>
                <w:szCs w:val="19"/>
                <w:lang w:val="fr-CA" w:eastAsia="en-US"/>
              </w:rPr>
            </w:pPr>
          </w:p>
        </w:tc>
        <w:tc>
          <w:tcPr>
            <w:tcW w:w="348" w:type="dxa"/>
            <w:shd w:val="clear" w:color="auto" w:fill="FFFFFF"/>
          </w:tcPr>
          <w:p w:rsidR="009736D6" w:rsidRPr="00FF68A0" w:rsidRDefault="009736D6" w:rsidP="003D144E">
            <w:pPr>
              <w:rPr>
                <w:rFonts w:eastAsia="Times New Roman" w:cs="Calibri"/>
                <w:b/>
                <w:sz w:val="19"/>
                <w:szCs w:val="19"/>
                <w:lang w:val="fr-CA" w:eastAsia="en-US"/>
              </w:rPr>
            </w:pPr>
          </w:p>
        </w:tc>
        <w:tc>
          <w:tcPr>
            <w:tcW w:w="348" w:type="dxa"/>
            <w:shd w:val="clear" w:color="auto" w:fill="FFFFFF"/>
          </w:tcPr>
          <w:p w:rsidR="009736D6" w:rsidRPr="00FF68A0" w:rsidRDefault="009736D6" w:rsidP="003D144E">
            <w:pPr>
              <w:rPr>
                <w:rFonts w:eastAsia="Times New Roman" w:cs="Calibri"/>
                <w:b/>
                <w:sz w:val="19"/>
                <w:szCs w:val="19"/>
                <w:lang w:val="fr-CA" w:eastAsia="en-US"/>
              </w:rPr>
            </w:pPr>
          </w:p>
        </w:tc>
        <w:tc>
          <w:tcPr>
            <w:tcW w:w="348" w:type="dxa"/>
            <w:shd w:val="clear" w:color="auto" w:fill="FFFFFF"/>
          </w:tcPr>
          <w:p w:rsidR="009736D6" w:rsidRPr="00FF68A0" w:rsidRDefault="009736D6" w:rsidP="003D144E">
            <w:pPr>
              <w:rPr>
                <w:rFonts w:eastAsia="Times New Roman" w:cs="Calibri"/>
                <w:b/>
                <w:sz w:val="19"/>
                <w:szCs w:val="19"/>
                <w:lang w:val="fr-CA" w:eastAsia="en-US"/>
              </w:rPr>
            </w:pPr>
          </w:p>
        </w:tc>
        <w:tc>
          <w:tcPr>
            <w:tcW w:w="406" w:type="dxa"/>
            <w:shd w:val="clear" w:color="auto" w:fill="FFFFFF"/>
          </w:tcPr>
          <w:p w:rsidR="009736D6" w:rsidRPr="00FF68A0" w:rsidRDefault="009736D6" w:rsidP="003D144E">
            <w:pPr>
              <w:rPr>
                <w:rFonts w:eastAsia="Times New Roman" w:cs="Calibri"/>
                <w:b/>
                <w:sz w:val="19"/>
                <w:szCs w:val="19"/>
                <w:lang w:val="fr-CA" w:eastAsia="en-US"/>
              </w:rPr>
            </w:pPr>
          </w:p>
        </w:tc>
        <w:tc>
          <w:tcPr>
            <w:tcW w:w="406" w:type="dxa"/>
            <w:shd w:val="clear" w:color="auto" w:fill="FFFFFF"/>
          </w:tcPr>
          <w:p w:rsidR="009736D6" w:rsidRPr="00FF68A0" w:rsidRDefault="009736D6" w:rsidP="003D144E">
            <w:pPr>
              <w:rPr>
                <w:rFonts w:eastAsia="Times New Roman" w:cs="Calibri"/>
                <w:b/>
                <w:sz w:val="19"/>
                <w:szCs w:val="19"/>
                <w:lang w:val="fr-CA" w:eastAsia="en-US"/>
              </w:rPr>
            </w:pPr>
          </w:p>
        </w:tc>
        <w:tc>
          <w:tcPr>
            <w:tcW w:w="406" w:type="dxa"/>
            <w:shd w:val="clear" w:color="auto" w:fill="FFFFFF"/>
          </w:tcPr>
          <w:p w:rsidR="009736D6" w:rsidRPr="00FF68A0" w:rsidRDefault="009736D6" w:rsidP="003D144E">
            <w:pPr>
              <w:rPr>
                <w:rFonts w:eastAsia="Times New Roman" w:cs="Calibri"/>
                <w:b/>
                <w:sz w:val="19"/>
                <w:szCs w:val="19"/>
                <w:lang w:val="fr-CA" w:eastAsia="en-US"/>
              </w:rPr>
            </w:pPr>
          </w:p>
        </w:tc>
      </w:tr>
      <w:tr w:rsidR="008F6B96" w:rsidRPr="00FF68A0" w:rsidTr="008F6B96">
        <w:trPr>
          <w:jc w:val="center"/>
        </w:trPr>
        <w:tc>
          <w:tcPr>
            <w:tcW w:w="1510" w:type="dxa"/>
            <w:vMerge/>
            <w:shd w:val="clear" w:color="auto" w:fill="auto"/>
            <w:vAlign w:val="center"/>
          </w:tcPr>
          <w:p w:rsidR="006F2413" w:rsidRPr="00FF68A0" w:rsidRDefault="006F2413" w:rsidP="003D144E">
            <w:pPr>
              <w:rPr>
                <w:rFonts w:eastAsia="Times New Roman" w:cs="Calibri"/>
                <w:sz w:val="19"/>
                <w:szCs w:val="19"/>
                <w:lang w:val="fr-CA" w:eastAsia="en-US"/>
              </w:rPr>
            </w:pPr>
          </w:p>
        </w:tc>
        <w:tc>
          <w:tcPr>
            <w:tcW w:w="2598" w:type="dxa"/>
            <w:shd w:val="clear" w:color="auto" w:fill="auto"/>
            <w:vAlign w:val="center"/>
          </w:tcPr>
          <w:p w:rsidR="006F2413" w:rsidRPr="00FF68A0" w:rsidRDefault="006F2413" w:rsidP="003D144E">
            <w:pPr>
              <w:autoSpaceDE w:val="0"/>
              <w:autoSpaceDN w:val="0"/>
              <w:adjustRightInd w:val="0"/>
              <w:rPr>
                <w:rFonts w:eastAsia="Times New Roman" w:cs="Calibri"/>
                <w:sz w:val="19"/>
                <w:szCs w:val="19"/>
                <w:lang w:val="fr-CA" w:eastAsia="en-US"/>
              </w:rPr>
            </w:pPr>
            <w:r w:rsidRPr="00FF68A0">
              <w:rPr>
                <w:rFonts w:eastAsia="Times New Roman" w:cs="Calibri"/>
                <w:sz w:val="19"/>
                <w:szCs w:val="19"/>
                <w:lang w:val="fr-CA" w:eastAsia="en-US"/>
              </w:rPr>
              <w:t>Directives, bonnes pratiques agricoles et manuel d’entretien des</w:t>
            </w:r>
            <w:r>
              <w:rPr>
                <w:rFonts w:eastAsia="Times New Roman" w:cs="Calibri"/>
                <w:sz w:val="19"/>
                <w:szCs w:val="19"/>
                <w:lang w:val="fr-CA" w:eastAsia="en-US"/>
              </w:rPr>
              <w:t xml:space="preserve"> </w:t>
            </w:r>
            <w:r w:rsidRPr="00FF68A0">
              <w:rPr>
                <w:rFonts w:eastAsia="Times New Roman" w:cs="Calibri"/>
                <w:sz w:val="19"/>
                <w:szCs w:val="19"/>
                <w:lang w:val="fr-CA" w:eastAsia="en-US"/>
              </w:rPr>
              <w:t>infrastructures agricoles</w:t>
            </w:r>
          </w:p>
        </w:tc>
        <w:tc>
          <w:tcPr>
            <w:tcW w:w="1882" w:type="dxa"/>
            <w:gridSpan w:val="2"/>
            <w:vMerge w:val="restart"/>
            <w:shd w:val="clear" w:color="auto" w:fill="FFFFFF"/>
          </w:tcPr>
          <w:p w:rsidR="006F2413" w:rsidRPr="00FF68A0" w:rsidRDefault="006F2413" w:rsidP="003D144E">
            <w:pPr>
              <w:rPr>
                <w:rFonts w:eastAsia="Times New Roman" w:cs="Calibri"/>
                <w:sz w:val="19"/>
                <w:szCs w:val="19"/>
                <w:lang w:val="fr-CA" w:eastAsia="en-US"/>
              </w:rPr>
            </w:pPr>
            <w:r w:rsidRPr="00FF68A0">
              <w:rPr>
                <w:rFonts w:eastAsia="Times New Roman" w:cs="Calibri"/>
                <w:sz w:val="19"/>
                <w:szCs w:val="19"/>
                <w:lang w:val="fr-CA" w:eastAsia="en-US"/>
              </w:rPr>
              <w:t>D</w:t>
            </w:r>
            <w:r>
              <w:rPr>
                <w:rFonts w:eastAsia="Times New Roman" w:cs="Calibri"/>
                <w:sz w:val="19"/>
                <w:szCs w:val="19"/>
                <w:lang w:val="fr-CA" w:eastAsia="en-US"/>
              </w:rPr>
              <w:t>G</w:t>
            </w:r>
            <w:r w:rsidRPr="00FF68A0">
              <w:rPr>
                <w:rFonts w:eastAsia="Times New Roman" w:cs="Calibri"/>
                <w:sz w:val="19"/>
                <w:szCs w:val="19"/>
                <w:lang w:val="fr-CA" w:eastAsia="en-US"/>
              </w:rPr>
              <w:t>A</w:t>
            </w:r>
          </w:p>
          <w:p w:rsidR="006F2413" w:rsidRPr="00FF68A0" w:rsidRDefault="006F2413" w:rsidP="003D144E">
            <w:pPr>
              <w:rPr>
                <w:rFonts w:eastAsia="Times New Roman" w:cs="Calibri"/>
                <w:sz w:val="19"/>
                <w:szCs w:val="19"/>
                <w:lang w:val="fr-CA" w:eastAsia="en-US"/>
              </w:rPr>
            </w:pPr>
            <w:r w:rsidRPr="00FF68A0">
              <w:rPr>
                <w:rFonts w:eastAsia="Times New Roman" w:cs="Calibri"/>
                <w:sz w:val="19"/>
                <w:szCs w:val="19"/>
                <w:lang w:val="fr-CA" w:eastAsia="en-US"/>
              </w:rPr>
              <w:t xml:space="preserve">Bénéficiaires </w:t>
            </w:r>
          </w:p>
          <w:p w:rsidR="006F2413" w:rsidRPr="00FF68A0" w:rsidRDefault="006F2413" w:rsidP="003D144E">
            <w:pPr>
              <w:rPr>
                <w:rFonts w:eastAsia="Times New Roman" w:cs="Calibri"/>
                <w:sz w:val="19"/>
                <w:szCs w:val="19"/>
                <w:lang w:val="fr-CA" w:eastAsia="en-US"/>
              </w:rPr>
            </w:pPr>
            <w:r w:rsidRPr="00FF68A0">
              <w:rPr>
                <w:rFonts w:eastAsia="Times New Roman" w:cs="Calibri"/>
                <w:sz w:val="19"/>
                <w:szCs w:val="19"/>
                <w:lang w:val="fr-CA" w:eastAsia="en-US"/>
              </w:rPr>
              <w:t>P</w:t>
            </w:r>
            <w:r>
              <w:rPr>
                <w:rFonts w:eastAsia="Times New Roman" w:cs="Calibri"/>
                <w:sz w:val="19"/>
                <w:szCs w:val="19"/>
                <w:lang w:val="fr-CA" w:eastAsia="en-US"/>
              </w:rPr>
              <w:t>USA /FAO</w:t>
            </w:r>
          </w:p>
          <w:p w:rsidR="006F2413" w:rsidRPr="00FF68A0" w:rsidRDefault="006F2413" w:rsidP="003D144E">
            <w:pPr>
              <w:rPr>
                <w:rFonts w:eastAsia="Times New Roman" w:cs="Calibri"/>
                <w:sz w:val="19"/>
                <w:szCs w:val="19"/>
                <w:lang w:val="fr-CA" w:eastAsia="en-US"/>
              </w:rPr>
            </w:pPr>
          </w:p>
        </w:tc>
        <w:tc>
          <w:tcPr>
            <w:tcW w:w="408"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403"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305" w:type="dxa"/>
            <w:shd w:val="clear" w:color="auto" w:fill="FFFFFF"/>
            <w:vAlign w:val="center"/>
          </w:tcPr>
          <w:p w:rsidR="006F2413" w:rsidRPr="00FF68A0" w:rsidRDefault="006F2413"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354"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354"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348" w:type="dxa"/>
            <w:shd w:val="clear" w:color="auto" w:fill="FFFFFF"/>
          </w:tcPr>
          <w:p w:rsidR="006F2413" w:rsidRPr="00FF68A0" w:rsidRDefault="006F2413" w:rsidP="003D144E">
            <w:pPr>
              <w:rPr>
                <w:rFonts w:eastAsia="Times New Roman" w:cs="Calibri"/>
                <w:b/>
                <w:sz w:val="19"/>
                <w:szCs w:val="19"/>
                <w:lang w:val="fr-CA" w:eastAsia="en-US"/>
              </w:rPr>
            </w:pPr>
          </w:p>
        </w:tc>
        <w:tc>
          <w:tcPr>
            <w:tcW w:w="348" w:type="dxa"/>
            <w:shd w:val="clear" w:color="auto" w:fill="FFFFFF"/>
          </w:tcPr>
          <w:p w:rsidR="006F2413" w:rsidRPr="00FF68A0" w:rsidRDefault="006F2413" w:rsidP="003D144E">
            <w:pPr>
              <w:rPr>
                <w:rFonts w:eastAsia="Times New Roman" w:cs="Calibri"/>
                <w:b/>
                <w:sz w:val="19"/>
                <w:szCs w:val="19"/>
                <w:lang w:val="fr-CA" w:eastAsia="en-US"/>
              </w:rPr>
            </w:pPr>
          </w:p>
        </w:tc>
        <w:tc>
          <w:tcPr>
            <w:tcW w:w="348" w:type="dxa"/>
            <w:shd w:val="clear" w:color="auto" w:fill="FFFFFF"/>
          </w:tcPr>
          <w:p w:rsidR="006F2413" w:rsidRPr="00FF68A0" w:rsidRDefault="006F2413" w:rsidP="003D144E">
            <w:pPr>
              <w:rPr>
                <w:rFonts w:eastAsia="Times New Roman" w:cs="Calibri"/>
                <w:b/>
                <w:sz w:val="19"/>
                <w:szCs w:val="19"/>
                <w:lang w:val="fr-CA" w:eastAsia="en-US"/>
              </w:rPr>
            </w:pPr>
          </w:p>
        </w:tc>
        <w:tc>
          <w:tcPr>
            <w:tcW w:w="406" w:type="dxa"/>
            <w:shd w:val="clear" w:color="auto" w:fill="FFFFFF"/>
          </w:tcPr>
          <w:p w:rsidR="006F2413" w:rsidRPr="00FF68A0" w:rsidRDefault="006F2413" w:rsidP="003D144E">
            <w:pPr>
              <w:rPr>
                <w:rFonts w:eastAsia="Times New Roman" w:cs="Calibri"/>
                <w:b/>
                <w:sz w:val="19"/>
                <w:szCs w:val="19"/>
                <w:lang w:val="fr-CA" w:eastAsia="en-US"/>
              </w:rPr>
            </w:pPr>
          </w:p>
        </w:tc>
        <w:tc>
          <w:tcPr>
            <w:tcW w:w="406" w:type="dxa"/>
            <w:shd w:val="clear" w:color="auto" w:fill="FFFFFF"/>
          </w:tcPr>
          <w:p w:rsidR="006F2413" w:rsidRPr="00FF68A0" w:rsidRDefault="006F2413" w:rsidP="003D144E">
            <w:pPr>
              <w:rPr>
                <w:rFonts w:eastAsia="Times New Roman" w:cs="Calibri"/>
                <w:b/>
                <w:sz w:val="19"/>
                <w:szCs w:val="19"/>
                <w:lang w:val="fr-CA" w:eastAsia="en-US"/>
              </w:rPr>
            </w:pPr>
          </w:p>
        </w:tc>
        <w:tc>
          <w:tcPr>
            <w:tcW w:w="406" w:type="dxa"/>
            <w:shd w:val="clear" w:color="auto" w:fill="FFFFFF"/>
          </w:tcPr>
          <w:p w:rsidR="006F2413" w:rsidRPr="00FF68A0" w:rsidRDefault="006F2413" w:rsidP="003D144E">
            <w:pPr>
              <w:rPr>
                <w:rFonts w:eastAsia="Times New Roman" w:cs="Calibri"/>
                <w:b/>
                <w:sz w:val="19"/>
                <w:szCs w:val="19"/>
                <w:lang w:val="fr-CA" w:eastAsia="en-US"/>
              </w:rPr>
            </w:pPr>
          </w:p>
        </w:tc>
      </w:tr>
      <w:tr w:rsidR="008F6B96" w:rsidRPr="00FF68A0" w:rsidTr="008F6B96">
        <w:trPr>
          <w:jc w:val="center"/>
        </w:trPr>
        <w:tc>
          <w:tcPr>
            <w:tcW w:w="1510" w:type="dxa"/>
            <w:vMerge/>
            <w:shd w:val="clear" w:color="auto" w:fill="auto"/>
            <w:vAlign w:val="center"/>
          </w:tcPr>
          <w:p w:rsidR="006F2413" w:rsidRPr="00FF68A0" w:rsidRDefault="006F2413" w:rsidP="003D144E">
            <w:pPr>
              <w:rPr>
                <w:rFonts w:eastAsia="Times New Roman" w:cs="Calibri"/>
                <w:sz w:val="19"/>
                <w:szCs w:val="19"/>
                <w:lang w:val="fr-CA" w:eastAsia="en-US"/>
              </w:rPr>
            </w:pPr>
          </w:p>
        </w:tc>
        <w:tc>
          <w:tcPr>
            <w:tcW w:w="2598" w:type="dxa"/>
            <w:shd w:val="clear" w:color="auto" w:fill="auto"/>
            <w:vAlign w:val="center"/>
          </w:tcPr>
          <w:p w:rsidR="006F2413" w:rsidRPr="00FF68A0" w:rsidRDefault="006F2413" w:rsidP="003D144E">
            <w:pPr>
              <w:rPr>
                <w:rFonts w:eastAsia="Times New Roman" w:cs="Calibri"/>
                <w:sz w:val="19"/>
                <w:szCs w:val="19"/>
                <w:lang w:val="fr-CA" w:eastAsia="en-US"/>
              </w:rPr>
            </w:pPr>
            <w:r w:rsidRPr="00576C7D">
              <w:rPr>
                <w:rFonts w:eastAsia="Times New Roman" w:cs="Calibri"/>
                <w:sz w:val="19"/>
                <w:szCs w:val="19"/>
                <w:lang w:eastAsia="en-US"/>
              </w:rPr>
              <w:t>Mesures d’élimination de facteurs de vulnérabilité des activités agricoles</w:t>
            </w:r>
          </w:p>
        </w:tc>
        <w:tc>
          <w:tcPr>
            <w:tcW w:w="1882" w:type="dxa"/>
            <w:gridSpan w:val="2"/>
            <w:vMerge/>
            <w:shd w:val="clear" w:color="auto" w:fill="FFFFFF"/>
          </w:tcPr>
          <w:p w:rsidR="006F2413" w:rsidRPr="00FF68A0" w:rsidRDefault="006F2413" w:rsidP="003D144E">
            <w:pPr>
              <w:rPr>
                <w:rFonts w:eastAsia="Times New Roman" w:cs="Calibri"/>
                <w:sz w:val="19"/>
                <w:szCs w:val="19"/>
                <w:lang w:val="fr-CA" w:eastAsia="en-US"/>
              </w:rPr>
            </w:pPr>
          </w:p>
        </w:tc>
        <w:tc>
          <w:tcPr>
            <w:tcW w:w="408"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403"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305"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354"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354" w:type="dxa"/>
            <w:shd w:val="clear" w:color="auto" w:fill="FFFFFF"/>
            <w:vAlign w:val="center"/>
          </w:tcPr>
          <w:p w:rsidR="006F2413" w:rsidRPr="00FF68A0" w:rsidRDefault="006F2413"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6F2413" w:rsidRPr="00FF68A0" w:rsidRDefault="006F2413" w:rsidP="003D144E">
            <w:pPr>
              <w:rPr>
                <w:rFonts w:eastAsia="Times New Roman" w:cs="Calibri"/>
                <w:b/>
                <w:sz w:val="19"/>
                <w:szCs w:val="19"/>
                <w:lang w:val="fr-CA" w:eastAsia="en-US"/>
              </w:rPr>
            </w:pPr>
          </w:p>
        </w:tc>
        <w:tc>
          <w:tcPr>
            <w:tcW w:w="348" w:type="dxa"/>
            <w:shd w:val="clear" w:color="auto" w:fill="FFFFFF"/>
          </w:tcPr>
          <w:p w:rsidR="006F2413" w:rsidRPr="00FF68A0" w:rsidRDefault="006F2413" w:rsidP="003D144E">
            <w:pPr>
              <w:rPr>
                <w:rFonts w:eastAsia="Times New Roman" w:cs="Calibri"/>
                <w:b/>
                <w:sz w:val="19"/>
                <w:szCs w:val="19"/>
                <w:lang w:val="fr-CA" w:eastAsia="en-US"/>
              </w:rPr>
            </w:pPr>
          </w:p>
        </w:tc>
        <w:tc>
          <w:tcPr>
            <w:tcW w:w="348" w:type="dxa"/>
            <w:shd w:val="clear" w:color="auto" w:fill="FFFFFF"/>
          </w:tcPr>
          <w:p w:rsidR="006F2413" w:rsidRPr="00FF68A0" w:rsidRDefault="006F2413" w:rsidP="003D144E">
            <w:pPr>
              <w:rPr>
                <w:rFonts w:eastAsia="Times New Roman" w:cs="Calibri"/>
                <w:b/>
                <w:sz w:val="19"/>
                <w:szCs w:val="19"/>
                <w:lang w:val="fr-CA" w:eastAsia="en-US"/>
              </w:rPr>
            </w:pPr>
          </w:p>
        </w:tc>
        <w:tc>
          <w:tcPr>
            <w:tcW w:w="348" w:type="dxa"/>
            <w:shd w:val="clear" w:color="auto" w:fill="FFFFFF"/>
          </w:tcPr>
          <w:p w:rsidR="006F2413" w:rsidRPr="00FF68A0" w:rsidRDefault="006F2413" w:rsidP="003D144E">
            <w:pPr>
              <w:rPr>
                <w:rFonts w:eastAsia="Times New Roman" w:cs="Calibri"/>
                <w:b/>
                <w:sz w:val="19"/>
                <w:szCs w:val="19"/>
                <w:lang w:val="fr-CA" w:eastAsia="en-US"/>
              </w:rPr>
            </w:pPr>
          </w:p>
        </w:tc>
        <w:tc>
          <w:tcPr>
            <w:tcW w:w="406" w:type="dxa"/>
            <w:shd w:val="clear" w:color="auto" w:fill="FFFFFF"/>
          </w:tcPr>
          <w:p w:rsidR="006F2413" w:rsidRPr="00FF68A0" w:rsidRDefault="006F2413" w:rsidP="003D144E">
            <w:pPr>
              <w:rPr>
                <w:rFonts w:eastAsia="Times New Roman" w:cs="Calibri"/>
                <w:b/>
                <w:sz w:val="19"/>
                <w:szCs w:val="19"/>
                <w:lang w:val="fr-CA" w:eastAsia="en-US"/>
              </w:rPr>
            </w:pPr>
          </w:p>
        </w:tc>
        <w:tc>
          <w:tcPr>
            <w:tcW w:w="406" w:type="dxa"/>
            <w:shd w:val="clear" w:color="auto" w:fill="FFFFFF"/>
          </w:tcPr>
          <w:p w:rsidR="006F2413" w:rsidRPr="00FF68A0" w:rsidRDefault="006F2413" w:rsidP="003D144E">
            <w:pPr>
              <w:rPr>
                <w:rFonts w:eastAsia="Times New Roman" w:cs="Calibri"/>
                <w:b/>
                <w:sz w:val="19"/>
                <w:szCs w:val="19"/>
                <w:lang w:val="fr-CA" w:eastAsia="en-US"/>
              </w:rPr>
            </w:pPr>
          </w:p>
        </w:tc>
        <w:tc>
          <w:tcPr>
            <w:tcW w:w="406" w:type="dxa"/>
            <w:shd w:val="clear" w:color="auto" w:fill="FFFFFF"/>
          </w:tcPr>
          <w:p w:rsidR="006F2413" w:rsidRPr="00FF68A0" w:rsidRDefault="006F2413" w:rsidP="003D144E">
            <w:pPr>
              <w:rPr>
                <w:rFonts w:eastAsia="Times New Roman" w:cs="Calibri"/>
                <w:b/>
                <w:sz w:val="19"/>
                <w:szCs w:val="19"/>
                <w:lang w:val="fr-CA" w:eastAsia="en-US"/>
              </w:rPr>
            </w:pPr>
          </w:p>
        </w:tc>
      </w:tr>
      <w:tr w:rsidR="008F6B96" w:rsidRPr="00FF68A0" w:rsidTr="008F6B96">
        <w:trPr>
          <w:jc w:val="center"/>
        </w:trPr>
        <w:tc>
          <w:tcPr>
            <w:tcW w:w="1510" w:type="dxa"/>
            <w:shd w:val="clear" w:color="auto" w:fill="auto"/>
            <w:vAlign w:val="center"/>
          </w:tcPr>
          <w:p w:rsidR="006A5B0F" w:rsidRPr="00FF68A0" w:rsidRDefault="006A5B0F" w:rsidP="003D144E">
            <w:pPr>
              <w:autoSpaceDE w:val="0"/>
              <w:autoSpaceDN w:val="0"/>
              <w:adjustRightInd w:val="0"/>
              <w:rPr>
                <w:rFonts w:eastAsia="Times New Roman" w:cs="Calibri"/>
                <w:sz w:val="19"/>
                <w:szCs w:val="19"/>
                <w:lang w:val="fr-CA" w:eastAsia="en-US"/>
              </w:rPr>
            </w:pPr>
            <w:r w:rsidRPr="00FF68A0">
              <w:rPr>
                <w:rFonts w:eastAsia="Times New Roman" w:cs="Calibri"/>
                <w:b/>
                <w:bCs/>
                <w:sz w:val="19"/>
                <w:szCs w:val="19"/>
                <w:lang w:val="fr-CA" w:eastAsia="en-US"/>
              </w:rPr>
              <w:t xml:space="preserve">Formation </w:t>
            </w:r>
          </w:p>
          <w:p w:rsidR="006A5B0F" w:rsidRPr="00FF68A0" w:rsidRDefault="006A5B0F" w:rsidP="003D144E">
            <w:pPr>
              <w:rPr>
                <w:rFonts w:eastAsia="Times New Roman" w:cs="Calibri"/>
                <w:sz w:val="19"/>
                <w:szCs w:val="19"/>
                <w:lang w:val="fr-CA" w:eastAsia="en-US"/>
              </w:rPr>
            </w:pPr>
          </w:p>
        </w:tc>
        <w:tc>
          <w:tcPr>
            <w:tcW w:w="2598" w:type="dxa"/>
            <w:shd w:val="clear" w:color="auto" w:fill="auto"/>
            <w:vAlign w:val="center"/>
          </w:tcPr>
          <w:p w:rsidR="006A5B0F" w:rsidRPr="00FF68A0" w:rsidRDefault="006A5B0F" w:rsidP="003D144E">
            <w:pPr>
              <w:autoSpaceDE w:val="0"/>
              <w:autoSpaceDN w:val="0"/>
              <w:adjustRightInd w:val="0"/>
              <w:rPr>
                <w:rFonts w:eastAsia="Times New Roman" w:cs="Calibri"/>
                <w:sz w:val="19"/>
                <w:szCs w:val="19"/>
                <w:lang w:val="fr-CA" w:eastAsia="en-US"/>
              </w:rPr>
            </w:pPr>
            <w:r w:rsidRPr="00FF68A0">
              <w:rPr>
                <w:rFonts w:eastAsia="Times New Roman" w:cs="Calibri"/>
                <w:sz w:val="19"/>
                <w:szCs w:val="19"/>
                <w:lang w:val="fr-CA" w:eastAsia="en-US"/>
              </w:rPr>
              <w:t>Formation des PFE</w:t>
            </w:r>
            <w:r w:rsidR="00D80DAC">
              <w:rPr>
                <w:rFonts w:eastAsia="Times New Roman" w:cs="Calibri"/>
                <w:sz w:val="19"/>
                <w:szCs w:val="19"/>
                <w:lang w:val="fr-CA" w:eastAsia="en-US"/>
              </w:rPr>
              <w:t>S</w:t>
            </w:r>
            <w:r w:rsidRPr="00FF68A0">
              <w:rPr>
                <w:rFonts w:eastAsia="Times New Roman" w:cs="Calibri"/>
                <w:sz w:val="19"/>
                <w:szCs w:val="19"/>
                <w:lang w:val="fr-CA" w:eastAsia="en-US"/>
              </w:rPr>
              <w:t xml:space="preserve"> en gestion environnementale des projets</w:t>
            </w:r>
          </w:p>
        </w:tc>
        <w:tc>
          <w:tcPr>
            <w:tcW w:w="1882" w:type="dxa"/>
            <w:gridSpan w:val="2"/>
            <w:shd w:val="clear" w:color="auto" w:fill="FFFFFF"/>
          </w:tcPr>
          <w:p w:rsidR="006A5B0F" w:rsidRPr="00FF68A0" w:rsidRDefault="006A5B0F" w:rsidP="003D144E">
            <w:pPr>
              <w:tabs>
                <w:tab w:val="num" w:pos="360"/>
              </w:tabs>
              <w:rPr>
                <w:rFonts w:eastAsia="Times New Roman" w:cs="Calibri"/>
                <w:sz w:val="19"/>
                <w:szCs w:val="19"/>
                <w:lang w:val="fr-CA" w:eastAsia="en-US"/>
              </w:rPr>
            </w:pPr>
            <w:r w:rsidRPr="00FF68A0">
              <w:rPr>
                <w:rFonts w:eastAsia="Times New Roman" w:cs="Calibri"/>
                <w:sz w:val="19"/>
                <w:szCs w:val="19"/>
                <w:lang w:val="fr-CA" w:eastAsia="en-US"/>
              </w:rPr>
              <w:t>Consultants</w:t>
            </w:r>
          </w:p>
          <w:p w:rsidR="00BA673E" w:rsidRDefault="00BA673E" w:rsidP="003D144E">
            <w:pPr>
              <w:rPr>
                <w:rFonts w:eastAsia="Times New Roman" w:cs="Calibri"/>
                <w:sz w:val="19"/>
                <w:szCs w:val="19"/>
                <w:lang w:val="fr-CA" w:eastAsia="en-US"/>
              </w:rPr>
            </w:pPr>
            <w:r>
              <w:rPr>
                <w:rFonts w:eastAsia="Times New Roman" w:cs="Calibri"/>
                <w:sz w:val="19"/>
                <w:szCs w:val="19"/>
                <w:lang w:val="fr-CA" w:eastAsia="en-US"/>
              </w:rPr>
              <w:t>AAAC</w:t>
            </w:r>
            <w:r w:rsidR="007227C7">
              <w:rPr>
                <w:rFonts w:eastAsia="Times New Roman" w:cs="Calibri"/>
                <w:sz w:val="19"/>
                <w:szCs w:val="19"/>
                <w:lang w:val="fr-CA" w:eastAsia="en-US"/>
              </w:rPr>
              <w:t> / SSES</w:t>
            </w:r>
          </w:p>
          <w:p w:rsidR="00312E68" w:rsidRPr="00773726" w:rsidRDefault="00773726" w:rsidP="003D144E">
            <w:pPr>
              <w:rPr>
                <w:rFonts w:eastAsia="Times New Roman" w:cs="Calibri"/>
                <w:sz w:val="19"/>
                <w:szCs w:val="19"/>
                <w:lang w:val="fr-CA" w:eastAsia="en-US"/>
              </w:rPr>
            </w:pPr>
            <w:r w:rsidRPr="00FF68A0">
              <w:rPr>
                <w:rFonts w:eastAsia="Times New Roman" w:cs="Calibri"/>
                <w:sz w:val="19"/>
                <w:szCs w:val="19"/>
                <w:lang w:val="fr-CA" w:eastAsia="en-US"/>
              </w:rPr>
              <w:t>Spécialisées</w:t>
            </w:r>
            <w:r w:rsidR="006A5B0F" w:rsidRPr="00FF68A0">
              <w:rPr>
                <w:rFonts w:eastAsia="Times New Roman" w:cs="Calibri"/>
                <w:sz w:val="19"/>
                <w:szCs w:val="19"/>
                <w:lang w:val="fr-CA" w:eastAsia="en-US"/>
              </w:rPr>
              <w:t xml:space="preserve"> en animation</w:t>
            </w:r>
            <w:r w:rsidR="001E249C">
              <w:rPr>
                <w:rFonts w:eastAsia="Times New Roman" w:cs="Calibri"/>
                <w:sz w:val="19"/>
                <w:szCs w:val="19"/>
                <w:lang w:val="fr-CA" w:eastAsia="en-US"/>
              </w:rPr>
              <w:t>, ONG</w:t>
            </w:r>
          </w:p>
        </w:tc>
        <w:tc>
          <w:tcPr>
            <w:tcW w:w="408" w:type="dxa"/>
            <w:shd w:val="clear" w:color="auto" w:fill="FFFFFF"/>
            <w:vAlign w:val="center"/>
          </w:tcPr>
          <w:p w:rsidR="006A5B0F" w:rsidRPr="00FF68A0" w:rsidRDefault="006A5B0F" w:rsidP="003D144E">
            <w:pPr>
              <w:rPr>
                <w:rFonts w:eastAsia="Times New Roman" w:cs="Calibri"/>
                <w:b/>
                <w:sz w:val="19"/>
                <w:szCs w:val="19"/>
                <w:lang w:val="fr-CA" w:eastAsia="en-US"/>
              </w:rPr>
            </w:pPr>
          </w:p>
        </w:tc>
        <w:tc>
          <w:tcPr>
            <w:tcW w:w="403" w:type="dxa"/>
            <w:shd w:val="clear" w:color="auto" w:fill="FFFFFF"/>
            <w:vAlign w:val="center"/>
          </w:tcPr>
          <w:p w:rsidR="006A5B0F" w:rsidRPr="00FF68A0" w:rsidRDefault="006A5B0F" w:rsidP="003D144E">
            <w:pPr>
              <w:rPr>
                <w:rFonts w:eastAsia="Times New Roman" w:cs="Calibri"/>
                <w:b/>
                <w:sz w:val="19"/>
                <w:szCs w:val="19"/>
                <w:lang w:val="fr-CA" w:eastAsia="en-US"/>
              </w:rPr>
            </w:pPr>
          </w:p>
        </w:tc>
        <w:tc>
          <w:tcPr>
            <w:tcW w:w="305" w:type="dxa"/>
            <w:shd w:val="clear" w:color="auto" w:fill="FFFFFF"/>
            <w:vAlign w:val="center"/>
          </w:tcPr>
          <w:p w:rsidR="006A5B0F" w:rsidRPr="00FF68A0" w:rsidRDefault="008F665D"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6A5B0F" w:rsidRPr="00FF68A0" w:rsidRDefault="006A5B0F" w:rsidP="003D144E">
            <w:pPr>
              <w:rPr>
                <w:rFonts w:eastAsia="Times New Roman" w:cs="Calibri"/>
                <w:b/>
                <w:sz w:val="19"/>
                <w:szCs w:val="19"/>
                <w:lang w:val="fr-CA" w:eastAsia="en-US"/>
              </w:rPr>
            </w:pPr>
          </w:p>
        </w:tc>
        <w:tc>
          <w:tcPr>
            <w:tcW w:w="354" w:type="dxa"/>
            <w:shd w:val="clear" w:color="auto" w:fill="FFFFFF"/>
            <w:vAlign w:val="center"/>
          </w:tcPr>
          <w:p w:rsidR="006A5B0F" w:rsidRPr="00FF68A0" w:rsidRDefault="006A5B0F" w:rsidP="003D144E">
            <w:pPr>
              <w:rPr>
                <w:rFonts w:eastAsia="Times New Roman" w:cs="Calibri"/>
                <w:b/>
                <w:sz w:val="19"/>
                <w:szCs w:val="19"/>
                <w:lang w:val="fr-CA" w:eastAsia="en-US"/>
              </w:rPr>
            </w:pPr>
          </w:p>
        </w:tc>
        <w:tc>
          <w:tcPr>
            <w:tcW w:w="354" w:type="dxa"/>
            <w:shd w:val="clear" w:color="auto" w:fill="FFFFFF"/>
            <w:vAlign w:val="center"/>
          </w:tcPr>
          <w:p w:rsidR="006A5B0F" w:rsidRPr="00FF68A0" w:rsidRDefault="006A5B0F" w:rsidP="003D144E">
            <w:pPr>
              <w:rPr>
                <w:rFonts w:eastAsia="Times New Roman" w:cs="Calibri"/>
                <w:b/>
                <w:sz w:val="19"/>
                <w:szCs w:val="19"/>
                <w:lang w:val="fr-CA" w:eastAsia="en-US"/>
              </w:rPr>
            </w:pPr>
          </w:p>
        </w:tc>
        <w:tc>
          <w:tcPr>
            <w:tcW w:w="348" w:type="dxa"/>
            <w:shd w:val="clear" w:color="auto" w:fill="FFFFFF"/>
          </w:tcPr>
          <w:p w:rsidR="006A5B0F" w:rsidRPr="00FF68A0" w:rsidRDefault="006A5B0F" w:rsidP="003D144E">
            <w:pPr>
              <w:rPr>
                <w:rFonts w:eastAsia="Times New Roman" w:cs="Calibri"/>
                <w:b/>
                <w:sz w:val="19"/>
                <w:szCs w:val="19"/>
                <w:lang w:val="fr-CA" w:eastAsia="en-US"/>
              </w:rPr>
            </w:pPr>
          </w:p>
        </w:tc>
        <w:tc>
          <w:tcPr>
            <w:tcW w:w="348" w:type="dxa"/>
            <w:shd w:val="clear" w:color="auto" w:fill="FFFFFF"/>
          </w:tcPr>
          <w:p w:rsidR="006A5B0F" w:rsidRPr="00FF68A0" w:rsidRDefault="006A5B0F" w:rsidP="003D144E">
            <w:pPr>
              <w:rPr>
                <w:rFonts w:eastAsia="Times New Roman" w:cs="Calibri"/>
                <w:b/>
                <w:sz w:val="19"/>
                <w:szCs w:val="19"/>
                <w:lang w:val="fr-CA" w:eastAsia="en-US"/>
              </w:rPr>
            </w:pPr>
          </w:p>
        </w:tc>
        <w:tc>
          <w:tcPr>
            <w:tcW w:w="348" w:type="dxa"/>
            <w:shd w:val="clear" w:color="auto" w:fill="FFFFFF"/>
          </w:tcPr>
          <w:p w:rsidR="006A5B0F" w:rsidRPr="00FF68A0" w:rsidRDefault="006A5B0F" w:rsidP="003D144E">
            <w:pPr>
              <w:rPr>
                <w:rFonts w:eastAsia="Times New Roman" w:cs="Calibri"/>
                <w:b/>
                <w:sz w:val="19"/>
                <w:szCs w:val="19"/>
                <w:lang w:val="fr-CA" w:eastAsia="en-US"/>
              </w:rPr>
            </w:pPr>
          </w:p>
        </w:tc>
        <w:tc>
          <w:tcPr>
            <w:tcW w:w="406" w:type="dxa"/>
            <w:shd w:val="clear" w:color="auto" w:fill="FFFFFF"/>
          </w:tcPr>
          <w:p w:rsidR="006A5B0F" w:rsidRPr="00FF68A0" w:rsidRDefault="006A5B0F" w:rsidP="003D144E">
            <w:pPr>
              <w:rPr>
                <w:rFonts w:eastAsia="Times New Roman" w:cs="Calibri"/>
                <w:b/>
                <w:sz w:val="19"/>
                <w:szCs w:val="19"/>
                <w:lang w:val="fr-CA" w:eastAsia="en-US"/>
              </w:rPr>
            </w:pPr>
          </w:p>
        </w:tc>
        <w:tc>
          <w:tcPr>
            <w:tcW w:w="406" w:type="dxa"/>
            <w:shd w:val="clear" w:color="auto" w:fill="FFFFFF"/>
          </w:tcPr>
          <w:p w:rsidR="006A5B0F" w:rsidRPr="00FF68A0" w:rsidRDefault="006A5B0F" w:rsidP="003D144E">
            <w:pPr>
              <w:rPr>
                <w:rFonts w:eastAsia="Times New Roman" w:cs="Calibri"/>
                <w:b/>
                <w:sz w:val="19"/>
                <w:szCs w:val="19"/>
                <w:lang w:val="fr-CA" w:eastAsia="en-US"/>
              </w:rPr>
            </w:pPr>
          </w:p>
        </w:tc>
        <w:tc>
          <w:tcPr>
            <w:tcW w:w="406" w:type="dxa"/>
            <w:shd w:val="clear" w:color="auto" w:fill="FFFFFF"/>
          </w:tcPr>
          <w:p w:rsidR="006A5B0F" w:rsidRPr="00FF68A0" w:rsidRDefault="006A5B0F" w:rsidP="003D144E">
            <w:pPr>
              <w:rPr>
                <w:rFonts w:eastAsia="Times New Roman" w:cs="Calibri"/>
                <w:b/>
                <w:sz w:val="19"/>
                <w:szCs w:val="19"/>
                <w:lang w:val="fr-CA" w:eastAsia="en-US"/>
              </w:rPr>
            </w:pPr>
          </w:p>
        </w:tc>
      </w:tr>
      <w:tr w:rsidR="008F6B96" w:rsidRPr="00FF68A0" w:rsidTr="008F6B96">
        <w:trPr>
          <w:jc w:val="center"/>
        </w:trPr>
        <w:tc>
          <w:tcPr>
            <w:tcW w:w="1510" w:type="dxa"/>
            <w:shd w:val="clear" w:color="auto" w:fill="auto"/>
            <w:vAlign w:val="center"/>
          </w:tcPr>
          <w:p w:rsidR="006A5B0F" w:rsidRPr="00FF68A0" w:rsidRDefault="006A5B0F" w:rsidP="003D144E">
            <w:pPr>
              <w:autoSpaceDE w:val="0"/>
              <w:autoSpaceDN w:val="0"/>
              <w:adjustRightInd w:val="0"/>
              <w:rPr>
                <w:rFonts w:eastAsia="Times New Roman" w:cs="Calibri"/>
                <w:sz w:val="19"/>
                <w:szCs w:val="19"/>
                <w:lang w:val="fr-CA" w:eastAsia="en-US"/>
              </w:rPr>
            </w:pPr>
            <w:r w:rsidRPr="00FF68A0">
              <w:rPr>
                <w:rFonts w:eastAsia="Times New Roman" w:cs="Calibri"/>
                <w:b/>
                <w:bCs/>
                <w:sz w:val="19"/>
                <w:szCs w:val="19"/>
                <w:lang w:val="fr-CA" w:eastAsia="en-US"/>
              </w:rPr>
              <w:t xml:space="preserve">Sensibilisation </w:t>
            </w:r>
          </w:p>
          <w:p w:rsidR="006A5B0F" w:rsidRPr="00FF68A0" w:rsidRDefault="006A5B0F" w:rsidP="003D144E">
            <w:pPr>
              <w:rPr>
                <w:rFonts w:eastAsia="Times New Roman" w:cs="Calibri"/>
                <w:sz w:val="19"/>
                <w:szCs w:val="19"/>
                <w:lang w:val="fr-CA" w:eastAsia="en-US"/>
              </w:rPr>
            </w:pPr>
          </w:p>
        </w:tc>
        <w:tc>
          <w:tcPr>
            <w:tcW w:w="2598" w:type="dxa"/>
            <w:shd w:val="clear" w:color="auto" w:fill="auto"/>
            <w:vAlign w:val="center"/>
          </w:tcPr>
          <w:p w:rsidR="006A5B0F" w:rsidRPr="00FF68A0" w:rsidRDefault="006A5B0F" w:rsidP="003D144E">
            <w:pPr>
              <w:autoSpaceDE w:val="0"/>
              <w:autoSpaceDN w:val="0"/>
              <w:adjustRightInd w:val="0"/>
              <w:rPr>
                <w:rFonts w:eastAsia="Times New Roman" w:cs="Calibri"/>
                <w:sz w:val="19"/>
                <w:szCs w:val="19"/>
                <w:lang w:val="fr-CA" w:eastAsia="en-US"/>
              </w:rPr>
            </w:pPr>
            <w:r w:rsidRPr="00FF68A0">
              <w:rPr>
                <w:rFonts w:eastAsia="Times New Roman" w:cs="Calibri"/>
                <w:sz w:val="19"/>
                <w:szCs w:val="19"/>
                <w:lang w:val="fr-CA" w:eastAsia="en-US"/>
              </w:rPr>
              <w:t>Sensibilisation et mobilisation des populations locales et des producteurs et transformateurs agricoles</w:t>
            </w:r>
          </w:p>
        </w:tc>
        <w:tc>
          <w:tcPr>
            <w:tcW w:w="1882" w:type="dxa"/>
            <w:gridSpan w:val="2"/>
            <w:shd w:val="clear" w:color="auto" w:fill="FFFFFF"/>
          </w:tcPr>
          <w:p w:rsidR="006A5B0F" w:rsidRPr="00FF68A0" w:rsidRDefault="006A5B0F" w:rsidP="003D144E">
            <w:pPr>
              <w:tabs>
                <w:tab w:val="num" w:pos="360"/>
              </w:tabs>
              <w:rPr>
                <w:rFonts w:eastAsia="Times New Roman" w:cs="Calibri"/>
                <w:sz w:val="19"/>
                <w:szCs w:val="19"/>
                <w:lang w:val="fr-CA" w:eastAsia="en-US"/>
              </w:rPr>
            </w:pPr>
            <w:r w:rsidRPr="00FF68A0">
              <w:rPr>
                <w:rFonts w:eastAsia="Times New Roman" w:cs="Calibri"/>
                <w:sz w:val="19"/>
                <w:szCs w:val="19"/>
                <w:lang w:val="fr-CA" w:eastAsia="en-US"/>
              </w:rPr>
              <w:t>Consultants</w:t>
            </w:r>
          </w:p>
          <w:p w:rsidR="006A5B0F" w:rsidRPr="00FF68A0" w:rsidRDefault="006A5B0F" w:rsidP="003D144E">
            <w:pPr>
              <w:rPr>
                <w:rFonts w:eastAsia="Times New Roman" w:cs="Calibri"/>
                <w:b/>
                <w:sz w:val="19"/>
                <w:szCs w:val="19"/>
                <w:lang w:val="fr-CA" w:eastAsia="en-US"/>
              </w:rPr>
            </w:pPr>
            <w:r w:rsidRPr="00FF68A0">
              <w:rPr>
                <w:rFonts w:eastAsia="Times New Roman" w:cs="Calibri"/>
                <w:sz w:val="19"/>
                <w:szCs w:val="19"/>
                <w:lang w:val="fr-CA" w:eastAsia="en-US"/>
              </w:rPr>
              <w:t>ONG spécialisées en animation</w:t>
            </w:r>
          </w:p>
        </w:tc>
        <w:tc>
          <w:tcPr>
            <w:tcW w:w="408" w:type="dxa"/>
            <w:shd w:val="clear" w:color="auto" w:fill="FFFFFF"/>
            <w:vAlign w:val="center"/>
          </w:tcPr>
          <w:p w:rsidR="006A5B0F" w:rsidRPr="00FF68A0" w:rsidRDefault="006A5B0F" w:rsidP="003D144E">
            <w:pPr>
              <w:rPr>
                <w:rFonts w:eastAsia="Times New Roman" w:cs="Calibri"/>
                <w:b/>
                <w:sz w:val="19"/>
                <w:szCs w:val="19"/>
                <w:lang w:val="fr-CA" w:eastAsia="en-US"/>
              </w:rPr>
            </w:pPr>
          </w:p>
        </w:tc>
        <w:tc>
          <w:tcPr>
            <w:tcW w:w="403" w:type="dxa"/>
            <w:shd w:val="clear" w:color="auto" w:fill="FFFFFF"/>
            <w:vAlign w:val="center"/>
          </w:tcPr>
          <w:p w:rsidR="006A5B0F" w:rsidRPr="00FF68A0" w:rsidRDefault="006A5B0F" w:rsidP="003D144E">
            <w:pPr>
              <w:rPr>
                <w:rFonts w:eastAsia="Times New Roman" w:cs="Calibri"/>
                <w:b/>
                <w:sz w:val="19"/>
                <w:szCs w:val="19"/>
                <w:lang w:val="fr-CA" w:eastAsia="en-US"/>
              </w:rPr>
            </w:pPr>
          </w:p>
        </w:tc>
        <w:tc>
          <w:tcPr>
            <w:tcW w:w="305" w:type="dxa"/>
            <w:shd w:val="clear" w:color="auto" w:fill="FFFFFF"/>
            <w:vAlign w:val="center"/>
          </w:tcPr>
          <w:p w:rsidR="006A5B0F" w:rsidRPr="00FF68A0" w:rsidRDefault="006A5B0F" w:rsidP="003D144E">
            <w:pPr>
              <w:rPr>
                <w:rFonts w:eastAsia="Times New Roman" w:cs="Calibri"/>
                <w:b/>
                <w:sz w:val="19"/>
                <w:szCs w:val="19"/>
                <w:lang w:val="fr-CA" w:eastAsia="en-US"/>
              </w:rPr>
            </w:pPr>
          </w:p>
        </w:tc>
        <w:tc>
          <w:tcPr>
            <w:tcW w:w="354" w:type="dxa"/>
            <w:shd w:val="clear" w:color="auto" w:fill="FFFFFF"/>
            <w:vAlign w:val="center"/>
          </w:tcPr>
          <w:p w:rsidR="006A5B0F" w:rsidRPr="00FF68A0" w:rsidRDefault="006A5B0F"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6A5B0F" w:rsidRPr="00FF68A0" w:rsidRDefault="006A5B0F"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6A5B0F" w:rsidRPr="00FF68A0" w:rsidRDefault="008A5B28"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shd w:val="clear" w:color="auto" w:fill="FFFFFF"/>
            <w:vAlign w:val="center"/>
          </w:tcPr>
          <w:p w:rsidR="006A5B0F" w:rsidRPr="00FF68A0" w:rsidRDefault="008A5B28"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shd w:val="clear" w:color="auto" w:fill="FFFFFF"/>
            <w:vAlign w:val="center"/>
          </w:tcPr>
          <w:p w:rsidR="006A5B0F" w:rsidRPr="00FF68A0" w:rsidRDefault="008A5B28"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shd w:val="clear" w:color="auto" w:fill="FFFFFF"/>
            <w:vAlign w:val="center"/>
          </w:tcPr>
          <w:p w:rsidR="006A5B0F" w:rsidRPr="00FF68A0" w:rsidRDefault="00521246"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6" w:type="dxa"/>
            <w:shd w:val="clear" w:color="auto" w:fill="FFFFFF"/>
          </w:tcPr>
          <w:p w:rsidR="006A5B0F" w:rsidRPr="00FF68A0" w:rsidRDefault="006A5B0F" w:rsidP="003D144E">
            <w:pPr>
              <w:rPr>
                <w:rFonts w:eastAsia="Times New Roman" w:cs="Calibri"/>
                <w:b/>
                <w:sz w:val="19"/>
                <w:szCs w:val="19"/>
                <w:lang w:val="fr-CA" w:eastAsia="en-US"/>
              </w:rPr>
            </w:pPr>
          </w:p>
        </w:tc>
        <w:tc>
          <w:tcPr>
            <w:tcW w:w="406" w:type="dxa"/>
            <w:shd w:val="clear" w:color="auto" w:fill="FFFFFF"/>
          </w:tcPr>
          <w:p w:rsidR="006A5B0F" w:rsidRPr="00FF68A0" w:rsidRDefault="006A5B0F" w:rsidP="003D144E">
            <w:pPr>
              <w:rPr>
                <w:rFonts w:eastAsia="Times New Roman" w:cs="Calibri"/>
                <w:b/>
                <w:sz w:val="19"/>
                <w:szCs w:val="19"/>
                <w:lang w:val="fr-CA" w:eastAsia="en-US"/>
              </w:rPr>
            </w:pPr>
          </w:p>
        </w:tc>
        <w:tc>
          <w:tcPr>
            <w:tcW w:w="406" w:type="dxa"/>
            <w:shd w:val="clear" w:color="auto" w:fill="FFFFFF"/>
          </w:tcPr>
          <w:p w:rsidR="006A5B0F" w:rsidRPr="00FF68A0" w:rsidRDefault="006A5B0F" w:rsidP="003D144E">
            <w:pPr>
              <w:rPr>
                <w:rFonts w:eastAsia="Times New Roman" w:cs="Calibri"/>
                <w:b/>
                <w:sz w:val="19"/>
                <w:szCs w:val="19"/>
                <w:lang w:val="fr-CA" w:eastAsia="en-US"/>
              </w:rPr>
            </w:pPr>
          </w:p>
        </w:tc>
      </w:tr>
      <w:tr w:rsidR="00A72E43" w:rsidRPr="00FF68A0" w:rsidTr="008F6B96">
        <w:trPr>
          <w:jc w:val="center"/>
        </w:trPr>
        <w:tc>
          <w:tcPr>
            <w:tcW w:w="1510" w:type="dxa"/>
            <w:vMerge w:val="restart"/>
            <w:shd w:val="clear" w:color="auto" w:fill="auto"/>
            <w:vAlign w:val="center"/>
          </w:tcPr>
          <w:p w:rsidR="00A72E43" w:rsidRPr="00FF68A0" w:rsidRDefault="00A72E43" w:rsidP="003D144E">
            <w:pPr>
              <w:rPr>
                <w:rFonts w:eastAsia="Times New Roman" w:cs="Calibri"/>
                <w:sz w:val="19"/>
                <w:szCs w:val="19"/>
                <w:lang w:val="fr-CA" w:eastAsia="en-US"/>
              </w:rPr>
            </w:pPr>
            <w:r w:rsidRPr="00FF68A0">
              <w:rPr>
                <w:rFonts w:eastAsia="Times New Roman" w:cs="Calibri"/>
                <w:b/>
                <w:bCs/>
                <w:sz w:val="19"/>
                <w:szCs w:val="19"/>
                <w:lang w:val="fr-CA" w:eastAsia="en-US"/>
              </w:rPr>
              <w:t>Mesures de suivi</w:t>
            </w:r>
          </w:p>
        </w:tc>
        <w:tc>
          <w:tcPr>
            <w:tcW w:w="2598" w:type="dxa"/>
            <w:vMerge w:val="restart"/>
            <w:shd w:val="clear" w:color="auto" w:fill="auto"/>
            <w:vAlign w:val="center"/>
          </w:tcPr>
          <w:p w:rsidR="00A72E43" w:rsidRPr="00FF68A0" w:rsidRDefault="00A72E43" w:rsidP="003D144E">
            <w:pPr>
              <w:autoSpaceDE w:val="0"/>
              <w:autoSpaceDN w:val="0"/>
              <w:adjustRightInd w:val="0"/>
              <w:rPr>
                <w:rFonts w:eastAsia="Times New Roman" w:cs="Calibri"/>
                <w:sz w:val="19"/>
                <w:szCs w:val="19"/>
                <w:lang w:val="fr-CA" w:eastAsia="en-US"/>
              </w:rPr>
            </w:pPr>
            <w:r w:rsidRPr="00FF68A0">
              <w:rPr>
                <w:rFonts w:eastAsia="Times New Roman" w:cs="Calibri"/>
                <w:sz w:val="19"/>
                <w:szCs w:val="19"/>
                <w:lang w:val="fr-CA" w:eastAsia="en-US"/>
              </w:rPr>
              <w:t>Suivi environnemental et surveillance environnementale du P</w:t>
            </w:r>
            <w:r>
              <w:rPr>
                <w:rFonts w:eastAsia="Times New Roman" w:cs="Calibri"/>
                <w:sz w:val="19"/>
                <w:szCs w:val="19"/>
                <w:lang w:val="fr-CA" w:eastAsia="en-US"/>
              </w:rPr>
              <w:t>USA</w:t>
            </w:r>
          </w:p>
          <w:p w:rsidR="00A72E43" w:rsidRPr="00FF68A0" w:rsidRDefault="00A72E43" w:rsidP="003D144E">
            <w:pPr>
              <w:rPr>
                <w:rFonts w:eastAsia="Times New Roman" w:cs="Calibri"/>
                <w:sz w:val="19"/>
                <w:szCs w:val="19"/>
                <w:lang w:val="fr-CA" w:eastAsia="en-US"/>
              </w:rPr>
            </w:pPr>
          </w:p>
        </w:tc>
        <w:tc>
          <w:tcPr>
            <w:tcW w:w="1024" w:type="dxa"/>
            <w:shd w:val="clear" w:color="auto" w:fill="auto"/>
            <w:vAlign w:val="center"/>
          </w:tcPr>
          <w:p w:rsidR="00A72E43" w:rsidRPr="00FF68A0" w:rsidRDefault="00A72E43" w:rsidP="003D144E">
            <w:pPr>
              <w:autoSpaceDE w:val="0"/>
              <w:autoSpaceDN w:val="0"/>
              <w:adjustRightInd w:val="0"/>
              <w:rPr>
                <w:rFonts w:eastAsia="Times New Roman" w:cs="Calibri"/>
                <w:sz w:val="19"/>
                <w:szCs w:val="19"/>
                <w:lang w:val="fr-CA" w:eastAsia="en-US"/>
              </w:rPr>
            </w:pPr>
            <w:r w:rsidRPr="00FF68A0">
              <w:rPr>
                <w:rFonts w:eastAsia="Times New Roman" w:cs="Calibri"/>
                <w:sz w:val="19"/>
                <w:szCs w:val="19"/>
                <w:lang w:val="fr-CA" w:eastAsia="en-US"/>
              </w:rPr>
              <w:t>Suivi de proximité</w:t>
            </w:r>
          </w:p>
        </w:tc>
        <w:tc>
          <w:tcPr>
            <w:tcW w:w="858" w:type="dxa"/>
            <w:shd w:val="clear" w:color="auto" w:fill="FFFFFF"/>
          </w:tcPr>
          <w:p w:rsidR="00A72E43" w:rsidRPr="00FF68A0" w:rsidRDefault="00A72E43" w:rsidP="00157035">
            <w:pPr>
              <w:numPr>
                <w:ilvl w:val="0"/>
                <w:numId w:val="177"/>
              </w:numPr>
              <w:spacing w:after="160" w:line="256" w:lineRule="auto"/>
              <w:ind w:left="103" w:hanging="103"/>
              <w:contextualSpacing/>
              <w:rPr>
                <w:rFonts w:eastAsia="Calibri" w:cs="Calibri"/>
                <w:sz w:val="19"/>
                <w:szCs w:val="19"/>
                <w:lang w:eastAsia="en-US"/>
              </w:rPr>
            </w:pPr>
            <w:r w:rsidRPr="00FF68A0">
              <w:rPr>
                <w:rFonts w:eastAsia="Calibri" w:cs="Calibri"/>
                <w:sz w:val="19"/>
                <w:szCs w:val="19"/>
                <w:lang w:eastAsia="en-US"/>
              </w:rPr>
              <w:t>AAAC</w:t>
            </w:r>
          </w:p>
          <w:p w:rsidR="00A72E43"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PUSA</w:t>
            </w:r>
          </w:p>
          <w:p w:rsidR="00A72E43" w:rsidRPr="00FF68A0"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FAO</w:t>
            </w:r>
          </w:p>
        </w:tc>
        <w:tc>
          <w:tcPr>
            <w:tcW w:w="408" w:type="dxa"/>
            <w:shd w:val="clear" w:color="auto" w:fill="FFFFFF"/>
            <w:vAlign w:val="center"/>
          </w:tcPr>
          <w:p w:rsidR="00A72E43" w:rsidRPr="00FF68A0" w:rsidRDefault="00A72E43" w:rsidP="003D144E">
            <w:pPr>
              <w:rPr>
                <w:rFonts w:eastAsia="Times New Roman" w:cs="Calibri"/>
                <w:b/>
                <w:sz w:val="19"/>
                <w:szCs w:val="19"/>
                <w:lang w:val="fr-CA" w:eastAsia="en-US"/>
              </w:rPr>
            </w:pPr>
          </w:p>
        </w:tc>
        <w:tc>
          <w:tcPr>
            <w:tcW w:w="403" w:type="dxa"/>
            <w:shd w:val="clear" w:color="auto" w:fill="FFFFFF"/>
            <w:vAlign w:val="center"/>
          </w:tcPr>
          <w:p w:rsidR="00A72E43" w:rsidRPr="00FF68A0" w:rsidRDefault="00A72E43" w:rsidP="003D144E">
            <w:pPr>
              <w:rPr>
                <w:rFonts w:eastAsia="Times New Roman" w:cs="Calibri"/>
                <w:b/>
                <w:sz w:val="19"/>
                <w:szCs w:val="19"/>
                <w:lang w:val="fr-CA" w:eastAsia="en-US"/>
              </w:rPr>
            </w:pPr>
          </w:p>
        </w:tc>
        <w:tc>
          <w:tcPr>
            <w:tcW w:w="305"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54"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6"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6"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406" w:type="dxa"/>
            <w:shd w:val="clear" w:color="auto" w:fill="FFFFFF"/>
            <w:vAlign w:val="center"/>
          </w:tcPr>
          <w:p w:rsidR="00A72E43" w:rsidRPr="00FF68A0" w:rsidRDefault="00A72E43" w:rsidP="00773726">
            <w:pPr>
              <w:jc w:val="center"/>
              <w:rPr>
                <w:rFonts w:eastAsia="Times New Roman" w:cs="Calibri"/>
                <w:b/>
                <w:sz w:val="19"/>
                <w:szCs w:val="19"/>
                <w:lang w:val="fr-CA" w:eastAsia="en-US"/>
              </w:rPr>
            </w:pPr>
            <w:r w:rsidRPr="00FF68A0">
              <w:rPr>
                <w:rFonts w:eastAsia="Times New Roman" w:cs="Calibri"/>
                <w:b/>
                <w:sz w:val="19"/>
                <w:szCs w:val="19"/>
                <w:lang w:val="fr-CA" w:eastAsia="en-US"/>
              </w:rPr>
              <w:t>X</w:t>
            </w:r>
          </w:p>
        </w:tc>
      </w:tr>
      <w:tr w:rsidR="00A72E43" w:rsidRPr="00FF68A0" w:rsidTr="008F6B96">
        <w:trPr>
          <w:jc w:val="center"/>
        </w:trPr>
        <w:tc>
          <w:tcPr>
            <w:tcW w:w="1510" w:type="dxa"/>
            <w:vMerge/>
            <w:shd w:val="clear" w:color="auto" w:fill="auto"/>
            <w:vAlign w:val="center"/>
          </w:tcPr>
          <w:p w:rsidR="00A72E43" w:rsidRPr="00FF68A0" w:rsidRDefault="00A72E43" w:rsidP="003D144E">
            <w:pPr>
              <w:rPr>
                <w:rFonts w:eastAsia="Times New Roman" w:cs="Calibri"/>
                <w:sz w:val="19"/>
                <w:szCs w:val="19"/>
                <w:lang w:val="fr-CA" w:eastAsia="en-US"/>
              </w:rPr>
            </w:pPr>
          </w:p>
        </w:tc>
        <w:tc>
          <w:tcPr>
            <w:tcW w:w="2598" w:type="dxa"/>
            <w:vMerge/>
            <w:shd w:val="clear" w:color="auto" w:fill="auto"/>
            <w:vAlign w:val="center"/>
          </w:tcPr>
          <w:p w:rsidR="00A72E43" w:rsidRPr="00FF68A0" w:rsidRDefault="00A72E43" w:rsidP="003D144E">
            <w:pPr>
              <w:rPr>
                <w:rFonts w:eastAsia="Times New Roman" w:cs="Calibri"/>
                <w:sz w:val="19"/>
                <w:szCs w:val="19"/>
                <w:lang w:val="fr-CA" w:eastAsia="en-US"/>
              </w:rPr>
            </w:pPr>
          </w:p>
        </w:tc>
        <w:tc>
          <w:tcPr>
            <w:tcW w:w="1024" w:type="dxa"/>
            <w:shd w:val="clear" w:color="auto" w:fill="auto"/>
            <w:vAlign w:val="center"/>
          </w:tcPr>
          <w:p w:rsidR="00A72E43" w:rsidRPr="00FF0A9A" w:rsidRDefault="00A72E43" w:rsidP="00FF0A9A">
            <w:pPr>
              <w:autoSpaceDE w:val="0"/>
              <w:autoSpaceDN w:val="0"/>
              <w:adjustRightInd w:val="0"/>
              <w:rPr>
                <w:rFonts w:eastAsia="Times New Roman" w:cs="Calibri"/>
                <w:sz w:val="19"/>
                <w:szCs w:val="19"/>
                <w:lang w:val="fr-CA" w:eastAsia="en-US"/>
              </w:rPr>
            </w:pPr>
            <w:r w:rsidRPr="00FF0A9A">
              <w:rPr>
                <w:rFonts w:eastAsia="Times New Roman" w:cs="Calibri"/>
                <w:sz w:val="19"/>
                <w:szCs w:val="19"/>
                <w:lang w:val="fr-CA" w:eastAsia="en-US"/>
              </w:rPr>
              <w:t xml:space="preserve">Supervision </w:t>
            </w:r>
          </w:p>
          <w:p w:rsidR="00A72E43" w:rsidRPr="00FF68A0" w:rsidRDefault="00A72E43" w:rsidP="00A72E43">
            <w:pPr>
              <w:rPr>
                <w:rFonts w:eastAsia="Times New Roman" w:cs="Calibri"/>
                <w:sz w:val="19"/>
                <w:szCs w:val="19"/>
                <w:lang w:val="fr-CA" w:eastAsia="en-US"/>
              </w:rPr>
            </w:pPr>
          </w:p>
        </w:tc>
        <w:tc>
          <w:tcPr>
            <w:tcW w:w="858" w:type="dxa"/>
            <w:shd w:val="clear" w:color="auto" w:fill="auto"/>
          </w:tcPr>
          <w:p w:rsidR="00A72E43"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BM</w:t>
            </w:r>
          </w:p>
          <w:p w:rsidR="00A72E43"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FAO</w:t>
            </w:r>
          </w:p>
          <w:p w:rsidR="00A72E43"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PUSA</w:t>
            </w:r>
          </w:p>
          <w:p w:rsidR="00A72E43" w:rsidRPr="00FF68A0"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AAAC</w:t>
            </w:r>
          </w:p>
        </w:tc>
        <w:tc>
          <w:tcPr>
            <w:tcW w:w="408"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403"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05"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54" w:type="dxa"/>
            <w:shd w:val="clear" w:color="auto" w:fill="auto"/>
            <w:vAlign w:val="center"/>
          </w:tcPr>
          <w:p w:rsidR="00A72E43" w:rsidRPr="00773726" w:rsidRDefault="00A72E43" w:rsidP="003D144E">
            <w:pPr>
              <w:rPr>
                <w:rFonts w:eastAsia="Times New Roman" w:cs="Calibri"/>
                <w:sz w:val="19"/>
                <w:szCs w:val="19"/>
                <w:lang w:val="fr-CA" w:eastAsia="en-US"/>
              </w:rPr>
            </w:pPr>
            <w:r w:rsidRPr="00FF68A0">
              <w:rPr>
                <w:rFonts w:eastAsia="Times New Roman" w:cs="Calibri"/>
                <w:b/>
                <w:sz w:val="19"/>
                <w:szCs w:val="19"/>
                <w:lang w:val="fr-CA" w:eastAsia="en-US"/>
              </w:rPr>
              <w:t>X</w:t>
            </w:r>
          </w:p>
        </w:tc>
        <w:tc>
          <w:tcPr>
            <w:tcW w:w="354" w:type="dxa"/>
            <w:shd w:val="clear" w:color="auto" w:fill="auto"/>
            <w:vAlign w:val="center"/>
          </w:tcPr>
          <w:p w:rsidR="00A72E43" w:rsidRPr="00773726" w:rsidRDefault="00A72E43" w:rsidP="003D144E">
            <w:pPr>
              <w:rPr>
                <w:rFonts w:eastAsia="Times New Roman" w:cs="Calibri"/>
                <w:sz w:val="19"/>
                <w:szCs w:val="19"/>
                <w:lang w:val="fr-CA" w:eastAsia="en-US"/>
              </w:rPr>
            </w:pPr>
            <w:r w:rsidRPr="00FF68A0">
              <w:rPr>
                <w:rFonts w:eastAsia="Times New Roman" w:cs="Calibri"/>
                <w:b/>
                <w:sz w:val="19"/>
                <w:szCs w:val="19"/>
                <w:lang w:val="fr-CA" w:eastAsia="en-US"/>
              </w:rPr>
              <w:t>X</w:t>
            </w:r>
          </w:p>
        </w:tc>
        <w:tc>
          <w:tcPr>
            <w:tcW w:w="354" w:type="dxa"/>
            <w:shd w:val="clear" w:color="auto" w:fill="auto"/>
            <w:vAlign w:val="center"/>
          </w:tcPr>
          <w:p w:rsidR="00A72E43" w:rsidRPr="00773726" w:rsidRDefault="00A72E43" w:rsidP="003D144E">
            <w:pPr>
              <w:rPr>
                <w:rFonts w:eastAsia="Times New Roman" w:cs="Calibri"/>
                <w:sz w:val="19"/>
                <w:szCs w:val="19"/>
                <w:lang w:val="fr-CA" w:eastAsia="en-US"/>
              </w:rPr>
            </w:pPr>
            <w:r w:rsidRPr="00FF68A0">
              <w:rPr>
                <w:rFonts w:eastAsia="Times New Roman" w:cs="Calibri"/>
                <w:b/>
                <w:sz w:val="19"/>
                <w:szCs w:val="19"/>
                <w:lang w:val="fr-CA" w:eastAsia="en-US"/>
              </w:rPr>
              <w:t>X</w:t>
            </w:r>
          </w:p>
        </w:tc>
        <w:tc>
          <w:tcPr>
            <w:tcW w:w="348" w:type="dxa"/>
            <w:vAlign w:val="center"/>
          </w:tcPr>
          <w:p w:rsidR="00A72E43" w:rsidRPr="00773726" w:rsidRDefault="00A72E43" w:rsidP="003D144E">
            <w:pPr>
              <w:rPr>
                <w:rFonts w:eastAsia="Times New Roman" w:cs="Calibri"/>
                <w:sz w:val="19"/>
                <w:szCs w:val="19"/>
                <w:lang w:val="fr-CA" w:eastAsia="en-US"/>
              </w:rPr>
            </w:pPr>
            <w:r w:rsidRPr="00FF68A0">
              <w:rPr>
                <w:rFonts w:eastAsia="Times New Roman" w:cs="Calibri"/>
                <w:b/>
                <w:sz w:val="19"/>
                <w:szCs w:val="19"/>
                <w:lang w:val="fr-CA" w:eastAsia="en-US"/>
              </w:rPr>
              <w:t>X</w:t>
            </w:r>
          </w:p>
        </w:tc>
        <w:tc>
          <w:tcPr>
            <w:tcW w:w="348" w:type="dxa"/>
            <w:vAlign w:val="center"/>
          </w:tcPr>
          <w:p w:rsidR="00A72E43" w:rsidRPr="00773726" w:rsidRDefault="00A72E43" w:rsidP="003D144E">
            <w:pPr>
              <w:rPr>
                <w:rFonts w:eastAsia="Times New Roman" w:cs="Calibri"/>
                <w:sz w:val="19"/>
                <w:szCs w:val="19"/>
                <w:lang w:val="fr-CA" w:eastAsia="en-US"/>
              </w:rPr>
            </w:pPr>
            <w:r w:rsidRPr="00FF68A0">
              <w:rPr>
                <w:rFonts w:eastAsia="Times New Roman" w:cs="Calibri"/>
                <w:b/>
                <w:sz w:val="19"/>
                <w:szCs w:val="19"/>
                <w:lang w:val="fr-CA" w:eastAsia="en-US"/>
              </w:rPr>
              <w:t>X</w:t>
            </w:r>
          </w:p>
        </w:tc>
        <w:tc>
          <w:tcPr>
            <w:tcW w:w="348" w:type="dxa"/>
            <w:vAlign w:val="center"/>
          </w:tcPr>
          <w:p w:rsidR="00A72E43" w:rsidRPr="00773726" w:rsidRDefault="00A72E43" w:rsidP="003D144E">
            <w:pPr>
              <w:rPr>
                <w:rFonts w:eastAsia="Times New Roman" w:cs="Calibri"/>
                <w:sz w:val="19"/>
                <w:szCs w:val="19"/>
                <w:lang w:val="fr-CA" w:eastAsia="en-US"/>
              </w:rPr>
            </w:pPr>
            <w:r w:rsidRPr="00FF68A0">
              <w:rPr>
                <w:rFonts w:eastAsia="Times New Roman" w:cs="Calibri"/>
                <w:b/>
                <w:sz w:val="19"/>
                <w:szCs w:val="19"/>
                <w:lang w:val="fr-CA" w:eastAsia="en-US"/>
              </w:rPr>
              <w:t>X</w:t>
            </w:r>
          </w:p>
        </w:tc>
        <w:tc>
          <w:tcPr>
            <w:tcW w:w="406" w:type="dxa"/>
            <w:vAlign w:val="center"/>
          </w:tcPr>
          <w:p w:rsidR="00A72E43" w:rsidRPr="00773726" w:rsidRDefault="00A72E43" w:rsidP="003D144E">
            <w:pPr>
              <w:rPr>
                <w:rFonts w:eastAsia="Times New Roman" w:cs="Calibri"/>
                <w:sz w:val="19"/>
                <w:szCs w:val="19"/>
                <w:lang w:val="fr-CA" w:eastAsia="en-US"/>
              </w:rPr>
            </w:pPr>
            <w:r w:rsidRPr="00FF68A0">
              <w:rPr>
                <w:rFonts w:eastAsia="Times New Roman" w:cs="Calibri"/>
                <w:b/>
                <w:sz w:val="19"/>
                <w:szCs w:val="19"/>
                <w:lang w:val="fr-CA" w:eastAsia="en-US"/>
              </w:rPr>
              <w:t>X</w:t>
            </w:r>
          </w:p>
        </w:tc>
        <w:tc>
          <w:tcPr>
            <w:tcW w:w="406" w:type="dxa"/>
            <w:vAlign w:val="center"/>
          </w:tcPr>
          <w:p w:rsidR="00A72E43" w:rsidRPr="00773726" w:rsidRDefault="00A72E43" w:rsidP="003D144E">
            <w:pPr>
              <w:rPr>
                <w:rFonts w:eastAsia="Times New Roman" w:cs="Calibri"/>
                <w:sz w:val="19"/>
                <w:szCs w:val="19"/>
                <w:lang w:val="fr-CA" w:eastAsia="en-US"/>
              </w:rPr>
            </w:pPr>
            <w:r w:rsidRPr="00FF68A0">
              <w:rPr>
                <w:rFonts w:eastAsia="Times New Roman" w:cs="Calibri"/>
                <w:b/>
                <w:sz w:val="19"/>
                <w:szCs w:val="19"/>
                <w:lang w:val="fr-CA" w:eastAsia="en-US"/>
              </w:rPr>
              <w:t>X</w:t>
            </w:r>
          </w:p>
        </w:tc>
        <w:tc>
          <w:tcPr>
            <w:tcW w:w="406" w:type="dxa"/>
            <w:vAlign w:val="center"/>
          </w:tcPr>
          <w:p w:rsidR="00A72E43" w:rsidRPr="00773726" w:rsidRDefault="00A72E43" w:rsidP="003D144E">
            <w:pPr>
              <w:rPr>
                <w:rFonts w:eastAsia="Times New Roman" w:cs="Calibri"/>
                <w:sz w:val="19"/>
                <w:szCs w:val="19"/>
                <w:lang w:val="fr-CA" w:eastAsia="en-US"/>
              </w:rPr>
            </w:pPr>
            <w:r w:rsidRPr="00FF68A0">
              <w:rPr>
                <w:rFonts w:eastAsia="Times New Roman" w:cs="Calibri"/>
                <w:b/>
                <w:sz w:val="19"/>
                <w:szCs w:val="19"/>
                <w:lang w:val="fr-CA" w:eastAsia="en-US"/>
              </w:rPr>
              <w:t>X</w:t>
            </w:r>
          </w:p>
        </w:tc>
      </w:tr>
      <w:tr w:rsidR="00A72E43" w:rsidRPr="00FF68A0" w:rsidTr="008F6B96">
        <w:trPr>
          <w:jc w:val="center"/>
        </w:trPr>
        <w:tc>
          <w:tcPr>
            <w:tcW w:w="1510" w:type="dxa"/>
            <w:vMerge/>
            <w:shd w:val="clear" w:color="auto" w:fill="auto"/>
            <w:vAlign w:val="center"/>
          </w:tcPr>
          <w:p w:rsidR="00A72E43" w:rsidRPr="00FF68A0" w:rsidRDefault="00A72E43" w:rsidP="003D144E">
            <w:pPr>
              <w:rPr>
                <w:rFonts w:eastAsia="Times New Roman" w:cs="Calibri"/>
                <w:sz w:val="19"/>
                <w:szCs w:val="19"/>
                <w:lang w:val="fr-CA" w:eastAsia="en-US"/>
              </w:rPr>
            </w:pPr>
          </w:p>
        </w:tc>
        <w:tc>
          <w:tcPr>
            <w:tcW w:w="2598" w:type="dxa"/>
            <w:vMerge w:val="restart"/>
            <w:shd w:val="clear" w:color="auto" w:fill="auto"/>
            <w:vAlign w:val="center"/>
          </w:tcPr>
          <w:p w:rsidR="00A72E43" w:rsidRPr="00FF68A0" w:rsidRDefault="00A72E43" w:rsidP="003D144E">
            <w:pPr>
              <w:rPr>
                <w:rFonts w:eastAsia="Times New Roman" w:cs="Calibri"/>
                <w:sz w:val="19"/>
                <w:szCs w:val="19"/>
                <w:lang w:val="fr-CA" w:eastAsia="en-US"/>
              </w:rPr>
            </w:pPr>
            <w:r w:rsidRPr="00F96430">
              <w:rPr>
                <w:sz w:val="20"/>
                <w:szCs w:val="20"/>
              </w:rPr>
              <w:t xml:space="preserve">Évaluation </w:t>
            </w:r>
            <w:r w:rsidR="00A73BE0">
              <w:rPr>
                <w:sz w:val="20"/>
                <w:szCs w:val="20"/>
              </w:rPr>
              <w:t>AEI</w:t>
            </w:r>
          </w:p>
        </w:tc>
        <w:tc>
          <w:tcPr>
            <w:tcW w:w="1024" w:type="dxa"/>
            <w:shd w:val="clear" w:color="auto" w:fill="auto"/>
            <w:vAlign w:val="center"/>
          </w:tcPr>
          <w:p w:rsidR="00A72E43" w:rsidRPr="00FF68A0" w:rsidRDefault="00B46AFA" w:rsidP="00A72E43">
            <w:pPr>
              <w:rPr>
                <w:rFonts w:eastAsia="Times New Roman" w:cs="Calibri"/>
                <w:sz w:val="19"/>
                <w:szCs w:val="19"/>
                <w:lang w:val="fr-CA" w:eastAsia="en-US"/>
              </w:rPr>
            </w:pPr>
            <w:r w:rsidRPr="00FF68A0">
              <w:rPr>
                <w:rFonts w:eastAsia="Times New Roman" w:cs="Calibri"/>
                <w:sz w:val="19"/>
                <w:szCs w:val="19"/>
                <w:lang w:val="fr-CA" w:eastAsia="en-US"/>
              </w:rPr>
              <w:t>Mi</w:t>
            </w:r>
            <w:r w:rsidR="00A72E43" w:rsidRPr="00FF68A0">
              <w:rPr>
                <w:rFonts w:eastAsia="Times New Roman" w:cs="Calibri"/>
                <w:sz w:val="19"/>
                <w:szCs w:val="19"/>
                <w:lang w:val="fr-CA" w:eastAsia="en-US"/>
              </w:rPr>
              <w:t>-parcours</w:t>
            </w:r>
          </w:p>
        </w:tc>
        <w:tc>
          <w:tcPr>
            <w:tcW w:w="858" w:type="dxa"/>
            <w:shd w:val="clear" w:color="auto" w:fill="auto"/>
          </w:tcPr>
          <w:p w:rsidR="00A72E43"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BM</w:t>
            </w:r>
          </w:p>
          <w:p w:rsidR="00A72E43"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FAO</w:t>
            </w:r>
          </w:p>
          <w:p w:rsidR="00A72E43" w:rsidRPr="00FF68A0"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PUSA</w:t>
            </w:r>
          </w:p>
        </w:tc>
        <w:tc>
          <w:tcPr>
            <w:tcW w:w="408"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403"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05"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54"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54"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54" w:type="dxa"/>
            <w:shd w:val="clear" w:color="auto" w:fill="auto"/>
            <w:vAlign w:val="center"/>
          </w:tcPr>
          <w:p w:rsidR="00A72E43" w:rsidRPr="00FF68A0" w:rsidRDefault="00A72E43"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c>
          <w:tcPr>
            <w:tcW w:w="348" w:type="dxa"/>
          </w:tcPr>
          <w:p w:rsidR="00A72E43" w:rsidRPr="00FF68A0" w:rsidRDefault="00A72E43" w:rsidP="003D144E">
            <w:pPr>
              <w:rPr>
                <w:rFonts w:eastAsia="Times New Roman" w:cs="Calibri"/>
                <w:b/>
                <w:sz w:val="19"/>
                <w:szCs w:val="19"/>
                <w:lang w:val="fr-CA" w:eastAsia="en-US"/>
              </w:rPr>
            </w:pPr>
          </w:p>
        </w:tc>
        <w:tc>
          <w:tcPr>
            <w:tcW w:w="348" w:type="dxa"/>
          </w:tcPr>
          <w:p w:rsidR="00A72E43" w:rsidRPr="00FF68A0" w:rsidRDefault="00A72E43" w:rsidP="003D144E">
            <w:pPr>
              <w:rPr>
                <w:rFonts w:eastAsia="Times New Roman" w:cs="Calibri"/>
                <w:b/>
                <w:sz w:val="19"/>
                <w:szCs w:val="19"/>
                <w:lang w:val="fr-CA" w:eastAsia="en-US"/>
              </w:rPr>
            </w:pPr>
          </w:p>
        </w:tc>
        <w:tc>
          <w:tcPr>
            <w:tcW w:w="348" w:type="dxa"/>
          </w:tcPr>
          <w:p w:rsidR="00A72E43" w:rsidRPr="00FF68A0" w:rsidRDefault="00A72E43" w:rsidP="003D144E">
            <w:pPr>
              <w:rPr>
                <w:rFonts w:eastAsia="Times New Roman" w:cs="Calibri"/>
                <w:b/>
                <w:sz w:val="19"/>
                <w:szCs w:val="19"/>
                <w:lang w:val="fr-CA" w:eastAsia="en-US"/>
              </w:rPr>
            </w:pPr>
          </w:p>
        </w:tc>
        <w:tc>
          <w:tcPr>
            <w:tcW w:w="406" w:type="dxa"/>
          </w:tcPr>
          <w:p w:rsidR="00A72E43" w:rsidRPr="00FF68A0" w:rsidRDefault="00A72E43" w:rsidP="003D144E">
            <w:pPr>
              <w:rPr>
                <w:rFonts w:eastAsia="Times New Roman" w:cs="Calibri"/>
                <w:b/>
                <w:sz w:val="19"/>
                <w:szCs w:val="19"/>
                <w:lang w:val="fr-CA" w:eastAsia="en-US"/>
              </w:rPr>
            </w:pPr>
          </w:p>
        </w:tc>
        <w:tc>
          <w:tcPr>
            <w:tcW w:w="406" w:type="dxa"/>
          </w:tcPr>
          <w:p w:rsidR="00A72E43" w:rsidRPr="00FF68A0" w:rsidRDefault="00A72E43" w:rsidP="003D144E">
            <w:pPr>
              <w:rPr>
                <w:rFonts w:eastAsia="Times New Roman" w:cs="Calibri"/>
                <w:b/>
                <w:sz w:val="19"/>
                <w:szCs w:val="19"/>
                <w:lang w:val="fr-CA" w:eastAsia="en-US"/>
              </w:rPr>
            </w:pPr>
          </w:p>
        </w:tc>
        <w:tc>
          <w:tcPr>
            <w:tcW w:w="406" w:type="dxa"/>
          </w:tcPr>
          <w:p w:rsidR="00A72E43" w:rsidRPr="00FF68A0" w:rsidRDefault="00A72E43" w:rsidP="003D144E">
            <w:pPr>
              <w:rPr>
                <w:rFonts w:eastAsia="Times New Roman" w:cs="Calibri"/>
                <w:b/>
                <w:sz w:val="19"/>
                <w:szCs w:val="19"/>
                <w:lang w:val="fr-CA" w:eastAsia="en-US"/>
              </w:rPr>
            </w:pPr>
          </w:p>
        </w:tc>
      </w:tr>
      <w:tr w:rsidR="00A72E43" w:rsidRPr="00FF68A0" w:rsidTr="008F6B96">
        <w:trPr>
          <w:jc w:val="center"/>
        </w:trPr>
        <w:tc>
          <w:tcPr>
            <w:tcW w:w="1510" w:type="dxa"/>
            <w:vMerge/>
            <w:shd w:val="clear" w:color="auto" w:fill="auto"/>
            <w:vAlign w:val="center"/>
          </w:tcPr>
          <w:p w:rsidR="00A72E43" w:rsidRPr="00FF68A0" w:rsidRDefault="00A72E43" w:rsidP="003D144E">
            <w:pPr>
              <w:rPr>
                <w:rFonts w:eastAsia="Times New Roman" w:cs="Calibri"/>
                <w:sz w:val="19"/>
                <w:szCs w:val="19"/>
                <w:lang w:val="fr-CA" w:eastAsia="en-US"/>
              </w:rPr>
            </w:pPr>
          </w:p>
        </w:tc>
        <w:tc>
          <w:tcPr>
            <w:tcW w:w="2598" w:type="dxa"/>
            <w:vMerge/>
            <w:shd w:val="clear" w:color="auto" w:fill="auto"/>
            <w:vAlign w:val="center"/>
          </w:tcPr>
          <w:p w:rsidR="00A72E43" w:rsidRPr="00FF68A0" w:rsidRDefault="00A72E43" w:rsidP="003D144E">
            <w:pPr>
              <w:rPr>
                <w:rFonts w:eastAsia="Times New Roman" w:cs="Calibri"/>
                <w:sz w:val="19"/>
                <w:szCs w:val="19"/>
                <w:lang w:val="fr-CA" w:eastAsia="en-US"/>
              </w:rPr>
            </w:pPr>
          </w:p>
        </w:tc>
        <w:tc>
          <w:tcPr>
            <w:tcW w:w="1024" w:type="dxa"/>
            <w:shd w:val="clear" w:color="auto" w:fill="auto"/>
            <w:vAlign w:val="center"/>
          </w:tcPr>
          <w:p w:rsidR="00A72E43" w:rsidRPr="00FF68A0" w:rsidRDefault="00A72E43" w:rsidP="003D144E">
            <w:pPr>
              <w:rPr>
                <w:rFonts w:eastAsia="Times New Roman" w:cs="Calibri"/>
                <w:sz w:val="19"/>
                <w:szCs w:val="19"/>
                <w:lang w:val="fr-CA" w:eastAsia="en-US"/>
              </w:rPr>
            </w:pPr>
            <w:r w:rsidRPr="00FF68A0">
              <w:rPr>
                <w:rFonts w:eastAsia="Times New Roman" w:cs="Calibri"/>
                <w:sz w:val="19"/>
                <w:szCs w:val="19"/>
                <w:lang w:val="fr-CA" w:eastAsia="en-US"/>
              </w:rPr>
              <w:t>Finale</w:t>
            </w:r>
          </w:p>
        </w:tc>
        <w:tc>
          <w:tcPr>
            <w:tcW w:w="858" w:type="dxa"/>
            <w:shd w:val="clear" w:color="auto" w:fill="auto"/>
          </w:tcPr>
          <w:p w:rsidR="00A72E43"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BM</w:t>
            </w:r>
          </w:p>
          <w:p w:rsidR="00A72E43"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FAO</w:t>
            </w:r>
          </w:p>
          <w:p w:rsidR="00A72E43" w:rsidRPr="00FF68A0" w:rsidRDefault="00A72E43" w:rsidP="00157035">
            <w:pPr>
              <w:numPr>
                <w:ilvl w:val="0"/>
                <w:numId w:val="177"/>
              </w:numPr>
              <w:spacing w:after="160" w:line="256" w:lineRule="auto"/>
              <w:ind w:left="103" w:hanging="103"/>
              <w:contextualSpacing/>
              <w:rPr>
                <w:rFonts w:eastAsia="Calibri" w:cs="Calibri"/>
                <w:sz w:val="19"/>
                <w:szCs w:val="19"/>
                <w:lang w:eastAsia="en-US"/>
              </w:rPr>
            </w:pPr>
            <w:r>
              <w:rPr>
                <w:rFonts w:eastAsia="Calibri" w:cs="Calibri"/>
                <w:sz w:val="19"/>
                <w:szCs w:val="19"/>
                <w:lang w:eastAsia="en-US"/>
              </w:rPr>
              <w:t>PUSA</w:t>
            </w:r>
          </w:p>
        </w:tc>
        <w:tc>
          <w:tcPr>
            <w:tcW w:w="408"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403"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05"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54"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54"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54" w:type="dxa"/>
            <w:shd w:val="clear" w:color="auto" w:fill="auto"/>
            <w:vAlign w:val="center"/>
          </w:tcPr>
          <w:p w:rsidR="00A72E43" w:rsidRPr="00FF68A0" w:rsidRDefault="00A72E43" w:rsidP="003D144E">
            <w:pPr>
              <w:rPr>
                <w:rFonts w:eastAsia="Times New Roman" w:cs="Calibri"/>
                <w:b/>
                <w:sz w:val="19"/>
                <w:szCs w:val="19"/>
                <w:lang w:val="fr-CA" w:eastAsia="en-US"/>
              </w:rPr>
            </w:pPr>
          </w:p>
        </w:tc>
        <w:tc>
          <w:tcPr>
            <w:tcW w:w="348" w:type="dxa"/>
          </w:tcPr>
          <w:p w:rsidR="00A72E43" w:rsidRPr="00FF68A0" w:rsidRDefault="00A72E43" w:rsidP="003D144E">
            <w:pPr>
              <w:rPr>
                <w:rFonts w:eastAsia="Times New Roman" w:cs="Calibri"/>
                <w:b/>
                <w:sz w:val="19"/>
                <w:szCs w:val="19"/>
                <w:lang w:val="fr-CA" w:eastAsia="en-US"/>
              </w:rPr>
            </w:pPr>
          </w:p>
        </w:tc>
        <w:tc>
          <w:tcPr>
            <w:tcW w:w="348" w:type="dxa"/>
          </w:tcPr>
          <w:p w:rsidR="00A72E43" w:rsidRPr="00FF68A0" w:rsidRDefault="00A72E43" w:rsidP="003D144E">
            <w:pPr>
              <w:rPr>
                <w:rFonts w:eastAsia="Times New Roman" w:cs="Calibri"/>
                <w:b/>
                <w:sz w:val="19"/>
                <w:szCs w:val="19"/>
                <w:lang w:val="fr-CA" w:eastAsia="en-US"/>
              </w:rPr>
            </w:pPr>
          </w:p>
        </w:tc>
        <w:tc>
          <w:tcPr>
            <w:tcW w:w="348" w:type="dxa"/>
          </w:tcPr>
          <w:p w:rsidR="00A72E43" w:rsidRPr="00FF68A0" w:rsidRDefault="00A72E43" w:rsidP="003D144E">
            <w:pPr>
              <w:rPr>
                <w:rFonts w:eastAsia="Times New Roman" w:cs="Calibri"/>
                <w:b/>
                <w:sz w:val="19"/>
                <w:szCs w:val="19"/>
                <w:lang w:val="fr-CA" w:eastAsia="en-US"/>
              </w:rPr>
            </w:pPr>
          </w:p>
        </w:tc>
        <w:tc>
          <w:tcPr>
            <w:tcW w:w="406" w:type="dxa"/>
          </w:tcPr>
          <w:p w:rsidR="00A72E43" w:rsidRPr="00FF68A0" w:rsidRDefault="00A72E43" w:rsidP="003D144E">
            <w:pPr>
              <w:rPr>
                <w:rFonts w:eastAsia="Times New Roman" w:cs="Calibri"/>
                <w:b/>
                <w:sz w:val="19"/>
                <w:szCs w:val="19"/>
                <w:lang w:val="fr-CA" w:eastAsia="en-US"/>
              </w:rPr>
            </w:pPr>
          </w:p>
        </w:tc>
        <w:tc>
          <w:tcPr>
            <w:tcW w:w="406" w:type="dxa"/>
          </w:tcPr>
          <w:p w:rsidR="00A72E43" w:rsidRPr="00FF68A0" w:rsidRDefault="00A72E43" w:rsidP="003D144E">
            <w:pPr>
              <w:rPr>
                <w:rFonts w:eastAsia="Times New Roman" w:cs="Calibri"/>
                <w:b/>
                <w:sz w:val="19"/>
                <w:szCs w:val="19"/>
                <w:lang w:val="fr-CA" w:eastAsia="en-US"/>
              </w:rPr>
            </w:pPr>
          </w:p>
        </w:tc>
        <w:tc>
          <w:tcPr>
            <w:tcW w:w="406" w:type="dxa"/>
          </w:tcPr>
          <w:p w:rsidR="00A72E43" w:rsidRPr="00FF68A0" w:rsidRDefault="00A72E43" w:rsidP="003D144E">
            <w:pPr>
              <w:rPr>
                <w:rFonts w:eastAsia="Times New Roman" w:cs="Calibri"/>
                <w:b/>
                <w:sz w:val="19"/>
                <w:szCs w:val="19"/>
                <w:lang w:val="fr-CA" w:eastAsia="en-US"/>
              </w:rPr>
            </w:pPr>
            <w:r w:rsidRPr="00FF68A0">
              <w:rPr>
                <w:rFonts w:eastAsia="Times New Roman" w:cs="Calibri"/>
                <w:b/>
                <w:sz w:val="19"/>
                <w:szCs w:val="19"/>
                <w:lang w:val="fr-CA" w:eastAsia="en-US"/>
              </w:rPr>
              <w:t>X</w:t>
            </w:r>
          </w:p>
        </w:tc>
      </w:tr>
      <w:bookmarkEnd w:id="310"/>
      <w:bookmarkEnd w:id="311"/>
    </w:tbl>
    <w:p w:rsidR="007131E8" w:rsidRPr="00FF68A0" w:rsidRDefault="007131E8" w:rsidP="007131E8">
      <w:pPr>
        <w:contextualSpacing/>
        <w:jc w:val="both"/>
        <w:rPr>
          <w:rFonts w:eastAsia="Calibri" w:cs="Calibri"/>
          <w:caps/>
          <w:lang w:eastAsia="en-US"/>
        </w:rPr>
      </w:pPr>
    </w:p>
    <w:p w:rsidR="00E547CB" w:rsidRPr="00393987" w:rsidRDefault="00E547CB" w:rsidP="00E547CB">
      <w:pPr>
        <w:rPr>
          <w:vanish/>
        </w:rPr>
      </w:pPr>
    </w:p>
    <w:p w:rsidR="00E547CB" w:rsidRPr="00D901AE" w:rsidRDefault="00E547CB" w:rsidP="00FF0A9A"/>
    <w:p w:rsidR="00A10969" w:rsidRDefault="00A10969" w:rsidP="0060566C">
      <w:pPr>
        <w:pStyle w:val="PargrafodaLista"/>
        <w:numPr>
          <w:ilvl w:val="1"/>
          <w:numId w:val="99"/>
        </w:numPr>
        <w:spacing w:after="120" w:line="240" w:lineRule="auto"/>
        <w:ind w:right="-709"/>
        <w:outlineLvl w:val="1"/>
        <w:rPr>
          <w:rFonts w:ascii="Times New Roman" w:hAnsi="Times New Roman"/>
          <w:b/>
          <w:bCs/>
          <w:sz w:val="24"/>
          <w:szCs w:val="24"/>
        </w:rPr>
      </w:pPr>
      <w:bookmarkStart w:id="312" w:name="_Toc73459759"/>
      <w:r w:rsidRPr="00A05698">
        <w:rPr>
          <w:rFonts w:ascii="Times New Roman" w:hAnsi="Times New Roman"/>
          <w:b/>
          <w:bCs/>
          <w:sz w:val="24"/>
          <w:szCs w:val="24"/>
        </w:rPr>
        <w:t>DESCRIPTION DU RE</w:t>
      </w:r>
      <w:r w:rsidR="0060566C">
        <w:rPr>
          <w:rFonts w:ascii="Times New Roman" w:hAnsi="Times New Roman"/>
          <w:b/>
          <w:bCs/>
          <w:sz w:val="24"/>
          <w:szCs w:val="24"/>
        </w:rPr>
        <w:t xml:space="preserve">NFORCEMENT DES CAPACITES, DE LA </w:t>
      </w:r>
      <w:r w:rsidRPr="00A05698">
        <w:rPr>
          <w:rFonts w:ascii="Times New Roman" w:hAnsi="Times New Roman"/>
          <w:b/>
          <w:bCs/>
          <w:sz w:val="24"/>
          <w:szCs w:val="24"/>
        </w:rPr>
        <w:t xml:space="preserve">FORMATION </w:t>
      </w:r>
      <w:r w:rsidR="0091740E" w:rsidRPr="00A05698">
        <w:rPr>
          <w:rFonts w:ascii="Times New Roman" w:hAnsi="Times New Roman"/>
          <w:b/>
          <w:bCs/>
          <w:sz w:val="24"/>
          <w:szCs w:val="24"/>
        </w:rPr>
        <w:t>ET DE L</w:t>
      </w:r>
      <w:r w:rsidR="00A05714" w:rsidRPr="00A05698">
        <w:rPr>
          <w:rFonts w:ascii="Times New Roman" w:hAnsi="Times New Roman"/>
          <w:b/>
          <w:bCs/>
          <w:sz w:val="24"/>
          <w:szCs w:val="24"/>
        </w:rPr>
        <w:t>’</w:t>
      </w:r>
      <w:r w:rsidR="0091740E" w:rsidRPr="00A05698">
        <w:rPr>
          <w:rFonts w:ascii="Times New Roman" w:hAnsi="Times New Roman"/>
          <w:b/>
          <w:bCs/>
          <w:sz w:val="24"/>
          <w:szCs w:val="24"/>
        </w:rPr>
        <w:t>ASSISTANCE TECHNIQUE</w:t>
      </w:r>
      <w:bookmarkEnd w:id="312"/>
    </w:p>
    <w:p w:rsidR="00CD66A1" w:rsidRPr="00CD66A1" w:rsidRDefault="00CD66A1" w:rsidP="0060566C">
      <w:pPr>
        <w:pStyle w:val="PargrafodaLista"/>
        <w:spacing w:after="120" w:line="240" w:lineRule="auto"/>
        <w:ind w:left="1068" w:right="-709"/>
        <w:outlineLvl w:val="1"/>
        <w:rPr>
          <w:rFonts w:ascii="Times New Roman" w:hAnsi="Times New Roman"/>
          <w:b/>
          <w:bCs/>
          <w:sz w:val="24"/>
          <w:szCs w:val="24"/>
        </w:rPr>
      </w:pPr>
    </w:p>
    <w:p w:rsidR="00D3691B" w:rsidRPr="00A05698" w:rsidRDefault="00EE4FEF" w:rsidP="00157035">
      <w:pPr>
        <w:pStyle w:val="PargrafodaLista"/>
        <w:numPr>
          <w:ilvl w:val="2"/>
          <w:numId w:val="99"/>
        </w:numPr>
        <w:spacing w:after="120" w:line="240" w:lineRule="auto"/>
        <w:ind w:right="-50"/>
        <w:outlineLvl w:val="1"/>
        <w:rPr>
          <w:rFonts w:ascii="Times New Roman" w:hAnsi="Times New Roman"/>
          <w:b/>
          <w:bCs/>
          <w:sz w:val="24"/>
          <w:szCs w:val="24"/>
        </w:rPr>
      </w:pPr>
      <w:bookmarkStart w:id="313" w:name="_Toc55460171"/>
      <w:bookmarkStart w:id="314" w:name="_Toc55465564"/>
      <w:bookmarkStart w:id="315" w:name="_Toc73459760"/>
      <w:r w:rsidRPr="00A05698">
        <w:rPr>
          <w:rFonts w:ascii="Times New Roman" w:hAnsi="Times New Roman"/>
          <w:b/>
          <w:bCs/>
          <w:sz w:val="24"/>
          <w:szCs w:val="24"/>
        </w:rPr>
        <w:t>Responsabilité de mise en œuvre de la sélection environnementale et sociale</w:t>
      </w:r>
      <w:bookmarkEnd w:id="313"/>
      <w:bookmarkEnd w:id="314"/>
      <w:bookmarkEnd w:id="315"/>
    </w:p>
    <w:p w:rsidR="00D3691B" w:rsidRPr="004D1BD0" w:rsidRDefault="00D3691B" w:rsidP="0060566C">
      <w:pPr>
        <w:autoSpaceDE w:val="0"/>
        <w:autoSpaceDN w:val="0"/>
        <w:adjustRightInd w:val="0"/>
        <w:ind w:left="142" w:right="-851"/>
        <w:jc w:val="both"/>
      </w:pPr>
      <w:r w:rsidRPr="004D1BD0">
        <w:t>Cette approche environnementale prend en compte la majorité des cas qui peuvent se produire et qui sont inclus dans le Cadre de Gestion Environnementale et Sociale ainsi que la plupart des parties prenantes qui ont ou peuvent intervenir à un moment donné du cycle de projet</w:t>
      </w:r>
      <w:r w:rsidR="00762774" w:rsidRPr="004D1BD0">
        <w:t xml:space="preserve"> </w:t>
      </w:r>
      <w:r w:rsidR="00A93E4A" w:rsidRPr="004D1BD0">
        <w:t>PUSA.</w:t>
      </w:r>
      <w:r w:rsidRPr="004D1BD0">
        <w:t xml:space="preserve"> Le tableau ci-dessus donne un récapitulatif des étapes et des responsabilités institutionnelles pour la sélection et la préparation, l’évaluation, l’approbation et la mise en œuvre des sous-projets.</w:t>
      </w:r>
    </w:p>
    <w:p w:rsidR="00D3691B" w:rsidRPr="00A05698" w:rsidRDefault="00956A5B" w:rsidP="0060566C">
      <w:pPr>
        <w:pStyle w:val="PargrafodaLista"/>
        <w:numPr>
          <w:ilvl w:val="2"/>
          <w:numId w:val="99"/>
        </w:numPr>
        <w:spacing w:after="120" w:line="240" w:lineRule="auto"/>
        <w:ind w:right="-851"/>
        <w:outlineLvl w:val="1"/>
        <w:rPr>
          <w:rFonts w:ascii="Times New Roman" w:hAnsi="Times New Roman"/>
          <w:b/>
          <w:bCs/>
          <w:sz w:val="24"/>
          <w:szCs w:val="24"/>
        </w:rPr>
      </w:pPr>
      <w:bookmarkStart w:id="316" w:name="_Toc55460172"/>
      <w:bookmarkStart w:id="317" w:name="_Toc55465565"/>
      <w:bookmarkStart w:id="318" w:name="_Toc73459761"/>
      <w:r w:rsidRPr="00A05698">
        <w:rPr>
          <w:rFonts w:ascii="Times New Roman" w:hAnsi="Times New Roman"/>
          <w:b/>
          <w:bCs/>
          <w:sz w:val="24"/>
          <w:szCs w:val="24"/>
        </w:rPr>
        <w:t>Recommandations pour la gestion environnementale et sociale du projet</w:t>
      </w:r>
      <w:bookmarkEnd w:id="316"/>
      <w:bookmarkEnd w:id="317"/>
      <w:bookmarkEnd w:id="318"/>
    </w:p>
    <w:p w:rsidR="00D3691B" w:rsidRPr="00A05698" w:rsidRDefault="00D3691B" w:rsidP="0060566C">
      <w:pPr>
        <w:pStyle w:val="Cabealho3"/>
        <w:keepLines/>
        <w:numPr>
          <w:ilvl w:val="2"/>
          <w:numId w:val="112"/>
        </w:numPr>
        <w:spacing w:before="120" w:after="120"/>
        <w:ind w:left="1134" w:right="-851"/>
        <w:jc w:val="both"/>
        <w:rPr>
          <w:rFonts w:ascii="Times New Roman" w:hAnsi="Times New Roman"/>
          <w:sz w:val="24"/>
          <w:szCs w:val="24"/>
        </w:rPr>
      </w:pPr>
      <w:bookmarkStart w:id="319" w:name="_Toc55460173"/>
      <w:bookmarkStart w:id="320" w:name="_Toc55465566"/>
      <w:r w:rsidRPr="00A05698">
        <w:rPr>
          <w:rFonts w:ascii="Times New Roman" w:hAnsi="Times New Roman"/>
          <w:sz w:val="24"/>
          <w:szCs w:val="24"/>
        </w:rPr>
        <w:t>Mesures de renforcement institutionnel</w:t>
      </w:r>
      <w:bookmarkEnd w:id="319"/>
      <w:bookmarkEnd w:id="320"/>
    </w:p>
    <w:p w:rsidR="0019528C" w:rsidRPr="004D1BD0" w:rsidRDefault="00D3691B" w:rsidP="0060566C">
      <w:pPr>
        <w:autoSpaceDE w:val="0"/>
        <w:autoSpaceDN w:val="0"/>
        <w:adjustRightInd w:val="0"/>
        <w:ind w:left="142" w:right="-851"/>
        <w:jc w:val="both"/>
      </w:pPr>
      <w:r w:rsidRPr="004D1BD0">
        <w:t xml:space="preserve">A travers les protocoles d'accord d'intervention </w:t>
      </w:r>
      <w:r w:rsidR="00471FE4" w:rsidRPr="004D1BD0">
        <w:t xml:space="preserve">qui sera </w:t>
      </w:r>
      <w:r w:rsidRPr="004D1BD0">
        <w:t>signés entre les différents services techniques de l'Etat (mi</w:t>
      </w:r>
      <w:r w:rsidR="00D10B93" w:rsidRPr="004D1BD0">
        <w:t>nistère et agences), le projet PUSA</w:t>
      </w:r>
      <w:r w:rsidRPr="004D1BD0">
        <w:t xml:space="preserve"> désigne</w:t>
      </w:r>
      <w:r w:rsidR="001160AC">
        <w:t>ra</w:t>
      </w:r>
      <w:r w:rsidRPr="004D1BD0">
        <w:t xml:space="preserve"> des points focaux au niveau de chaque région. </w:t>
      </w:r>
    </w:p>
    <w:p w:rsidR="00D3691B" w:rsidRPr="004D1BD0" w:rsidRDefault="00D3691B" w:rsidP="0060566C">
      <w:pPr>
        <w:autoSpaceDE w:val="0"/>
        <w:autoSpaceDN w:val="0"/>
        <w:adjustRightInd w:val="0"/>
        <w:ind w:left="142" w:right="-851"/>
        <w:jc w:val="both"/>
      </w:pPr>
      <w:r w:rsidRPr="004D1BD0">
        <w:t>En ce qui concerne le</w:t>
      </w:r>
      <w:r w:rsidR="00DF4513" w:rsidRPr="004D1BD0">
        <w:t xml:space="preserve"> secteur de l'environnement, l’AAAC </w:t>
      </w:r>
      <w:r w:rsidRPr="004D1BD0">
        <w:t>est chargé de répondre aux besoins de gestion et de suivi pour garantir la prise en compte des aspects environnementaux.</w:t>
      </w:r>
    </w:p>
    <w:p w:rsidR="00D3691B" w:rsidRPr="004D1BD0" w:rsidRDefault="00D3691B" w:rsidP="0060566C">
      <w:pPr>
        <w:autoSpaceDE w:val="0"/>
        <w:autoSpaceDN w:val="0"/>
        <w:adjustRightInd w:val="0"/>
        <w:ind w:left="142" w:right="-851"/>
        <w:jc w:val="both"/>
      </w:pPr>
      <w:r w:rsidRPr="004D1BD0">
        <w:t>Sa mission consiste :</w:t>
      </w:r>
    </w:p>
    <w:p w:rsidR="00D3691B" w:rsidRPr="00CD66A1" w:rsidRDefault="00D3691B" w:rsidP="0060566C">
      <w:pPr>
        <w:pStyle w:val="PargrafodaLista"/>
        <w:numPr>
          <w:ilvl w:val="0"/>
          <w:numId w:val="113"/>
        </w:numPr>
        <w:autoSpaceDE w:val="0"/>
        <w:autoSpaceDN w:val="0"/>
        <w:adjustRightInd w:val="0"/>
        <w:ind w:left="993" w:right="-851"/>
        <w:jc w:val="both"/>
        <w:rPr>
          <w:rFonts w:ascii="Times New Roman" w:hAnsi="Times New Roman"/>
          <w:sz w:val="22"/>
          <w:szCs w:val="22"/>
        </w:rPr>
      </w:pPr>
      <w:r w:rsidRPr="00CD66A1">
        <w:rPr>
          <w:rFonts w:ascii="Times New Roman" w:hAnsi="Times New Roman"/>
          <w:sz w:val="22"/>
          <w:szCs w:val="22"/>
        </w:rPr>
        <w:t>S'assurer de l'application des procédures environnementales et sociales dans la mise en œuvre des activités du projet ;</w:t>
      </w:r>
    </w:p>
    <w:p w:rsidR="00D3691B" w:rsidRPr="00CD66A1" w:rsidRDefault="00D3691B" w:rsidP="0060566C">
      <w:pPr>
        <w:pStyle w:val="PargrafodaLista"/>
        <w:numPr>
          <w:ilvl w:val="0"/>
          <w:numId w:val="113"/>
        </w:numPr>
        <w:autoSpaceDE w:val="0"/>
        <w:autoSpaceDN w:val="0"/>
        <w:adjustRightInd w:val="0"/>
        <w:ind w:left="993" w:right="-851"/>
        <w:jc w:val="both"/>
        <w:rPr>
          <w:rFonts w:ascii="Times New Roman" w:hAnsi="Times New Roman"/>
          <w:sz w:val="22"/>
          <w:szCs w:val="22"/>
        </w:rPr>
      </w:pPr>
      <w:r w:rsidRPr="00CD66A1">
        <w:rPr>
          <w:rFonts w:ascii="Times New Roman" w:hAnsi="Times New Roman"/>
          <w:sz w:val="22"/>
          <w:szCs w:val="22"/>
        </w:rPr>
        <w:t>Mettre en œuvre des activités de formation et de sensibilisation au profit des acteurs nationaux et locaux sur le besoin de prise en compte des questions environnementale</w:t>
      </w:r>
      <w:r w:rsidR="00CD66A1" w:rsidRPr="00CD66A1">
        <w:rPr>
          <w:rFonts w:ascii="Times New Roman" w:hAnsi="Times New Roman"/>
          <w:sz w:val="22"/>
          <w:szCs w:val="22"/>
        </w:rPr>
        <w:t xml:space="preserve">s et sociales dans les projets </w:t>
      </w:r>
    </w:p>
    <w:p w:rsidR="00D3691B" w:rsidRPr="00CD66A1" w:rsidRDefault="00D3691B" w:rsidP="0060566C">
      <w:pPr>
        <w:pStyle w:val="PargrafodaLista"/>
        <w:numPr>
          <w:ilvl w:val="0"/>
          <w:numId w:val="113"/>
        </w:numPr>
        <w:autoSpaceDE w:val="0"/>
        <w:autoSpaceDN w:val="0"/>
        <w:adjustRightInd w:val="0"/>
        <w:ind w:left="993" w:right="-851"/>
        <w:jc w:val="both"/>
        <w:rPr>
          <w:rFonts w:ascii="Times New Roman" w:hAnsi="Times New Roman"/>
          <w:sz w:val="22"/>
          <w:szCs w:val="22"/>
        </w:rPr>
      </w:pPr>
      <w:r w:rsidRPr="00CD66A1">
        <w:rPr>
          <w:rFonts w:ascii="Times New Roman" w:hAnsi="Times New Roman"/>
          <w:sz w:val="22"/>
          <w:szCs w:val="22"/>
        </w:rPr>
        <w:t>Garantir la supervision périodique de la mise en œuvre du CGES.</w:t>
      </w:r>
    </w:p>
    <w:p w:rsidR="00D3691B" w:rsidRPr="004D1BD0" w:rsidRDefault="00D3691B" w:rsidP="0060566C">
      <w:pPr>
        <w:autoSpaceDE w:val="0"/>
        <w:autoSpaceDN w:val="0"/>
        <w:adjustRightInd w:val="0"/>
        <w:ind w:left="142" w:right="-851"/>
        <w:jc w:val="both"/>
      </w:pPr>
      <w:r w:rsidRPr="004D1BD0">
        <w:t>Cette même démarche est également réalisée avec les autres services techniques qui sont désignés comme Point Focal et qui travaillent avec le Coordonnateur régional du projet.</w:t>
      </w:r>
    </w:p>
    <w:p w:rsidR="00D3691B" w:rsidRPr="004D1BD0" w:rsidRDefault="00D3691B" w:rsidP="0060566C">
      <w:pPr>
        <w:pStyle w:val="Cabealho3"/>
        <w:keepLines/>
        <w:numPr>
          <w:ilvl w:val="2"/>
          <w:numId w:val="112"/>
        </w:numPr>
        <w:spacing w:before="120" w:after="120"/>
        <w:ind w:left="1134" w:right="-851"/>
        <w:jc w:val="both"/>
        <w:rPr>
          <w:rFonts w:ascii="Times New Roman" w:hAnsi="Times New Roman"/>
          <w:sz w:val="24"/>
          <w:szCs w:val="24"/>
        </w:rPr>
      </w:pPr>
      <w:bookmarkStart w:id="321" w:name="_Toc55460174"/>
      <w:bookmarkStart w:id="322" w:name="_Toc55465567"/>
      <w:r w:rsidRPr="004D1BD0">
        <w:rPr>
          <w:rFonts w:ascii="Times New Roman" w:hAnsi="Times New Roman"/>
          <w:sz w:val="24"/>
          <w:szCs w:val="24"/>
        </w:rPr>
        <w:t>Mesures de renforcement technique</w:t>
      </w:r>
      <w:bookmarkEnd w:id="321"/>
      <w:bookmarkEnd w:id="322"/>
    </w:p>
    <w:p w:rsidR="00BA3A32" w:rsidRPr="004D1BD0" w:rsidRDefault="00D3691B" w:rsidP="0060566C">
      <w:pPr>
        <w:autoSpaceDE w:val="0"/>
        <w:autoSpaceDN w:val="0"/>
        <w:adjustRightInd w:val="0"/>
        <w:ind w:left="142" w:right="-851"/>
        <w:jc w:val="both"/>
      </w:pPr>
      <w:r w:rsidRPr="004D1BD0">
        <w:t>Les mesures de renforcement technique portent sur la proposition pour la réalisation et la mise en œuvre des études d'impact environnemental et social ; sur l'élabora</w:t>
      </w:r>
      <w:r w:rsidR="004D16F6" w:rsidRPr="004D1BD0">
        <w:t xml:space="preserve">tion d'un manuel de gestion du projet PUSA </w:t>
      </w:r>
      <w:r w:rsidRPr="004D1BD0">
        <w:t>et sur les bonnes pratiques de production agricole, sur le suivi-évaluation des activités du projet ;</w:t>
      </w:r>
    </w:p>
    <w:p w:rsidR="00D3691B" w:rsidRPr="004D1BD0" w:rsidRDefault="00D3691B" w:rsidP="0060566C">
      <w:pPr>
        <w:pStyle w:val="PargrafodaLista"/>
        <w:numPr>
          <w:ilvl w:val="0"/>
          <w:numId w:val="85"/>
        </w:numPr>
        <w:spacing w:before="60" w:after="60" w:line="240" w:lineRule="auto"/>
        <w:ind w:right="-851"/>
        <w:contextualSpacing w:val="0"/>
        <w:jc w:val="both"/>
        <w:rPr>
          <w:rFonts w:ascii="Times New Roman" w:hAnsi="Times New Roman"/>
          <w:b/>
          <w:bCs/>
          <w:i/>
          <w:iCs/>
          <w:sz w:val="24"/>
          <w:szCs w:val="24"/>
        </w:rPr>
      </w:pPr>
      <w:r w:rsidRPr="004D1BD0">
        <w:rPr>
          <w:rFonts w:ascii="Times New Roman" w:hAnsi="Times New Roman"/>
          <w:b/>
          <w:bCs/>
          <w:i/>
          <w:iCs/>
          <w:sz w:val="24"/>
          <w:szCs w:val="24"/>
        </w:rPr>
        <w:t>Provision pour la réalisation des</w:t>
      </w:r>
      <w:r w:rsidR="00A73BE0">
        <w:rPr>
          <w:rFonts w:ascii="Times New Roman" w:hAnsi="Times New Roman"/>
          <w:b/>
          <w:bCs/>
          <w:i/>
          <w:iCs/>
          <w:sz w:val="24"/>
          <w:szCs w:val="24"/>
        </w:rPr>
        <w:t xml:space="preserve"> AEI</w:t>
      </w:r>
      <w:r w:rsidRPr="004D1BD0">
        <w:rPr>
          <w:rFonts w:ascii="Times New Roman" w:hAnsi="Times New Roman"/>
          <w:b/>
          <w:bCs/>
          <w:i/>
          <w:iCs/>
          <w:sz w:val="24"/>
          <w:szCs w:val="24"/>
        </w:rPr>
        <w:t xml:space="preserve"> et leur mise en œuvre </w:t>
      </w:r>
    </w:p>
    <w:p w:rsidR="00BA3A32" w:rsidRPr="004D1BD0" w:rsidRDefault="00D3691B" w:rsidP="0060566C">
      <w:pPr>
        <w:autoSpaceDE w:val="0"/>
        <w:autoSpaceDN w:val="0"/>
        <w:adjustRightInd w:val="0"/>
        <w:ind w:left="142" w:right="-851"/>
        <w:jc w:val="both"/>
      </w:pPr>
      <w:r w:rsidRPr="004D1BD0">
        <w:t xml:space="preserve">Certaines activités du projet vont nécessiter la conduite d’évaluations environnementales approfondies accompagnées d'un Plan de Gestion environnementale et Sociale en vue d’atténuer, de réduire, ou de compenser leurs impacts négatifs sur les milieux biophysique et humain. Les services de consultants chargés de leurs élaborations et les coûts de mise en œuvre de leurs </w:t>
      </w:r>
      <w:r w:rsidR="00A73BE0">
        <w:t>AEI</w:t>
      </w:r>
      <w:r w:rsidRPr="004D1BD0">
        <w:t xml:space="preserve"> vont nécessiter des fonds qu’il convient de prévoir. En sus de cela, des activités exécutées sans évaluation environnementale et sociale préalable doivent faire l’objet d’audits environnementaux et sociaux. </w:t>
      </w:r>
    </w:p>
    <w:p w:rsidR="00D3691B" w:rsidRPr="004D1BD0" w:rsidRDefault="00D3691B" w:rsidP="0060566C">
      <w:pPr>
        <w:pStyle w:val="PargrafodaLista"/>
        <w:numPr>
          <w:ilvl w:val="0"/>
          <w:numId w:val="85"/>
        </w:numPr>
        <w:spacing w:before="60" w:after="60" w:line="240" w:lineRule="auto"/>
        <w:ind w:right="-851"/>
        <w:contextualSpacing w:val="0"/>
        <w:jc w:val="both"/>
        <w:rPr>
          <w:rFonts w:ascii="Times New Roman" w:hAnsi="Times New Roman"/>
          <w:b/>
          <w:bCs/>
          <w:i/>
          <w:iCs/>
          <w:sz w:val="24"/>
          <w:szCs w:val="24"/>
        </w:rPr>
      </w:pPr>
      <w:r w:rsidRPr="004D1BD0">
        <w:rPr>
          <w:rFonts w:ascii="Times New Roman" w:hAnsi="Times New Roman"/>
          <w:b/>
          <w:bCs/>
          <w:i/>
          <w:iCs/>
          <w:sz w:val="24"/>
          <w:szCs w:val="24"/>
        </w:rPr>
        <w:t>Suivi et Evaluation des activités du projet</w:t>
      </w:r>
    </w:p>
    <w:p w:rsidR="00D3691B" w:rsidRPr="004D1BD0" w:rsidRDefault="00D3691B" w:rsidP="0060566C">
      <w:pPr>
        <w:autoSpaceDE w:val="0"/>
        <w:autoSpaceDN w:val="0"/>
        <w:adjustRightInd w:val="0"/>
        <w:ind w:left="142" w:right="-851"/>
        <w:jc w:val="both"/>
      </w:pPr>
      <w:r w:rsidRPr="004D1BD0">
        <w:t xml:space="preserve">Le programme va porter sur la surveillance, le suivi, la supervision, l'évaluation à mi-parcours et l'évaluation annuelle. Le suivi sera permanent et sera toutefois, complété par des missions de supervision. La surveillance de proximité est confiée aux bureaux de contrôle, sous la supervision de </w:t>
      </w:r>
      <w:r w:rsidR="004616A0" w:rsidRPr="004D1BD0">
        <w:t>l’AAAC</w:t>
      </w:r>
      <w:r w:rsidRPr="004D1BD0">
        <w:t xml:space="preserve"> avec l'implication des Commissions environnementales, de réclamation. Un budget relatif au suivi doit être prévu. Le suivi externe est assuré par le C</w:t>
      </w:r>
      <w:r w:rsidR="009670DF">
        <w:t xml:space="preserve">omité </w:t>
      </w:r>
      <w:r w:rsidR="00F15A3F">
        <w:t>régional de suivi environnemental</w:t>
      </w:r>
      <w:r w:rsidR="00400F54">
        <w:t xml:space="preserve"> (CRSE)</w:t>
      </w:r>
      <w:r w:rsidRPr="004D1BD0">
        <w:t xml:space="preserve">, sous la coordination de </w:t>
      </w:r>
      <w:r w:rsidR="00F57D1D" w:rsidRPr="004D1BD0">
        <w:t>l’AAAC</w:t>
      </w:r>
      <w:r w:rsidRPr="004D1BD0">
        <w:t xml:space="preserve">. </w:t>
      </w:r>
    </w:p>
    <w:p w:rsidR="00D3691B" w:rsidRPr="004D1BD0" w:rsidRDefault="00D3691B" w:rsidP="0060566C">
      <w:pPr>
        <w:autoSpaceDE w:val="0"/>
        <w:autoSpaceDN w:val="0"/>
        <w:adjustRightInd w:val="0"/>
        <w:ind w:left="142" w:right="-851"/>
        <w:jc w:val="both"/>
      </w:pPr>
      <w:r w:rsidRPr="004D1BD0">
        <w:t>Quant à l’évaluation qui consiste à marquer une halte pour faire le point et apporter des réajustements dans la dynamique d’ensemble visant à atteindre les objectifs fixés, elle interviendra au stade de mi-parcours et au terme du projet. Le comité technique va assurer la supervision environnementale et sociale et pourra renseigner le comité de pilotage. En plus, le suivi va nécessiter au besoin des analyses de laboratoires (physicochimiques, biologiques et bactériologiques, toxicologiques et sanitaires).</w:t>
      </w:r>
    </w:p>
    <w:p w:rsidR="00D3691B" w:rsidRPr="004D1BD0" w:rsidRDefault="00D3691B" w:rsidP="0060566C">
      <w:pPr>
        <w:pStyle w:val="Cabealho3"/>
        <w:keepLines/>
        <w:numPr>
          <w:ilvl w:val="2"/>
          <w:numId w:val="112"/>
        </w:numPr>
        <w:spacing w:before="120" w:after="120"/>
        <w:ind w:left="1134" w:right="-851"/>
        <w:jc w:val="both"/>
        <w:rPr>
          <w:rFonts w:ascii="Times New Roman" w:hAnsi="Times New Roman"/>
          <w:sz w:val="24"/>
          <w:szCs w:val="24"/>
        </w:rPr>
      </w:pPr>
      <w:bookmarkStart w:id="323" w:name="_Toc55460175"/>
      <w:bookmarkStart w:id="324" w:name="_Toc55465568"/>
      <w:r w:rsidRPr="004D1BD0">
        <w:rPr>
          <w:rFonts w:ascii="Times New Roman" w:hAnsi="Times New Roman"/>
          <w:sz w:val="24"/>
          <w:szCs w:val="24"/>
        </w:rPr>
        <w:t>Formation des acteurs impliqués dans la mise en œuvre du projet</w:t>
      </w:r>
      <w:bookmarkEnd w:id="323"/>
      <w:bookmarkEnd w:id="324"/>
    </w:p>
    <w:p w:rsidR="00D3691B" w:rsidRPr="004D1BD0" w:rsidRDefault="00D3691B" w:rsidP="0060566C">
      <w:pPr>
        <w:autoSpaceDE w:val="0"/>
        <w:autoSpaceDN w:val="0"/>
        <w:adjustRightInd w:val="0"/>
        <w:ind w:left="142" w:right="-851"/>
        <w:jc w:val="both"/>
      </w:pPr>
      <w:r w:rsidRPr="004D1BD0">
        <w:t>La formation en gestion environnementale et sociale va concerner l'Unité de Coordination du Projet et les services techniques partenaires (bénéficiant d'un protocole d'intervention) sur les enjeux environnementaux et sociaux</w:t>
      </w:r>
      <w:r w:rsidR="008205AD">
        <w:t>,</w:t>
      </w:r>
      <w:r w:rsidRPr="004D1BD0">
        <w:t xml:space="preserve"> </w:t>
      </w:r>
      <w:r w:rsidR="008205AD">
        <w:t xml:space="preserve">y compris ceux d’EAS/HS </w:t>
      </w:r>
      <w:r w:rsidRPr="004D1BD0">
        <w:t xml:space="preserve">liés à la mise en œuvre des activités du projet </w:t>
      </w:r>
      <w:r w:rsidR="00BA39BF" w:rsidRPr="004D1BD0">
        <w:t xml:space="preserve">PUSA </w:t>
      </w:r>
      <w:r w:rsidRPr="004D1BD0">
        <w:t xml:space="preserve">d'amélioration de la sécurité alimentaire. Ces acteurs </w:t>
      </w:r>
      <w:r w:rsidR="00BA39BF" w:rsidRPr="004D1BD0">
        <w:t xml:space="preserve">ont la responsabilité d'assurer </w:t>
      </w:r>
      <w:r w:rsidRPr="004D1BD0">
        <w:t xml:space="preserve">l'intégration de la dimension environnementale et sociale dans les </w:t>
      </w:r>
      <w:r w:rsidR="00D03404" w:rsidRPr="004D1BD0">
        <w:t xml:space="preserve">sous </w:t>
      </w:r>
      <w:r w:rsidRPr="004D1BD0">
        <w:t>projets. Ils assurent chacun en ce qui le concerne les études, le suivi ou le contrôle envir</w:t>
      </w:r>
      <w:r w:rsidR="005B4527" w:rsidRPr="004D1BD0">
        <w:t>onnemental des projets</w:t>
      </w:r>
      <w:r w:rsidRPr="004D1BD0">
        <w:t>.</w:t>
      </w:r>
    </w:p>
    <w:p w:rsidR="00D3691B" w:rsidRPr="004D1BD0" w:rsidRDefault="00D3691B" w:rsidP="0060566C">
      <w:pPr>
        <w:autoSpaceDE w:val="0"/>
        <w:autoSpaceDN w:val="0"/>
        <w:adjustRightInd w:val="0"/>
        <w:ind w:left="142" w:right="-851"/>
        <w:jc w:val="both"/>
      </w:pPr>
      <w:r w:rsidRPr="004D1BD0">
        <w:t xml:space="preserve">Il consiste à organiser un atelier régional de formation pour imprégner les différents acteurs partenaires impliqués dans le suivi des travaux prévus dans les dispositions du CGES. Les sujets seront centrés autour </w:t>
      </w:r>
    </w:p>
    <w:p w:rsidR="00D3691B" w:rsidRPr="00527FF0" w:rsidRDefault="00D3691B" w:rsidP="0060566C">
      <w:pPr>
        <w:pStyle w:val="PargrafodaLista"/>
        <w:numPr>
          <w:ilvl w:val="0"/>
          <w:numId w:val="86"/>
        </w:numPr>
        <w:spacing w:before="60" w:after="60" w:line="240" w:lineRule="auto"/>
        <w:ind w:right="-851"/>
        <w:jc w:val="both"/>
        <w:rPr>
          <w:rFonts w:ascii="Times New Roman" w:hAnsi="Times New Roman"/>
          <w:sz w:val="22"/>
          <w:szCs w:val="22"/>
        </w:rPr>
      </w:pPr>
      <w:r w:rsidRPr="00527FF0">
        <w:rPr>
          <w:rFonts w:ascii="Times New Roman" w:hAnsi="Times New Roman"/>
          <w:sz w:val="22"/>
          <w:szCs w:val="22"/>
        </w:rPr>
        <w:t xml:space="preserve">Des enjeux environnementaux et sociaux des </w:t>
      </w:r>
      <w:r w:rsidR="00FF26A9" w:rsidRPr="00527FF0">
        <w:rPr>
          <w:rFonts w:ascii="Times New Roman" w:hAnsi="Times New Roman"/>
          <w:sz w:val="22"/>
          <w:szCs w:val="22"/>
        </w:rPr>
        <w:t xml:space="preserve">sous </w:t>
      </w:r>
      <w:r w:rsidR="000B3509" w:rsidRPr="00527FF0">
        <w:rPr>
          <w:rFonts w:ascii="Times New Roman" w:hAnsi="Times New Roman"/>
          <w:sz w:val="22"/>
          <w:szCs w:val="22"/>
        </w:rPr>
        <w:t>projet </w:t>
      </w:r>
      <w:r w:rsidR="00ED5B49" w:rsidRPr="00527FF0">
        <w:rPr>
          <w:rFonts w:ascii="Times New Roman" w:hAnsi="Times New Roman"/>
          <w:sz w:val="22"/>
          <w:szCs w:val="22"/>
        </w:rPr>
        <w:t>PUSA ;</w:t>
      </w:r>
    </w:p>
    <w:p w:rsidR="00D3691B" w:rsidRPr="00527FF0" w:rsidRDefault="00D3691B" w:rsidP="0060566C">
      <w:pPr>
        <w:pStyle w:val="PargrafodaLista"/>
        <w:numPr>
          <w:ilvl w:val="0"/>
          <w:numId w:val="86"/>
        </w:numPr>
        <w:spacing w:before="60" w:after="60" w:line="240" w:lineRule="auto"/>
        <w:ind w:right="-851"/>
        <w:jc w:val="both"/>
        <w:rPr>
          <w:rFonts w:ascii="Times New Roman" w:hAnsi="Times New Roman"/>
          <w:sz w:val="22"/>
          <w:szCs w:val="22"/>
        </w:rPr>
      </w:pPr>
      <w:r w:rsidRPr="00527FF0">
        <w:rPr>
          <w:rFonts w:ascii="Times New Roman" w:hAnsi="Times New Roman"/>
          <w:sz w:val="22"/>
          <w:szCs w:val="22"/>
        </w:rPr>
        <w:t>De l'hygiène et la sécurité des travailleurs ;</w:t>
      </w:r>
    </w:p>
    <w:p w:rsidR="00D3691B" w:rsidRPr="00527FF0" w:rsidRDefault="00D3691B" w:rsidP="0060566C">
      <w:pPr>
        <w:pStyle w:val="PargrafodaLista"/>
        <w:numPr>
          <w:ilvl w:val="0"/>
          <w:numId w:val="86"/>
        </w:numPr>
        <w:spacing w:before="60" w:after="60" w:line="240" w:lineRule="auto"/>
        <w:ind w:right="-851"/>
        <w:jc w:val="both"/>
        <w:rPr>
          <w:rFonts w:ascii="Times New Roman" w:hAnsi="Times New Roman"/>
          <w:sz w:val="22"/>
          <w:szCs w:val="22"/>
        </w:rPr>
      </w:pPr>
      <w:r w:rsidRPr="00527FF0">
        <w:rPr>
          <w:rFonts w:ascii="Times New Roman" w:hAnsi="Times New Roman"/>
          <w:sz w:val="22"/>
          <w:szCs w:val="22"/>
        </w:rPr>
        <w:t>Des réglementations environnementales et sociales appropriées ;</w:t>
      </w:r>
    </w:p>
    <w:p w:rsidR="00D3691B" w:rsidRPr="00527FF0" w:rsidRDefault="00D3691B" w:rsidP="0060566C">
      <w:pPr>
        <w:pStyle w:val="PargrafodaLista"/>
        <w:numPr>
          <w:ilvl w:val="0"/>
          <w:numId w:val="86"/>
        </w:numPr>
        <w:spacing w:before="60" w:after="60" w:line="240" w:lineRule="auto"/>
        <w:ind w:right="-851"/>
        <w:jc w:val="both"/>
        <w:rPr>
          <w:rFonts w:ascii="Times New Roman" w:hAnsi="Times New Roman"/>
          <w:sz w:val="22"/>
          <w:szCs w:val="22"/>
        </w:rPr>
      </w:pPr>
      <w:r w:rsidRPr="00527FF0">
        <w:rPr>
          <w:rFonts w:ascii="Times New Roman" w:hAnsi="Times New Roman"/>
          <w:sz w:val="22"/>
          <w:szCs w:val="22"/>
        </w:rPr>
        <w:t>Des directives de la B</w:t>
      </w:r>
      <w:r w:rsidR="000B3509" w:rsidRPr="00527FF0">
        <w:rPr>
          <w:rFonts w:ascii="Times New Roman" w:hAnsi="Times New Roman"/>
          <w:sz w:val="22"/>
          <w:szCs w:val="22"/>
        </w:rPr>
        <w:t xml:space="preserve">anque Mondiale </w:t>
      </w:r>
      <w:r w:rsidR="00070C2A" w:rsidRPr="00527FF0">
        <w:rPr>
          <w:rFonts w:ascii="Times New Roman" w:hAnsi="Times New Roman"/>
          <w:sz w:val="22"/>
          <w:szCs w:val="22"/>
        </w:rPr>
        <w:t>et de la FAO</w:t>
      </w:r>
    </w:p>
    <w:p w:rsidR="00D3691B" w:rsidRPr="00527FF0" w:rsidRDefault="00D3691B" w:rsidP="0060566C">
      <w:pPr>
        <w:pStyle w:val="PargrafodaLista"/>
        <w:numPr>
          <w:ilvl w:val="0"/>
          <w:numId w:val="86"/>
        </w:numPr>
        <w:spacing w:before="60" w:after="60" w:line="240" w:lineRule="auto"/>
        <w:ind w:right="-851"/>
        <w:jc w:val="both"/>
        <w:rPr>
          <w:rFonts w:ascii="Times New Roman" w:hAnsi="Times New Roman"/>
          <w:sz w:val="22"/>
          <w:szCs w:val="22"/>
        </w:rPr>
      </w:pPr>
      <w:r w:rsidRPr="00527FF0">
        <w:rPr>
          <w:rFonts w:ascii="Times New Roman" w:hAnsi="Times New Roman"/>
          <w:sz w:val="22"/>
          <w:szCs w:val="22"/>
        </w:rPr>
        <w:t>Des méthodes d'évaluation environnementale.</w:t>
      </w:r>
    </w:p>
    <w:p w:rsidR="00237E86" w:rsidRPr="00527FF0" w:rsidRDefault="00D3691B" w:rsidP="0060566C">
      <w:pPr>
        <w:pStyle w:val="PargrafodaLista"/>
        <w:numPr>
          <w:ilvl w:val="0"/>
          <w:numId w:val="86"/>
        </w:numPr>
        <w:spacing w:before="60" w:after="60" w:line="240" w:lineRule="auto"/>
        <w:ind w:right="-851"/>
        <w:jc w:val="both"/>
        <w:rPr>
          <w:rFonts w:ascii="Times New Roman" w:hAnsi="Times New Roman"/>
          <w:sz w:val="22"/>
          <w:szCs w:val="22"/>
        </w:rPr>
      </w:pPr>
      <w:r w:rsidRPr="00527FF0">
        <w:rPr>
          <w:rFonts w:ascii="Times New Roman" w:hAnsi="Times New Roman"/>
          <w:sz w:val="22"/>
          <w:szCs w:val="22"/>
        </w:rPr>
        <w:t xml:space="preserve">Le développement durable et le changement climatique. </w:t>
      </w:r>
    </w:p>
    <w:p w:rsidR="00D3691B" w:rsidRPr="004D1BD0" w:rsidRDefault="00D3691B" w:rsidP="0060566C">
      <w:pPr>
        <w:autoSpaceDE w:val="0"/>
        <w:autoSpaceDN w:val="0"/>
        <w:adjustRightInd w:val="0"/>
        <w:ind w:left="142" w:right="-851"/>
        <w:jc w:val="both"/>
      </w:pPr>
      <w:r w:rsidRPr="004D1BD0">
        <w:t>La formation vise aussi à renforcer leur compétence en matière d'évaluation environnementale, de contrôle environnemental des travaux et de suivi environnemental afin qu'ils puissent jouer leur rôle respectif de manière plus efficace dans la mise en œuvre des projets.</w:t>
      </w:r>
    </w:p>
    <w:p w:rsidR="00D3691B" w:rsidRPr="00A05698" w:rsidRDefault="00D3691B" w:rsidP="0060566C">
      <w:pPr>
        <w:autoSpaceDE w:val="0"/>
        <w:autoSpaceDN w:val="0"/>
        <w:adjustRightInd w:val="0"/>
        <w:ind w:left="142" w:right="-851"/>
        <w:jc w:val="both"/>
      </w:pPr>
      <w:r w:rsidRPr="004D1BD0">
        <w:t xml:space="preserve">Des formateurs qualifiés seront recrutés par le projet </w:t>
      </w:r>
      <w:r w:rsidR="000B6994" w:rsidRPr="004D1BD0">
        <w:t xml:space="preserve">PUSA </w:t>
      </w:r>
      <w:r w:rsidRPr="004D1BD0">
        <w:t>et appuyés, au be</w:t>
      </w:r>
      <w:r w:rsidR="000B6994" w:rsidRPr="004D1BD0">
        <w:t>soin, par les agents de l’AAAC</w:t>
      </w:r>
      <w:r w:rsidRPr="004D1BD0">
        <w:t xml:space="preserve"> avec l'appui de consultants nationaux en évaluation environnementale et</w:t>
      </w:r>
      <w:r w:rsidRPr="00A05698">
        <w:t xml:space="preserve"> sociale.</w:t>
      </w:r>
    </w:p>
    <w:p w:rsidR="00D3691B" w:rsidRPr="004D1BD0" w:rsidRDefault="00D3691B" w:rsidP="0060566C">
      <w:pPr>
        <w:pStyle w:val="PargrafodaLista"/>
        <w:numPr>
          <w:ilvl w:val="0"/>
          <w:numId w:val="61"/>
        </w:numPr>
        <w:spacing w:before="120" w:after="120" w:line="240" w:lineRule="auto"/>
        <w:ind w:left="426" w:right="-851"/>
        <w:jc w:val="both"/>
        <w:rPr>
          <w:rFonts w:ascii="Times New Roman" w:hAnsi="Times New Roman"/>
          <w:b/>
          <w:i/>
          <w:sz w:val="24"/>
          <w:szCs w:val="24"/>
        </w:rPr>
      </w:pPr>
      <w:r w:rsidRPr="004D1BD0">
        <w:rPr>
          <w:rFonts w:ascii="Times New Roman" w:hAnsi="Times New Roman"/>
          <w:b/>
          <w:i/>
          <w:sz w:val="24"/>
          <w:szCs w:val="24"/>
        </w:rPr>
        <w:t>Modules de formation</w:t>
      </w:r>
    </w:p>
    <w:p w:rsidR="00D3691B" w:rsidRPr="004D1BD0" w:rsidRDefault="00D3691B" w:rsidP="0060566C">
      <w:pPr>
        <w:autoSpaceDE w:val="0"/>
        <w:autoSpaceDN w:val="0"/>
        <w:adjustRightInd w:val="0"/>
        <w:ind w:left="142" w:right="-851"/>
        <w:jc w:val="both"/>
      </w:pPr>
      <w:r w:rsidRPr="004D1BD0">
        <w:t>Les modules de formation ont été élaborés sur la base de consultations itératives des partenaires ayant signé un protocole d'accord avec le projet</w:t>
      </w:r>
      <w:r w:rsidR="000B6994" w:rsidRPr="004D1BD0">
        <w:t xml:space="preserve"> PUSA</w:t>
      </w:r>
      <w:r w:rsidRPr="004D1BD0">
        <w:t xml:space="preserve">. </w:t>
      </w:r>
    </w:p>
    <w:p w:rsidR="00D3691B" w:rsidRPr="004D1BD0" w:rsidRDefault="00D3691B" w:rsidP="0060566C">
      <w:pPr>
        <w:autoSpaceDE w:val="0"/>
        <w:autoSpaceDN w:val="0"/>
        <w:adjustRightInd w:val="0"/>
        <w:ind w:left="142" w:right="-851"/>
        <w:jc w:val="both"/>
      </w:pPr>
      <w:r w:rsidRPr="004D1BD0">
        <w:t xml:space="preserve">Les activités de renforcement vont accompagner la mise en œuvre des actions de production agricoles, </w:t>
      </w:r>
      <w:r w:rsidR="00A40864" w:rsidRPr="004D1BD0">
        <w:t xml:space="preserve">de la gestion </w:t>
      </w:r>
      <w:r w:rsidR="000E1A4B" w:rsidRPr="004D1BD0">
        <w:t>des risques</w:t>
      </w:r>
      <w:r w:rsidR="00A40864" w:rsidRPr="004D1BD0">
        <w:t xml:space="preserve"> </w:t>
      </w:r>
      <w:r w:rsidR="00D74B9C" w:rsidRPr="004D1BD0">
        <w:t xml:space="preserve">liées à la </w:t>
      </w:r>
      <w:r w:rsidR="001D67C3" w:rsidRPr="004D1BD0">
        <w:t>pandémie, de</w:t>
      </w:r>
      <w:r w:rsidRPr="004D1BD0">
        <w:t xml:space="preserve"> la gestion des pesticides et de la gestion des </w:t>
      </w:r>
      <w:r w:rsidR="008829BD" w:rsidRPr="004D1BD0">
        <w:t>déchets</w:t>
      </w:r>
      <w:r w:rsidRPr="004D1BD0">
        <w:t>. Il s’agira de doter les producteurs de nouvelles capacités techniques et organisationnelles, en partant de la situation existante. L’</w:t>
      </w:r>
      <w:r w:rsidR="001D67C3" w:rsidRPr="004D1BD0">
        <w:t>objectif</w:t>
      </w:r>
      <w:r w:rsidRPr="004D1BD0">
        <w:t xml:space="preserve"> est d’optimiser la valorisation des infrastructures mis en place tout en assurant un transfert de compétences en vue de pérennisation. </w:t>
      </w:r>
    </w:p>
    <w:p w:rsidR="00D3691B" w:rsidRPr="004D1BD0" w:rsidRDefault="00D3691B" w:rsidP="0060566C">
      <w:pPr>
        <w:autoSpaceDE w:val="0"/>
        <w:autoSpaceDN w:val="0"/>
        <w:adjustRightInd w:val="0"/>
        <w:ind w:left="142" w:right="-851"/>
        <w:jc w:val="both"/>
      </w:pPr>
      <w:r w:rsidRPr="004D1BD0">
        <w:t>Pour ce faire, des programmes de formation, d’appui à l’organisation et à la structuration s</w:t>
      </w:r>
      <w:r w:rsidR="004F3A22" w:rsidRPr="004D1BD0">
        <w:t>eront menées</w:t>
      </w:r>
      <w:r w:rsidRPr="004D1BD0">
        <w:t xml:space="preserve"> pour les bénéficiaires directs des activités. Un accent sera également mis sur le renforcement des capacités des acteurs locaux impliqués dans la mise en œuvre des actions, comme les collectivités </w:t>
      </w:r>
      <w:r w:rsidR="001D67C3" w:rsidRPr="004D1BD0">
        <w:t>territoriales.</w:t>
      </w:r>
    </w:p>
    <w:p w:rsidR="00237E86" w:rsidRPr="004D1BD0" w:rsidRDefault="00D3691B" w:rsidP="0060566C">
      <w:pPr>
        <w:autoSpaceDE w:val="0"/>
        <w:autoSpaceDN w:val="0"/>
        <w:adjustRightInd w:val="0"/>
        <w:ind w:left="142" w:right="-851"/>
        <w:jc w:val="both"/>
      </w:pPr>
      <w:r w:rsidRPr="004D1BD0">
        <w:t xml:space="preserve">Dans le but d’accompagner la valorisation des infrastructures de l’Agropole centre, diverses mesures de formation seront mises en </w:t>
      </w:r>
      <w:r w:rsidR="001D67C3" w:rsidRPr="004D1BD0">
        <w:t>œuvre</w:t>
      </w:r>
      <w:r w:rsidRPr="004D1BD0">
        <w:t xml:space="preserve"> pour accompagner les bénéficiaires du projet.</w:t>
      </w:r>
    </w:p>
    <w:p w:rsidR="00D3691B" w:rsidRPr="004D1BD0" w:rsidRDefault="00D3691B" w:rsidP="0060566C">
      <w:pPr>
        <w:pStyle w:val="PargrafodaLista"/>
        <w:numPr>
          <w:ilvl w:val="0"/>
          <w:numId w:val="87"/>
        </w:numPr>
        <w:spacing w:before="40" w:after="40" w:line="240" w:lineRule="auto"/>
        <w:ind w:left="851" w:right="-851" w:hanging="284"/>
        <w:jc w:val="both"/>
        <w:rPr>
          <w:rFonts w:ascii="Times New Roman" w:hAnsi="Times New Roman"/>
          <w:b/>
          <w:i/>
          <w:sz w:val="24"/>
          <w:szCs w:val="24"/>
        </w:rPr>
      </w:pPr>
      <w:r w:rsidRPr="004D1BD0">
        <w:rPr>
          <w:rFonts w:ascii="Times New Roman" w:hAnsi="Times New Roman"/>
          <w:b/>
          <w:i/>
          <w:sz w:val="24"/>
          <w:szCs w:val="24"/>
        </w:rPr>
        <w:t>Formation sur les activités agricoles portant</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Sur les techniques de mise en place et de suivi des pépinières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Sur les techniques de repiquage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Sur les techniques de fertilisation (minérale et organique)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Sur les techniques d'entretien des cultures (surveillance phytosanitaire)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Sur les techniques de récolte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Sur les techniques d’utilisation des appareils de traitement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Sur les techniques de stockage et de conservation des produits agricoles ;</w:t>
      </w:r>
    </w:p>
    <w:p w:rsidR="00D3691B" w:rsidRPr="00527FF0" w:rsidRDefault="00D3691B" w:rsidP="0060566C">
      <w:pPr>
        <w:pStyle w:val="PargrafodaLista"/>
        <w:numPr>
          <w:ilvl w:val="0"/>
          <w:numId w:val="86"/>
        </w:numPr>
        <w:spacing w:before="40" w:after="40" w:line="240" w:lineRule="auto"/>
        <w:ind w:left="1134" w:right="-851" w:hanging="357"/>
        <w:contextualSpacing w:val="0"/>
        <w:jc w:val="both"/>
        <w:rPr>
          <w:rFonts w:ascii="Times New Roman" w:hAnsi="Times New Roman"/>
          <w:sz w:val="22"/>
          <w:szCs w:val="22"/>
        </w:rPr>
      </w:pPr>
      <w:r w:rsidRPr="00527FF0">
        <w:rPr>
          <w:rFonts w:ascii="Times New Roman" w:hAnsi="Times New Roman"/>
          <w:sz w:val="22"/>
          <w:szCs w:val="22"/>
        </w:rPr>
        <w:t>Sur les systèmes d’information du marché.</w:t>
      </w:r>
    </w:p>
    <w:p w:rsidR="00D3691B" w:rsidRPr="004D1BD0" w:rsidRDefault="00D3691B" w:rsidP="0060566C">
      <w:pPr>
        <w:pStyle w:val="PargrafodaLista"/>
        <w:numPr>
          <w:ilvl w:val="0"/>
          <w:numId w:val="87"/>
        </w:numPr>
        <w:spacing w:before="40" w:after="40" w:line="240" w:lineRule="auto"/>
        <w:ind w:left="851" w:right="-851" w:hanging="284"/>
        <w:jc w:val="both"/>
        <w:rPr>
          <w:rFonts w:ascii="Times New Roman" w:hAnsi="Times New Roman"/>
          <w:b/>
          <w:i/>
          <w:sz w:val="24"/>
          <w:szCs w:val="24"/>
        </w:rPr>
      </w:pPr>
      <w:r w:rsidRPr="004D1BD0">
        <w:rPr>
          <w:rFonts w:ascii="Times New Roman" w:hAnsi="Times New Roman"/>
          <w:b/>
          <w:i/>
          <w:sz w:val="24"/>
          <w:szCs w:val="24"/>
        </w:rPr>
        <w:t xml:space="preserve">Formation sur les évaluations environnementales et sociales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 xml:space="preserve">Bonne connaissance des procédures d’organisation et de conduite des EIES ;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 xml:space="preserve">Appréciation objective du contenu des rapports d’EIES ; </w:t>
      </w:r>
    </w:p>
    <w:p w:rsidR="008205AD"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Connaissance des procédures environ</w:t>
      </w:r>
      <w:r w:rsidR="002078CA" w:rsidRPr="00527FF0">
        <w:rPr>
          <w:rFonts w:ascii="Times New Roman" w:hAnsi="Times New Roman"/>
          <w:sz w:val="22"/>
          <w:szCs w:val="22"/>
        </w:rPr>
        <w:t>nementales et sociales de la Banque Mondiale</w:t>
      </w:r>
      <w:r w:rsidR="008205AD" w:rsidRPr="00527FF0">
        <w:rPr>
          <w:rFonts w:ascii="Times New Roman" w:hAnsi="Times New Roman"/>
          <w:sz w:val="22"/>
          <w:szCs w:val="22"/>
        </w:rPr>
        <w:t xml:space="preserve"> (dont ces liées a la prévention et repose aux EAS/HS;</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 xml:space="preserve"> Utilisation des rapports d’EIES dans l’appréciation de la situation de référence, des résultats et des impacts des activités du Projet ;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 xml:space="preserve">Connaissance du processus de suivi de la mise en œuvre des EIES ;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Intégration du genre dans les activités de développement rural.</w:t>
      </w:r>
    </w:p>
    <w:p w:rsidR="00D3691B" w:rsidRPr="004D1BD0" w:rsidRDefault="00D3691B" w:rsidP="0060566C">
      <w:pPr>
        <w:pStyle w:val="PargrafodaLista"/>
        <w:numPr>
          <w:ilvl w:val="0"/>
          <w:numId w:val="87"/>
        </w:numPr>
        <w:spacing w:before="40" w:after="40" w:line="240" w:lineRule="auto"/>
        <w:ind w:left="851" w:right="-851" w:hanging="284"/>
        <w:jc w:val="both"/>
        <w:rPr>
          <w:rFonts w:ascii="Times New Roman" w:hAnsi="Times New Roman"/>
          <w:b/>
          <w:i/>
          <w:sz w:val="24"/>
          <w:szCs w:val="24"/>
        </w:rPr>
      </w:pPr>
      <w:r w:rsidRPr="004D1BD0">
        <w:rPr>
          <w:rFonts w:ascii="Times New Roman" w:hAnsi="Times New Roman"/>
          <w:b/>
          <w:i/>
          <w:sz w:val="24"/>
          <w:szCs w:val="24"/>
        </w:rPr>
        <w:t xml:space="preserve"> Formation sur le suivi environnemental et social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 xml:space="preserve">Comment vérifier l’introduction dans les contrats de l’entrepreneur chargé des travaux des clauses environnementales et vérifier la conformité de ces dites clauses ;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 xml:space="preserve">Comment faire respecter et appliquer les lois et règlements sur l’environnement ;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 xml:space="preserve">Comment recommander des mesures appropriées en vue de minimiser les impacts ;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Comment faire le point sur le suivi général des recommandations émises dans l’étude d’impact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 xml:space="preserve">Comment s’assurer de l’effectivité de la mise en œuvre des actions de sensibilisation des populations sur la protection et la gestion de l’environnement ; </w:t>
      </w:r>
    </w:p>
    <w:p w:rsidR="00D3691B" w:rsidRPr="00527FF0"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527FF0">
        <w:rPr>
          <w:rFonts w:ascii="Times New Roman" w:hAnsi="Times New Roman"/>
          <w:sz w:val="22"/>
          <w:szCs w:val="22"/>
        </w:rPr>
        <w:t xml:space="preserve">Comment s’assurer de l’effectivité de la prise en compte du genre. </w:t>
      </w:r>
    </w:p>
    <w:p w:rsidR="00D3691B" w:rsidRPr="004D1BD0" w:rsidRDefault="00D3691B" w:rsidP="0060566C">
      <w:pPr>
        <w:pStyle w:val="PargrafodaLista"/>
        <w:numPr>
          <w:ilvl w:val="0"/>
          <w:numId w:val="87"/>
        </w:numPr>
        <w:spacing w:before="40" w:after="40" w:line="240" w:lineRule="auto"/>
        <w:ind w:left="851" w:right="-851" w:hanging="284"/>
        <w:jc w:val="both"/>
        <w:rPr>
          <w:rFonts w:ascii="Times New Roman" w:hAnsi="Times New Roman"/>
          <w:b/>
          <w:i/>
          <w:sz w:val="24"/>
          <w:szCs w:val="24"/>
        </w:rPr>
      </w:pPr>
      <w:r w:rsidRPr="004D1BD0">
        <w:rPr>
          <w:rFonts w:ascii="Times New Roman" w:hAnsi="Times New Roman"/>
          <w:b/>
          <w:i/>
          <w:sz w:val="24"/>
          <w:szCs w:val="24"/>
        </w:rPr>
        <w:t xml:space="preserve">Formation sur la gestion des ressources naturelles et de l’environnement (GRNE)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Bonne connaissance des objectifs de la GRNE dans le cadre d’un développement durable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Bonne identification de la situation de référence, des contraintes et atouts d’une bonne GRNE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Meilleure connaissance des principes, techniques et outils de conservation dura</w:t>
      </w:r>
      <w:r w:rsidR="00D7539E">
        <w:rPr>
          <w:rFonts w:ascii="Times New Roman" w:hAnsi="Times New Roman"/>
          <w:sz w:val="22"/>
          <w:szCs w:val="22"/>
        </w:rPr>
        <w:t xml:space="preserve">ble des ressources naturelles </w:t>
      </w:r>
    </w:p>
    <w:p w:rsidR="00D3691B" w:rsidRPr="00D7539E" w:rsidRDefault="00E04182"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Élaboration</w:t>
      </w:r>
      <w:r w:rsidR="00D3691B" w:rsidRPr="00D7539E">
        <w:rPr>
          <w:rFonts w:ascii="Times New Roman" w:hAnsi="Times New Roman"/>
          <w:sz w:val="22"/>
          <w:szCs w:val="22"/>
        </w:rPr>
        <w:t xml:space="preserve"> d’indicateurs de suivi/évaluation des activités de GRNE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Formation sur la gestion de l’eau d’alimentation humaine et sur la lutte contre les vecteurs des maladies liées à l’eau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Bonne connaissance par rapport aux développements durables et le changement climatique.</w:t>
      </w:r>
    </w:p>
    <w:p w:rsidR="00D3691B" w:rsidRPr="004D1BD0" w:rsidRDefault="00D3691B" w:rsidP="0060566C">
      <w:pPr>
        <w:pStyle w:val="PargrafodaLista"/>
        <w:numPr>
          <w:ilvl w:val="0"/>
          <w:numId w:val="87"/>
        </w:numPr>
        <w:spacing w:before="40" w:after="40" w:line="240" w:lineRule="auto"/>
        <w:ind w:left="851" w:right="-851" w:hanging="284"/>
        <w:jc w:val="both"/>
        <w:rPr>
          <w:rFonts w:ascii="Times New Roman" w:hAnsi="Times New Roman"/>
          <w:b/>
          <w:i/>
          <w:sz w:val="24"/>
          <w:szCs w:val="24"/>
        </w:rPr>
      </w:pPr>
      <w:r w:rsidRPr="004D1BD0">
        <w:rPr>
          <w:rFonts w:ascii="Times New Roman" w:hAnsi="Times New Roman"/>
          <w:b/>
          <w:i/>
          <w:sz w:val="24"/>
          <w:szCs w:val="24"/>
        </w:rPr>
        <w:t xml:space="preserve">Formation sur la gestion des pesticides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Information sur les risques ainsi que les conseils de santé et de sécurité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Connaissances de base sur les procédures de manipulation et de gestion des risques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Port des équipements de protection et de sécurité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Risques liés au transport des pesticides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Procédures de manipulation, chargement et déchargement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Stockage des pesticides en milieu paysan ;</w:t>
      </w:r>
      <w:r w:rsidR="001F5CCB" w:rsidRPr="00D7539E">
        <w:rPr>
          <w:rFonts w:ascii="Times New Roman" w:hAnsi="Times New Roman"/>
          <w:sz w:val="22"/>
          <w:szCs w:val="22"/>
        </w:rPr>
        <w:t> </w:t>
      </w:r>
      <w:r w:rsidRPr="00D7539E">
        <w:rPr>
          <w:rFonts w:ascii="Times New Roman" w:hAnsi="Times New Roman"/>
          <w:sz w:val="22"/>
          <w:szCs w:val="22"/>
        </w:rPr>
        <w:t xml:space="preserve">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Gestion des emballages et pesticides usagés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Gestion des pesticides en cas d’épandage accidentel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Les mesures d’urgence et de secours en cas d’intoxication aux produits phytosanitaires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Le contrôle des émissions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La surveillance du processus et des résidus ; </w:t>
      </w:r>
    </w:p>
    <w:p w:rsidR="00D3691B" w:rsidRPr="00D7539E" w:rsidRDefault="00D3691B"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Elimination des stocks périmés.</w:t>
      </w:r>
    </w:p>
    <w:p w:rsidR="002F5402" w:rsidRPr="00974433" w:rsidRDefault="002F5402" w:rsidP="0060566C">
      <w:pPr>
        <w:pStyle w:val="PargrafodaLista"/>
        <w:numPr>
          <w:ilvl w:val="0"/>
          <w:numId w:val="87"/>
        </w:numPr>
        <w:spacing w:before="40" w:after="40" w:line="240" w:lineRule="auto"/>
        <w:ind w:left="851" w:right="-851" w:hanging="284"/>
        <w:jc w:val="both"/>
        <w:rPr>
          <w:rFonts w:ascii="Times New Roman" w:hAnsi="Times New Roman"/>
          <w:b/>
          <w:i/>
          <w:sz w:val="24"/>
          <w:szCs w:val="24"/>
        </w:rPr>
      </w:pPr>
      <w:r w:rsidRPr="00974433">
        <w:rPr>
          <w:rFonts w:ascii="Times New Roman" w:hAnsi="Times New Roman"/>
          <w:b/>
          <w:i/>
          <w:sz w:val="24"/>
          <w:szCs w:val="24"/>
        </w:rPr>
        <w:t>Formation sur la gestion de risques d’EAS/HS</w:t>
      </w:r>
    </w:p>
    <w:p w:rsidR="002F5402" w:rsidRPr="00D7539E" w:rsidRDefault="002F5402"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Les risques d’EAS/HS et leurs conséquences</w:t>
      </w:r>
    </w:p>
    <w:p w:rsidR="002F5402" w:rsidRPr="00D7539E" w:rsidRDefault="002F5402"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Le contenu du code de bonne conduite prohibant tout acte d’EAS/HS</w:t>
      </w:r>
    </w:p>
    <w:p w:rsidR="002F5402" w:rsidRPr="00D7539E" w:rsidRDefault="002F5402" w:rsidP="0060566C">
      <w:pPr>
        <w:pStyle w:val="PargrafodaLista"/>
        <w:numPr>
          <w:ilvl w:val="0"/>
          <w:numId w:val="86"/>
        </w:numPr>
        <w:spacing w:before="40" w:after="40" w:line="240" w:lineRule="auto"/>
        <w:ind w:left="1134" w:right="-851"/>
        <w:jc w:val="both"/>
        <w:rPr>
          <w:rFonts w:ascii="Times New Roman" w:hAnsi="Times New Roman"/>
          <w:sz w:val="22"/>
          <w:szCs w:val="22"/>
        </w:rPr>
      </w:pPr>
      <w:r w:rsidRPr="00D7539E">
        <w:rPr>
          <w:rFonts w:ascii="Times New Roman" w:hAnsi="Times New Roman"/>
          <w:sz w:val="22"/>
          <w:szCs w:val="22"/>
        </w:rPr>
        <w:t xml:space="preserve">Le processus du MGP sensible à l’EAS/HS, y compris le circuit de référencement vers les services spécialisés destinés aux survivant(e)s de VBG dans les zones d’intervention du projet </w:t>
      </w:r>
    </w:p>
    <w:p w:rsidR="0005793E" w:rsidRPr="004D1BD0" w:rsidRDefault="0005793E" w:rsidP="0060566C">
      <w:pPr>
        <w:pStyle w:val="PargrafodaLista"/>
        <w:spacing w:before="40" w:after="40" w:line="240" w:lineRule="auto"/>
        <w:ind w:left="0" w:right="-851"/>
        <w:rPr>
          <w:rFonts w:ascii="Times New Roman" w:hAnsi="Times New Roman"/>
          <w:sz w:val="24"/>
          <w:szCs w:val="24"/>
        </w:rPr>
      </w:pPr>
    </w:p>
    <w:p w:rsidR="00D3691B" w:rsidRPr="004D1BD0" w:rsidRDefault="00D3691B" w:rsidP="0060566C">
      <w:pPr>
        <w:pStyle w:val="PargrafodaLista"/>
        <w:numPr>
          <w:ilvl w:val="0"/>
          <w:numId w:val="87"/>
        </w:numPr>
        <w:spacing w:before="40" w:after="40" w:line="240" w:lineRule="auto"/>
        <w:ind w:left="851" w:right="-851" w:hanging="284"/>
        <w:jc w:val="both"/>
        <w:rPr>
          <w:rFonts w:ascii="Times New Roman" w:hAnsi="Times New Roman"/>
          <w:b/>
          <w:i/>
          <w:sz w:val="24"/>
          <w:szCs w:val="24"/>
        </w:rPr>
      </w:pPr>
      <w:r w:rsidRPr="004D1BD0">
        <w:rPr>
          <w:rFonts w:ascii="Times New Roman" w:hAnsi="Times New Roman"/>
          <w:b/>
          <w:i/>
          <w:sz w:val="24"/>
          <w:szCs w:val="24"/>
        </w:rPr>
        <w:t>Information et Sensibilisation</w:t>
      </w:r>
    </w:p>
    <w:p w:rsidR="009B7E08" w:rsidRPr="00D7539E" w:rsidRDefault="00D3691B" w:rsidP="0060566C">
      <w:pPr>
        <w:autoSpaceDE w:val="0"/>
        <w:autoSpaceDN w:val="0"/>
        <w:adjustRightInd w:val="0"/>
        <w:ind w:left="284" w:right="-851"/>
        <w:jc w:val="both"/>
      </w:pPr>
      <w:r w:rsidRPr="004D1BD0">
        <w:t xml:space="preserve">Cette partie est destinée aux agents du ministère de </w:t>
      </w:r>
      <w:r w:rsidR="008334B0" w:rsidRPr="004D1BD0">
        <w:t>l’agriculture</w:t>
      </w:r>
      <w:r w:rsidRPr="004D1BD0">
        <w:t xml:space="preserve"> qui devrait se charger de sa mise en œuvre lors des séances de sensibilisation et de </w:t>
      </w:r>
      <w:r w:rsidR="004B17C4" w:rsidRPr="004D1BD0">
        <w:t xml:space="preserve">mobilisation </w:t>
      </w:r>
      <w:r w:rsidR="004B17C4">
        <w:t>des</w:t>
      </w:r>
      <w:r w:rsidR="00306359">
        <w:t xml:space="preserve"> </w:t>
      </w:r>
      <w:r w:rsidR="009610B4">
        <w:t>tra</w:t>
      </w:r>
      <w:r w:rsidR="00EC7FEA">
        <w:t xml:space="preserve">vailleurs, </w:t>
      </w:r>
      <w:r w:rsidRPr="004D1BD0">
        <w:t>des populations</w:t>
      </w:r>
      <w:r w:rsidR="00D7539E">
        <w:t xml:space="preserve"> autour des activités du projet</w:t>
      </w:r>
    </w:p>
    <w:p w:rsidR="00D3691B" w:rsidRPr="00A05698" w:rsidRDefault="00D3691B" w:rsidP="00FE4AA9">
      <w:pPr>
        <w:pStyle w:val="Primeiroavanodecorpodetexto2"/>
        <w:spacing w:after="0" w:line="240" w:lineRule="auto"/>
        <w:ind w:right="-50"/>
        <w:jc w:val="center"/>
        <w:rPr>
          <w:rFonts w:ascii="Times New Roman" w:hAnsi="Times New Roman"/>
          <w:b/>
        </w:rPr>
      </w:pPr>
      <w:bookmarkStart w:id="325" w:name="_Toc55460647"/>
      <w:bookmarkStart w:id="326" w:name="_Toc73522630"/>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485BA4">
        <w:rPr>
          <w:rFonts w:ascii="Times New Roman" w:hAnsi="Times New Roman"/>
          <w:b/>
          <w:noProof/>
        </w:rPr>
        <w:t>24</w:t>
      </w:r>
      <w:r w:rsidRPr="00A05698">
        <w:rPr>
          <w:rFonts w:ascii="Times New Roman" w:hAnsi="Times New Roman"/>
          <w:b/>
        </w:rPr>
        <w:fldChar w:fldCharType="end"/>
      </w:r>
      <w:r w:rsidRPr="00A05698">
        <w:rPr>
          <w:rFonts w:ascii="Times New Roman" w:hAnsi="Times New Roman"/>
          <w:b/>
        </w:rPr>
        <w:t>. Thèmes développés dans la sensibilisation et mobilisation des populations</w:t>
      </w:r>
      <w:bookmarkEnd w:id="325"/>
      <w:bookmarkEnd w:id="326"/>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3969"/>
        <w:gridCol w:w="2693"/>
      </w:tblGrid>
      <w:tr w:rsidR="00D3691B" w:rsidRPr="00D7539E" w:rsidTr="00422A2E">
        <w:trPr>
          <w:trHeight w:val="397"/>
          <w:jc w:val="center"/>
        </w:trPr>
        <w:tc>
          <w:tcPr>
            <w:tcW w:w="2552" w:type="dxa"/>
            <w:tcBorders>
              <w:top w:val="single" w:sz="4" w:space="0" w:color="5B9BD5"/>
              <w:left w:val="single" w:sz="4" w:space="0" w:color="5B9BD5"/>
              <w:bottom w:val="single" w:sz="4" w:space="0" w:color="5B9BD5"/>
              <w:right w:val="single" w:sz="4" w:space="0" w:color="5B9BD5"/>
            </w:tcBorders>
            <w:shd w:val="clear" w:color="auto" w:fill="BDD6EE"/>
            <w:vAlign w:val="center"/>
          </w:tcPr>
          <w:p w:rsidR="00D3691B" w:rsidRPr="00D7539E" w:rsidRDefault="00D3691B" w:rsidP="00422A2E">
            <w:pPr>
              <w:jc w:val="center"/>
              <w:rPr>
                <w:rFonts w:eastAsia="Calibri"/>
                <w:b/>
                <w:sz w:val="21"/>
                <w:szCs w:val="21"/>
              </w:rPr>
            </w:pPr>
            <w:r w:rsidRPr="00D7539E">
              <w:rPr>
                <w:rFonts w:eastAsia="Calibri"/>
                <w:b/>
                <w:sz w:val="21"/>
                <w:szCs w:val="21"/>
              </w:rPr>
              <w:t>Acteurs cibles</w:t>
            </w:r>
          </w:p>
        </w:tc>
        <w:tc>
          <w:tcPr>
            <w:tcW w:w="3969" w:type="dxa"/>
            <w:tcBorders>
              <w:top w:val="single" w:sz="4" w:space="0" w:color="5B9BD5"/>
              <w:left w:val="single" w:sz="4" w:space="0" w:color="5B9BD5"/>
              <w:bottom w:val="single" w:sz="4" w:space="0" w:color="5B9BD5"/>
              <w:right w:val="single" w:sz="4" w:space="0" w:color="5B9BD5"/>
            </w:tcBorders>
            <w:shd w:val="clear" w:color="auto" w:fill="BDD6EE"/>
            <w:vAlign w:val="center"/>
          </w:tcPr>
          <w:p w:rsidR="00D3691B" w:rsidRPr="00D7539E" w:rsidRDefault="00D3691B" w:rsidP="004F4212">
            <w:pPr>
              <w:rPr>
                <w:rFonts w:eastAsia="Calibri"/>
                <w:b/>
                <w:sz w:val="21"/>
                <w:szCs w:val="21"/>
              </w:rPr>
            </w:pPr>
            <w:r w:rsidRPr="00D7539E">
              <w:rPr>
                <w:rFonts w:eastAsia="Calibri"/>
                <w:b/>
                <w:sz w:val="21"/>
                <w:szCs w:val="21"/>
              </w:rPr>
              <w:t>Thèmes développés</w:t>
            </w:r>
          </w:p>
        </w:tc>
        <w:tc>
          <w:tcPr>
            <w:tcW w:w="2693" w:type="dxa"/>
            <w:tcBorders>
              <w:top w:val="single" w:sz="4" w:space="0" w:color="5B9BD5"/>
              <w:left w:val="single" w:sz="4" w:space="0" w:color="5B9BD5"/>
              <w:bottom w:val="single" w:sz="4" w:space="0" w:color="5B9BD5"/>
              <w:right w:val="single" w:sz="4" w:space="0" w:color="5B9BD5"/>
            </w:tcBorders>
            <w:shd w:val="clear" w:color="auto" w:fill="BDD6EE"/>
            <w:vAlign w:val="center"/>
          </w:tcPr>
          <w:p w:rsidR="00D3691B" w:rsidRPr="00D7539E" w:rsidRDefault="00D3691B" w:rsidP="004F4212">
            <w:pPr>
              <w:rPr>
                <w:rFonts w:eastAsia="Calibri"/>
                <w:b/>
                <w:sz w:val="21"/>
                <w:szCs w:val="21"/>
              </w:rPr>
            </w:pPr>
            <w:r w:rsidRPr="00D7539E">
              <w:rPr>
                <w:rFonts w:eastAsia="Calibri"/>
                <w:b/>
                <w:sz w:val="21"/>
                <w:szCs w:val="21"/>
              </w:rPr>
              <w:t>Résultats attendus</w:t>
            </w:r>
          </w:p>
        </w:tc>
      </w:tr>
      <w:tr w:rsidR="00D3691B" w:rsidRPr="00D7539E" w:rsidTr="00422A2E">
        <w:trPr>
          <w:jc w:val="center"/>
        </w:trPr>
        <w:tc>
          <w:tcPr>
            <w:tcW w:w="255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750154" w:rsidRPr="00D7539E" w:rsidRDefault="00750154"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Travailleurs</w:t>
            </w:r>
            <w:r w:rsidR="002E4491" w:rsidRPr="00D7539E">
              <w:rPr>
                <w:rFonts w:eastAsia="Calibri"/>
                <w:sz w:val="21"/>
                <w:szCs w:val="21"/>
              </w:rPr>
              <w:t> ;</w:t>
            </w:r>
          </w:p>
          <w:p w:rsidR="00D3691B" w:rsidRPr="00D7539E"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Populations,</w:t>
            </w:r>
          </w:p>
          <w:p w:rsidR="00D3691B" w:rsidRPr="00D7539E"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Membres des Conseils départementaux</w:t>
            </w:r>
          </w:p>
          <w:p w:rsidR="00D3691B" w:rsidRPr="00D7539E"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Membres des Conseils municipaux</w:t>
            </w:r>
          </w:p>
          <w:p w:rsidR="00D3691B" w:rsidRPr="00D7539E"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Membres des Cons</w:t>
            </w:r>
            <w:r w:rsidR="004A0DCE" w:rsidRPr="00D7539E">
              <w:rPr>
                <w:rFonts w:eastAsia="Calibri"/>
                <w:sz w:val="21"/>
                <w:szCs w:val="21"/>
              </w:rPr>
              <w:t>eils Villageois</w:t>
            </w:r>
          </w:p>
          <w:p w:rsidR="00D3691B" w:rsidRPr="00D7539E"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 xml:space="preserve">Associations de Producteurs agricoles et (OP, ONG, </w:t>
            </w:r>
            <w:r w:rsidR="00897E5D" w:rsidRPr="00D7539E">
              <w:rPr>
                <w:rFonts w:eastAsia="Calibri"/>
                <w:sz w:val="21"/>
                <w:szCs w:val="21"/>
              </w:rPr>
              <w:t xml:space="preserve">ANAG ; </w:t>
            </w:r>
            <w:r w:rsidRPr="00D7539E">
              <w:rPr>
                <w:rFonts w:eastAsia="Calibri"/>
                <w:sz w:val="21"/>
                <w:szCs w:val="21"/>
              </w:rPr>
              <w:t>etc.)</w:t>
            </w:r>
          </w:p>
        </w:tc>
        <w:tc>
          <w:tcPr>
            <w:tcW w:w="396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Default="00D3691B" w:rsidP="004F4212">
            <w:pPr>
              <w:rPr>
                <w:rFonts w:eastAsia="Calibri"/>
                <w:sz w:val="21"/>
                <w:szCs w:val="21"/>
              </w:rPr>
            </w:pPr>
            <w:r w:rsidRPr="00D7539E">
              <w:rPr>
                <w:rFonts w:eastAsia="Calibri"/>
                <w:sz w:val="21"/>
                <w:szCs w:val="21"/>
              </w:rPr>
              <w:t>La nature de</w:t>
            </w:r>
            <w:r w:rsidR="00E9718C" w:rsidRPr="00D7539E">
              <w:rPr>
                <w:rFonts w:eastAsia="Calibri"/>
                <w:sz w:val="21"/>
                <w:szCs w:val="21"/>
              </w:rPr>
              <w:t>s</w:t>
            </w:r>
            <w:r w:rsidRPr="00D7539E">
              <w:rPr>
                <w:rFonts w:eastAsia="Calibri"/>
                <w:sz w:val="21"/>
                <w:szCs w:val="21"/>
              </w:rPr>
              <w:t xml:space="preserve"> travaux</w:t>
            </w:r>
          </w:p>
          <w:p w:rsidR="006D19C6" w:rsidRPr="00D7539E" w:rsidRDefault="006D19C6" w:rsidP="00D97DC3">
            <w:pPr>
              <w:pStyle w:val="Textodecomentrio"/>
              <w:rPr>
                <w:rFonts w:eastAsia="Calibri"/>
                <w:sz w:val="21"/>
                <w:szCs w:val="21"/>
              </w:rPr>
            </w:pPr>
          </w:p>
        </w:tc>
        <w:tc>
          <w:tcPr>
            <w:tcW w:w="2693"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4F4212">
            <w:pPr>
              <w:rPr>
                <w:rFonts w:eastAsia="Calibri"/>
                <w:sz w:val="21"/>
                <w:szCs w:val="21"/>
              </w:rPr>
            </w:pPr>
            <w:r w:rsidRPr="00D7539E">
              <w:rPr>
                <w:rFonts w:eastAsia="Calibri"/>
                <w:sz w:val="21"/>
                <w:szCs w:val="21"/>
              </w:rPr>
              <w:t>Populations informées sur la nature des travaux</w:t>
            </w:r>
          </w:p>
        </w:tc>
      </w:tr>
      <w:tr w:rsidR="00D3691B" w:rsidRPr="00D7539E" w:rsidTr="00422A2E">
        <w:trPr>
          <w:jc w:val="center"/>
        </w:trPr>
        <w:tc>
          <w:tcPr>
            <w:tcW w:w="2552" w:type="dxa"/>
            <w:vMerge/>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4F4212">
            <w:pPr>
              <w:rPr>
                <w:rFonts w:eastAsia="Calibri"/>
                <w:sz w:val="21"/>
                <w:szCs w:val="21"/>
              </w:rPr>
            </w:pPr>
          </w:p>
        </w:tc>
        <w:tc>
          <w:tcPr>
            <w:tcW w:w="396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L’implication des acteurs locaux,</w:t>
            </w:r>
          </w:p>
          <w:p w:rsidR="00D3691B" w:rsidRPr="00D7539E"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Les enjeux environnementaux et sociaux</w:t>
            </w:r>
            <w:r w:rsidR="00E9718C" w:rsidRPr="00D7539E">
              <w:rPr>
                <w:rFonts w:eastAsia="Calibri"/>
                <w:sz w:val="21"/>
                <w:szCs w:val="21"/>
              </w:rPr>
              <w:t xml:space="preserve"> du projet,</w:t>
            </w:r>
          </w:p>
          <w:p w:rsidR="006D19C6"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 xml:space="preserve">Bonnes pratiques agricoles, </w:t>
            </w:r>
          </w:p>
          <w:p w:rsidR="00E9718C" w:rsidRPr="00D7539E" w:rsidRDefault="00D97DC3" w:rsidP="00D97DC3">
            <w:pPr>
              <w:tabs>
                <w:tab w:val="left" w:pos="232"/>
              </w:tabs>
              <w:contextualSpacing/>
              <w:jc w:val="both"/>
              <w:rPr>
                <w:rFonts w:eastAsia="Calibri"/>
                <w:sz w:val="21"/>
                <w:szCs w:val="21"/>
              </w:rPr>
            </w:pPr>
            <w:r>
              <w:rPr>
                <w:rFonts w:eastAsia="Calibri"/>
                <w:sz w:val="21"/>
                <w:szCs w:val="21"/>
              </w:rPr>
              <w:t xml:space="preserve">- </w:t>
            </w:r>
            <w:r w:rsidRPr="00D97DC3">
              <w:rPr>
                <w:rFonts w:eastAsia="Calibri"/>
                <w:sz w:val="21"/>
                <w:szCs w:val="21"/>
              </w:rPr>
              <w:t>Formation</w:t>
            </w:r>
            <w:r w:rsidR="006D19C6" w:rsidRPr="00D97DC3">
              <w:rPr>
                <w:rFonts w:eastAsia="Calibri"/>
                <w:sz w:val="21"/>
                <w:szCs w:val="21"/>
              </w:rPr>
              <w:t xml:space="preserve"> de Procédures de gestion du travail</w:t>
            </w:r>
          </w:p>
        </w:tc>
        <w:tc>
          <w:tcPr>
            <w:tcW w:w="2693"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4F4212">
            <w:pPr>
              <w:rPr>
                <w:rFonts w:eastAsia="Calibri"/>
                <w:sz w:val="21"/>
                <w:szCs w:val="21"/>
              </w:rPr>
            </w:pPr>
            <w:r w:rsidRPr="00D7539E">
              <w:rPr>
                <w:rFonts w:eastAsia="Calibri"/>
                <w:sz w:val="21"/>
                <w:szCs w:val="21"/>
              </w:rPr>
              <w:t>Populations sensibilisées sur les enjeux environnementaux et sociaux</w:t>
            </w:r>
          </w:p>
        </w:tc>
      </w:tr>
      <w:tr w:rsidR="00D3691B" w:rsidRPr="00D7539E" w:rsidTr="00422A2E">
        <w:trPr>
          <w:jc w:val="center"/>
        </w:trPr>
        <w:tc>
          <w:tcPr>
            <w:tcW w:w="2552" w:type="dxa"/>
            <w:vMerge/>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4F4212">
            <w:pPr>
              <w:rPr>
                <w:rFonts w:eastAsia="Calibri"/>
                <w:sz w:val="21"/>
                <w:szCs w:val="21"/>
              </w:rPr>
            </w:pPr>
          </w:p>
        </w:tc>
        <w:tc>
          <w:tcPr>
            <w:tcW w:w="396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La sécurité, la sant</w:t>
            </w:r>
            <w:r w:rsidR="00B23B38" w:rsidRPr="00D7539E">
              <w:rPr>
                <w:rFonts w:eastAsia="Calibri"/>
                <w:sz w:val="21"/>
                <w:szCs w:val="21"/>
              </w:rPr>
              <w:t xml:space="preserve">é et l’hygiène lors de la mise en œuvre </w:t>
            </w:r>
            <w:r w:rsidRPr="00D7539E">
              <w:rPr>
                <w:rFonts w:eastAsia="Calibri"/>
                <w:sz w:val="21"/>
                <w:szCs w:val="21"/>
              </w:rPr>
              <w:t>et l’exploitatio</w:t>
            </w:r>
            <w:r w:rsidR="00B23B38" w:rsidRPr="00D7539E">
              <w:rPr>
                <w:rFonts w:eastAsia="Calibri"/>
                <w:sz w:val="21"/>
                <w:szCs w:val="21"/>
              </w:rPr>
              <w:t xml:space="preserve">n </w:t>
            </w:r>
            <w:r w:rsidR="000E1A4B" w:rsidRPr="00D7539E">
              <w:rPr>
                <w:rFonts w:eastAsia="Calibri"/>
                <w:sz w:val="21"/>
                <w:szCs w:val="21"/>
              </w:rPr>
              <w:t>des différentes composantes</w:t>
            </w:r>
            <w:r w:rsidR="00B23B38" w:rsidRPr="00D7539E">
              <w:rPr>
                <w:rFonts w:eastAsia="Calibri"/>
                <w:sz w:val="21"/>
                <w:szCs w:val="21"/>
              </w:rPr>
              <w:t xml:space="preserve"> du projet</w:t>
            </w:r>
            <w:r w:rsidRPr="00D7539E">
              <w:rPr>
                <w:rFonts w:eastAsia="Calibri"/>
                <w:sz w:val="21"/>
                <w:szCs w:val="21"/>
              </w:rPr>
              <w:t>,</w:t>
            </w:r>
          </w:p>
          <w:p w:rsidR="00D3691B" w:rsidRPr="00D7539E" w:rsidRDefault="00D3691B"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 xml:space="preserve">Les facteurs de vulnérabilité des activités agricoles, </w:t>
            </w:r>
          </w:p>
          <w:p w:rsidR="00255945" w:rsidRPr="00D7539E" w:rsidRDefault="00255945"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 xml:space="preserve">L’utilisation des </w:t>
            </w:r>
            <w:r w:rsidR="00297160" w:rsidRPr="00D7539E">
              <w:rPr>
                <w:rFonts w:eastAsia="Calibri"/>
                <w:sz w:val="21"/>
                <w:szCs w:val="21"/>
              </w:rPr>
              <w:t>pesticides,</w:t>
            </w:r>
          </w:p>
          <w:p w:rsidR="00D3691B" w:rsidRPr="00D7539E" w:rsidRDefault="00A1475C"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La</w:t>
            </w:r>
            <w:r w:rsidR="00D3691B" w:rsidRPr="00D7539E">
              <w:rPr>
                <w:rFonts w:eastAsia="Calibri"/>
                <w:sz w:val="21"/>
                <w:szCs w:val="21"/>
              </w:rPr>
              <w:t xml:space="preserve"> malnutrition sévère, etc.</w:t>
            </w:r>
          </w:p>
          <w:p w:rsidR="002F5402" w:rsidRPr="00D7539E" w:rsidRDefault="002F5402" w:rsidP="00157035">
            <w:pPr>
              <w:numPr>
                <w:ilvl w:val="0"/>
                <w:numId w:val="88"/>
              </w:numPr>
              <w:tabs>
                <w:tab w:val="left" w:pos="232"/>
              </w:tabs>
              <w:ind w:left="34" w:firstLine="0"/>
              <w:contextualSpacing/>
              <w:jc w:val="both"/>
              <w:rPr>
                <w:rFonts w:eastAsia="Calibri"/>
                <w:sz w:val="21"/>
                <w:szCs w:val="21"/>
              </w:rPr>
            </w:pPr>
            <w:r w:rsidRPr="00D7539E">
              <w:rPr>
                <w:rFonts w:eastAsia="Calibri"/>
                <w:sz w:val="21"/>
                <w:szCs w:val="21"/>
              </w:rPr>
              <w:t>Les risques d’EAS/HS, code de bonne conduite du projet et le fonctionnement du MGP sensible à l’EAS/HS</w:t>
            </w:r>
          </w:p>
        </w:tc>
        <w:tc>
          <w:tcPr>
            <w:tcW w:w="2693"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4F4212">
            <w:pPr>
              <w:rPr>
                <w:rFonts w:eastAsia="Calibri"/>
                <w:sz w:val="21"/>
                <w:szCs w:val="21"/>
              </w:rPr>
            </w:pPr>
          </w:p>
          <w:p w:rsidR="00D3691B" w:rsidRPr="00D7539E" w:rsidRDefault="00D3691B" w:rsidP="004F4212">
            <w:pPr>
              <w:rPr>
                <w:rFonts w:eastAsia="Calibri"/>
                <w:sz w:val="21"/>
                <w:szCs w:val="21"/>
              </w:rPr>
            </w:pPr>
            <w:r w:rsidRPr="00D7539E">
              <w:rPr>
                <w:rFonts w:eastAsia="Calibri"/>
                <w:sz w:val="21"/>
                <w:szCs w:val="21"/>
              </w:rPr>
              <w:t>Populations sensibilisées sur les risques sanitaires</w:t>
            </w:r>
          </w:p>
          <w:p w:rsidR="00D3691B" w:rsidRPr="00D7539E" w:rsidRDefault="00D3691B" w:rsidP="004F4212">
            <w:pPr>
              <w:rPr>
                <w:rFonts w:eastAsia="Calibri"/>
                <w:sz w:val="21"/>
                <w:szCs w:val="21"/>
              </w:rPr>
            </w:pPr>
          </w:p>
          <w:p w:rsidR="00D3691B" w:rsidRPr="00D7539E" w:rsidRDefault="00D3691B" w:rsidP="004F4212">
            <w:pPr>
              <w:rPr>
                <w:rFonts w:eastAsia="Calibri"/>
                <w:sz w:val="21"/>
                <w:szCs w:val="21"/>
              </w:rPr>
            </w:pPr>
          </w:p>
        </w:tc>
      </w:tr>
    </w:tbl>
    <w:p w:rsidR="00F56061" w:rsidRDefault="00F56061" w:rsidP="004F4212">
      <w:bookmarkStart w:id="327" w:name="_Toc55460176"/>
      <w:bookmarkStart w:id="328" w:name="_Toc55465569"/>
    </w:p>
    <w:p w:rsidR="00BE4C10" w:rsidRPr="008371D1" w:rsidRDefault="00BE4C10" w:rsidP="0060566C">
      <w:pPr>
        <w:pStyle w:val="PargrafodaLista"/>
        <w:numPr>
          <w:ilvl w:val="2"/>
          <w:numId w:val="99"/>
        </w:numPr>
        <w:spacing w:after="120" w:line="240" w:lineRule="auto"/>
        <w:ind w:right="-851"/>
        <w:outlineLvl w:val="1"/>
        <w:rPr>
          <w:rFonts w:ascii="Times New Roman" w:hAnsi="Times New Roman"/>
          <w:b/>
          <w:bCs/>
          <w:sz w:val="24"/>
          <w:szCs w:val="24"/>
        </w:rPr>
      </w:pPr>
      <w:bookmarkStart w:id="329" w:name="_Toc73459762"/>
      <w:r w:rsidRPr="008371D1">
        <w:rPr>
          <w:rFonts w:ascii="Times New Roman" w:hAnsi="Times New Roman"/>
          <w:b/>
          <w:bCs/>
          <w:sz w:val="24"/>
          <w:szCs w:val="24"/>
        </w:rPr>
        <w:t>Evaluation des capacités des parties prenantes en matière de gestion environnementale et sociale</w:t>
      </w:r>
      <w:bookmarkEnd w:id="329"/>
      <w:r w:rsidRPr="008371D1">
        <w:rPr>
          <w:rFonts w:ascii="Times New Roman" w:hAnsi="Times New Roman"/>
          <w:b/>
          <w:bCs/>
          <w:sz w:val="24"/>
          <w:szCs w:val="24"/>
        </w:rPr>
        <w:t xml:space="preserve"> </w:t>
      </w:r>
    </w:p>
    <w:p w:rsidR="00BE4C10" w:rsidRPr="00BE4C10" w:rsidRDefault="00BE4C10" w:rsidP="0060566C">
      <w:pPr>
        <w:autoSpaceDE w:val="0"/>
        <w:autoSpaceDN w:val="0"/>
        <w:adjustRightInd w:val="0"/>
        <w:ind w:left="142" w:right="-851"/>
        <w:jc w:val="both"/>
      </w:pPr>
      <w:r w:rsidRPr="00BE4C10">
        <w:t>La gestion environnementale et sociale du projet implique diverses parties prenantes dont les qualifications et les expériences doivent répondre aux exigences du CGES conformément aux exigences de la Banque mondiale et celles de la législation nationale applicables au Projet</w:t>
      </w:r>
      <w:r w:rsidR="005F6C80">
        <w:t xml:space="preserve"> PUSA</w:t>
      </w:r>
      <w:r w:rsidRPr="00BE4C10">
        <w:t xml:space="preserve">. </w:t>
      </w:r>
    </w:p>
    <w:p w:rsidR="00BE4C10" w:rsidRPr="00BE4C10" w:rsidRDefault="00BE4C10" w:rsidP="0060566C">
      <w:pPr>
        <w:autoSpaceDE w:val="0"/>
        <w:autoSpaceDN w:val="0"/>
        <w:adjustRightInd w:val="0"/>
        <w:ind w:left="142" w:right="-851"/>
        <w:jc w:val="both"/>
      </w:pPr>
      <w:r w:rsidRPr="00BE4C10">
        <w:t xml:space="preserve">L’analyse des capacités en matière de gestion environnementale et sociale révèle que certaines entités disposent de ressources humaines et techniques aptes à prendre en charge les exigences du CGES. </w:t>
      </w:r>
    </w:p>
    <w:p w:rsidR="0012067B" w:rsidRDefault="0012067B" w:rsidP="0060566C">
      <w:pPr>
        <w:ind w:right="-851"/>
      </w:pPr>
    </w:p>
    <w:p w:rsidR="004B1238" w:rsidRPr="00CE6B52" w:rsidRDefault="004B1238" w:rsidP="0060566C">
      <w:pPr>
        <w:pStyle w:val="PargrafodaLista"/>
        <w:numPr>
          <w:ilvl w:val="0"/>
          <w:numId w:val="87"/>
        </w:numPr>
        <w:ind w:right="-851"/>
        <w:jc w:val="both"/>
        <w:rPr>
          <w:rFonts w:ascii="Times" w:hAnsi="Times"/>
          <w:sz w:val="22"/>
          <w:szCs w:val="22"/>
        </w:rPr>
      </w:pPr>
      <w:r w:rsidRPr="008371D1">
        <w:rPr>
          <w:rFonts w:ascii="Times" w:hAnsi="Times"/>
          <w:b/>
          <w:sz w:val="22"/>
          <w:szCs w:val="22"/>
        </w:rPr>
        <w:t>L’UCP</w:t>
      </w:r>
      <w:r w:rsidR="00654E14" w:rsidRPr="008371D1">
        <w:rPr>
          <w:rFonts w:ascii="Times" w:hAnsi="Times"/>
          <w:b/>
          <w:sz w:val="22"/>
          <w:szCs w:val="22"/>
        </w:rPr>
        <w:t xml:space="preserve"> du projet PUSA</w:t>
      </w:r>
      <w:r w:rsidR="00654E14" w:rsidRPr="00CE6B52">
        <w:rPr>
          <w:rFonts w:ascii="Times" w:hAnsi="Times"/>
          <w:sz w:val="22"/>
          <w:szCs w:val="22"/>
        </w:rPr>
        <w:t xml:space="preserve"> </w:t>
      </w:r>
      <w:r w:rsidRPr="008371D1">
        <w:rPr>
          <w:rFonts w:ascii="Times" w:hAnsi="Times"/>
          <w:sz w:val="22"/>
          <w:szCs w:val="22"/>
        </w:rPr>
        <w:t>qui,</w:t>
      </w:r>
      <w:r w:rsidR="00654E14" w:rsidRPr="00CE6B52">
        <w:rPr>
          <w:rFonts w:ascii="Times" w:hAnsi="Times"/>
          <w:sz w:val="22"/>
          <w:szCs w:val="22"/>
        </w:rPr>
        <w:t xml:space="preserve"> </w:t>
      </w:r>
      <w:r w:rsidRPr="008371D1">
        <w:rPr>
          <w:rFonts w:ascii="Times" w:hAnsi="Times"/>
          <w:sz w:val="22"/>
          <w:szCs w:val="22"/>
        </w:rPr>
        <w:t>en</w:t>
      </w:r>
      <w:r w:rsidR="00654E14" w:rsidRPr="00CE6B52">
        <w:rPr>
          <w:rFonts w:ascii="Times" w:hAnsi="Times"/>
          <w:sz w:val="22"/>
          <w:szCs w:val="22"/>
        </w:rPr>
        <w:t xml:space="preserve"> </w:t>
      </w:r>
      <w:r w:rsidRPr="008371D1">
        <w:rPr>
          <w:rFonts w:ascii="Times" w:hAnsi="Times"/>
          <w:sz w:val="22"/>
          <w:szCs w:val="22"/>
        </w:rPr>
        <w:t>son</w:t>
      </w:r>
      <w:r w:rsidR="00654E14" w:rsidRPr="00CE6B52">
        <w:rPr>
          <w:rFonts w:ascii="Times" w:hAnsi="Times"/>
          <w:sz w:val="22"/>
          <w:szCs w:val="22"/>
        </w:rPr>
        <w:t xml:space="preserve"> </w:t>
      </w:r>
      <w:r w:rsidRPr="008371D1">
        <w:rPr>
          <w:rFonts w:ascii="Times" w:hAnsi="Times"/>
          <w:sz w:val="22"/>
          <w:szCs w:val="22"/>
        </w:rPr>
        <w:t>sein,</w:t>
      </w:r>
      <w:r w:rsidR="00654E14" w:rsidRPr="00CE6B52">
        <w:rPr>
          <w:rFonts w:ascii="Times" w:hAnsi="Times"/>
          <w:sz w:val="22"/>
          <w:szCs w:val="22"/>
        </w:rPr>
        <w:t xml:space="preserve"> </w:t>
      </w:r>
      <w:r w:rsidRPr="008371D1">
        <w:rPr>
          <w:rFonts w:ascii="Times" w:hAnsi="Times"/>
          <w:sz w:val="22"/>
          <w:szCs w:val="22"/>
        </w:rPr>
        <w:t>dispose</w:t>
      </w:r>
      <w:r w:rsidR="00654E14" w:rsidRPr="00CE6B52">
        <w:rPr>
          <w:rFonts w:ascii="Times" w:hAnsi="Times"/>
          <w:sz w:val="22"/>
          <w:szCs w:val="22"/>
        </w:rPr>
        <w:t xml:space="preserve"> </w:t>
      </w:r>
      <w:r w:rsidRPr="008371D1">
        <w:rPr>
          <w:rFonts w:ascii="Times" w:hAnsi="Times"/>
          <w:sz w:val="22"/>
          <w:szCs w:val="22"/>
        </w:rPr>
        <w:t>d’un</w:t>
      </w:r>
      <w:r w:rsidR="00654E14" w:rsidRPr="00CE6B52">
        <w:rPr>
          <w:rFonts w:ascii="Times" w:hAnsi="Times"/>
          <w:sz w:val="22"/>
          <w:szCs w:val="22"/>
        </w:rPr>
        <w:t xml:space="preserve"> </w:t>
      </w:r>
      <w:r w:rsidRPr="008371D1">
        <w:rPr>
          <w:rFonts w:ascii="Times" w:hAnsi="Times"/>
          <w:sz w:val="22"/>
          <w:szCs w:val="22"/>
        </w:rPr>
        <w:t>Spécialiste</w:t>
      </w:r>
      <w:r w:rsidR="00654E14" w:rsidRPr="00CE6B52">
        <w:rPr>
          <w:rFonts w:ascii="Times" w:hAnsi="Times"/>
          <w:sz w:val="22"/>
          <w:szCs w:val="22"/>
        </w:rPr>
        <w:t xml:space="preserve"> </w:t>
      </w:r>
      <w:r w:rsidRPr="008371D1">
        <w:rPr>
          <w:rFonts w:ascii="Times" w:hAnsi="Times"/>
          <w:sz w:val="22"/>
          <w:szCs w:val="22"/>
        </w:rPr>
        <w:t>en</w:t>
      </w:r>
      <w:r w:rsidR="00654E14" w:rsidRPr="00CE6B52">
        <w:rPr>
          <w:rFonts w:ascii="Times" w:hAnsi="Times"/>
          <w:sz w:val="22"/>
          <w:szCs w:val="22"/>
        </w:rPr>
        <w:t xml:space="preserve"> </w:t>
      </w:r>
      <w:r w:rsidRPr="008371D1">
        <w:rPr>
          <w:rFonts w:ascii="Times" w:hAnsi="Times"/>
          <w:sz w:val="22"/>
          <w:szCs w:val="22"/>
        </w:rPr>
        <w:t xml:space="preserve">Sauvegarde Environnementale, et d’un Spécialiste Suivi-Evaluation, tandis que le Spécialiste Hygiène, Santé et Sécurité sera bientôt mobilisé. Par ailleurs, l’UCP </w:t>
      </w:r>
      <w:r w:rsidR="007550B1" w:rsidRPr="00CE6B52">
        <w:rPr>
          <w:rFonts w:ascii="Times" w:hAnsi="Times"/>
          <w:sz w:val="22"/>
          <w:szCs w:val="22"/>
        </w:rPr>
        <w:t xml:space="preserve">a aussi des </w:t>
      </w:r>
      <w:r w:rsidRPr="008371D1">
        <w:rPr>
          <w:rFonts w:ascii="Times" w:hAnsi="Times"/>
          <w:sz w:val="22"/>
          <w:szCs w:val="22"/>
        </w:rPr>
        <w:t>personne</w:t>
      </w:r>
      <w:r w:rsidR="007550B1" w:rsidRPr="00CE6B52">
        <w:rPr>
          <w:rFonts w:ascii="Times" w:hAnsi="Times"/>
          <w:sz w:val="22"/>
          <w:szCs w:val="22"/>
        </w:rPr>
        <w:t>s</w:t>
      </w:r>
      <w:r w:rsidRPr="008371D1">
        <w:rPr>
          <w:rFonts w:ascii="Times" w:hAnsi="Times"/>
          <w:sz w:val="22"/>
          <w:szCs w:val="22"/>
        </w:rPr>
        <w:t xml:space="preserve"> de soutien également apte à accompagner le processus d’acquisition et de paiement des biens et services dans le cadre de la mise en œuvre du CGES. </w:t>
      </w:r>
    </w:p>
    <w:p w:rsidR="00B0248C" w:rsidRPr="008371D1" w:rsidRDefault="00B0248C" w:rsidP="0060566C">
      <w:pPr>
        <w:pStyle w:val="PargrafodaLista"/>
        <w:numPr>
          <w:ilvl w:val="0"/>
          <w:numId w:val="87"/>
        </w:numPr>
        <w:ind w:right="-851"/>
        <w:jc w:val="both"/>
        <w:rPr>
          <w:rFonts w:ascii="Times" w:hAnsi="Times"/>
          <w:sz w:val="22"/>
          <w:szCs w:val="22"/>
        </w:rPr>
      </w:pPr>
      <w:r w:rsidRPr="00FE566F">
        <w:rPr>
          <w:rFonts w:ascii="Times" w:hAnsi="Times"/>
          <w:b/>
          <w:bCs/>
          <w:sz w:val="22"/>
          <w:szCs w:val="22"/>
        </w:rPr>
        <w:t xml:space="preserve">Les entités regroupées autour de l’AAAC </w:t>
      </w:r>
      <w:r w:rsidRPr="00FE566F">
        <w:rPr>
          <w:rFonts w:ascii="Times" w:hAnsi="Times"/>
          <w:sz w:val="22"/>
          <w:szCs w:val="22"/>
        </w:rPr>
        <w:t>ainsi que les CRSE disposent de beaucoup d’expériences dans le processus de classification / revue et dans le suivi environnemental des projets fi</w:t>
      </w:r>
      <w:r w:rsidR="001E3166" w:rsidRPr="00FE566F">
        <w:rPr>
          <w:rFonts w:ascii="Times" w:hAnsi="Times"/>
          <w:sz w:val="22"/>
          <w:szCs w:val="22"/>
        </w:rPr>
        <w:t>nancés par la Banque Mondiale en Guinée Bissau</w:t>
      </w:r>
      <w:r w:rsidRPr="00FE566F">
        <w:rPr>
          <w:rFonts w:ascii="Times" w:hAnsi="Times"/>
          <w:sz w:val="22"/>
          <w:szCs w:val="22"/>
        </w:rPr>
        <w:t xml:space="preserve">. </w:t>
      </w:r>
      <w:r w:rsidRPr="00FE566F">
        <w:rPr>
          <w:rFonts w:ascii="MS Mincho" w:eastAsia="MS Mincho" w:hAnsi="MS Mincho" w:cs="MS Mincho"/>
          <w:sz w:val="22"/>
          <w:szCs w:val="22"/>
        </w:rPr>
        <w:t> </w:t>
      </w:r>
    </w:p>
    <w:p w:rsidR="005412E9" w:rsidRPr="008371D1" w:rsidRDefault="006D4C15" w:rsidP="0060566C">
      <w:pPr>
        <w:pStyle w:val="PargrafodaLista"/>
        <w:numPr>
          <w:ilvl w:val="0"/>
          <w:numId w:val="87"/>
        </w:numPr>
        <w:ind w:right="-851"/>
        <w:jc w:val="both"/>
        <w:rPr>
          <w:rFonts w:ascii="Times" w:hAnsi="Times"/>
          <w:sz w:val="22"/>
          <w:szCs w:val="22"/>
        </w:rPr>
      </w:pPr>
      <w:r w:rsidRPr="00CE6B52">
        <w:rPr>
          <w:rFonts w:ascii="Times" w:hAnsi="Times"/>
          <w:b/>
          <w:bCs/>
          <w:sz w:val="22"/>
          <w:szCs w:val="22"/>
        </w:rPr>
        <w:t>La direction générale</w:t>
      </w:r>
      <w:r w:rsidR="00427825" w:rsidRPr="00FE566F">
        <w:rPr>
          <w:rFonts w:ascii="Times" w:hAnsi="Times"/>
          <w:b/>
          <w:bCs/>
          <w:sz w:val="22"/>
          <w:szCs w:val="22"/>
        </w:rPr>
        <w:t xml:space="preserve"> de </w:t>
      </w:r>
      <w:r w:rsidRPr="00FE566F">
        <w:rPr>
          <w:rFonts w:ascii="Times" w:hAnsi="Times"/>
          <w:b/>
          <w:bCs/>
          <w:sz w:val="22"/>
          <w:szCs w:val="22"/>
        </w:rPr>
        <w:t>l’agriculture DGA</w:t>
      </w:r>
      <w:r w:rsidR="00427825" w:rsidRPr="00FE566F">
        <w:rPr>
          <w:rFonts w:ascii="Times" w:hAnsi="Times"/>
          <w:b/>
          <w:bCs/>
          <w:sz w:val="22"/>
          <w:szCs w:val="22"/>
        </w:rPr>
        <w:t xml:space="preserve"> </w:t>
      </w:r>
      <w:r w:rsidR="00EB6523" w:rsidRPr="00FE566F">
        <w:rPr>
          <w:rFonts w:ascii="Times" w:hAnsi="Times"/>
          <w:b/>
          <w:bCs/>
          <w:sz w:val="22"/>
          <w:szCs w:val="22"/>
        </w:rPr>
        <w:t>:</w:t>
      </w:r>
      <w:r w:rsidR="00231722" w:rsidRPr="00FE566F">
        <w:rPr>
          <w:rFonts w:ascii="Times" w:hAnsi="Times"/>
          <w:b/>
          <w:bCs/>
          <w:sz w:val="22"/>
          <w:szCs w:val="22"/>
        </w:rPr>
        <w:t xml:space="preserve"> </w:t>
      </w:r>
      <w:r w:rsidRPr="00FE566F">
        <w:rPr>
          <w:rFonts w:ascii="Times" w:hAnsi="Times"/>
          <w:b/>
          <w:bCs/>
          <w:sz w:val="22"/>
          <w:szCs w:val="22"/>
        </w:rPr>
        <w:t>elle dispose</w:t>
      </w:r>
      <w:r w:rsidR="00231722" w:rsidRPr="00FE566F">
        <w:rPr>
          <w:rFonts w:ascii="Times" w:hAnsi="Times"/>
          <w:sz w:val="22"/>
          <w:szCs w:val="22"/>
        </w:rPr>
        <w:t xml:space="preserve"> de beaucoup d</w:t>
      </w:r>
      <w:r w:rsidRPr="00FE566F">
        <w:rPr>
          <w:rFonts w:ascii="Times" w:hAnsi="Times"/>
          <w:sz w:val="22"/>
          <w:szCs w:val="22"/>
        </w:rPr>
        <w:t xml:space="preserve">’expériences dans la mise en œuvre de ces genres de projet </w:t>
      </w:r>
      <w:r w:rsidR="00FE566F" w:rsidRPr="00FE566F">
        <w:rPr>
          <w:rFonts w:ascii="Times" w:hAnsi="Times"/>
          <w:sz w:val="22"/>
          <w:szCs w:val="22"/>
        </w:rPr>
        <w:t>mais il</w:t>
      </w:r>
      <w:r w:rsidR="00427825" w:rsidRPr="00FE566F">
        <w:rPr>
          <w:rFonts w:ascii="Times" w:hAnsi="Times"/>
          <w:sz w:val="22"/>
          <w:szCs w:val="22"/>
        </w:rPr>
        <w:t xml:space="preserve"> </w:t>
      </w:r>
      <w:r w:rsidR="00EB6523" w:rsidRPr="00FE566F">
        <w:rPr>
          <w:rFonts w:ascii="Times" w:hAnsi="Times"/>
          <w:sz w:val="22"/>
          <w:szCs w:val="22"/>
        </w:rPr>
        <w:t>tient</w:t>
      </w:r>
      <w:r w:rsidR="00427825" w:rsidRPr="00FE566F">
        <w:rPr>
          <w:rFonts w:ascii="Times" w:hAnsi="Times"/>
          <w:sz w:val="22"/>
          <w:szCs w:val="22"/>
        </w:rPr>
        <w:t xml:space="preserve"> </w:t>
      </w:r>
      <w:r w:rsidR="00EB6523" w:rsidRPr="00FE566F">
        <w:rPr>
          <w:rFonts w:ascii="Times" w:hAnsi="Times"/>
          <w:sz w:val="22"/>
          <w:szCs w:val="22"/>
        </w:rPr>
        <w:t>lieu</w:t>
      </w:r>
      <w:r w:rsidR="00427825" w:rsidRPr="00FE566F">
        <w:rPr>
          <w:rFonts w:ascii="Times" w:hAnsi="Times"/>
          <w:sz w:val="22"/>
          <w:szCs w:val="22"/>
        </w:rPr>
        <w:t xml:space="preserve"> </w:t>
      </w:r>
      <w:r w:rsidR="00EB6523" w:rsidRPr="00FE566F">
        <w:rPr>
          <w:rFonts w:ascii="Times" w:hAnsi="Times"/>
          <w:sz w:val="22"/>
          <w:szCs w:val="22"/>
        </w:rPr>
        <w:t>de</w:t>
      </w:r>
      <w:r w:rsidR="00427825" w:rsidRPr="00FE566F">
        <w:rPr>
          <w:rFonts w:ascii="Times" w:hAnsi="Times"/>
          <w:sz w:val="22"/>
          <w:szCs w:val="22"/>
        </w:rPr>
        <w:t xml:space="preserve"> </w:t>
      </w:r>
      <w:r w:rsidR="00EB6523" w:rsidRPr="00FE566F">
        <w:rPr>
          <w:rFonts w:ascii="Times" w:hAnsi="Times"/>
          <w:sz w:val="22"/>
          <w:szCs w:val="22"/>
        </w:rPr>
        <w:t>préciser</w:t>
      </w:r>
      <w:r w:rsidR="00427825" w:rsidRPr="00FE566F">
        <w:rPr>
          <w:rFonts w:ascii="Times" w:hAnsi="Times"/>
          <w:sz w:val="22"/>
          <w:szCs w:val="22"/>
        </w:rPr>
        <w:t xml:space="preserve"> </w:t>
      </w:r>
      <w:r w:rsidR="00EB6523" w:rsidRPr="00FE566F">
        <w:rPr>
          <w:rFonts w:ascii="Times" w:hAnsi="Times"/>
          <w:sz w:val="22"/>
          <w:szCs w:val="22"/>
        </w:rPr>
        <w:t>que</w:t>
      </w:r>
      <w:r w:rsidR="00427825" w:rsidRPr="00FE566F">
        <w:rPr>
          <w:rFonts w:ascii="Times" w:hAnsi="Times"/>
          <w:sz w:val="22"/>
          <w:szCs w:val="22"/>
        </w:rPr>
        <w:t xml:space="preserve"> </w:t>
      </w:r>
      <w:r w:rsidR="00EB6523" w:rsidRPr="00FE566F">
        <w:rPr>
          <w:rFonts w:ascii="Times" w:hAnsi="Times"/>
          <w:sz w:val="22"/>
          <w:szCs w:val="22"/>
        </w:rPr>
        <w:t>cette</w:t>
      </w:r>
      <w:r w:rsidR="00427825" w:rsidRPr="00FE566F">
        <w:rPr>
          <w:rFonts w:ascii="Times" w:hAnsi="Times"/>
          <w:sz w:val="22"/>
          <w:szCs w:val="22"/>
        </w:rPr>
        <w:t xml:space="preserve"> </w:t>
      </w:r>
      <w:r w:rsidR="00EB6523" w:rsidRPr="00FE566F">
        <w:rPr>
          <w:rFonts w:ascii="Times" w:hAnsi="Times"/>
          <w:sz w:val="22"/>
          <w:szCs w:val="22"/>
        </w:rPr>
        <w:t>entité</w:t>
      </w:r>
      <w:r w:rsidR="00427825" w:rsidRPr="00FE566F">
        <w:rPr>
          <w:rFonts w:ascii="Times" w:hAnsi="Times"/>
          <w:sz w:val="22"/>
          <w:szCs w:val="22"/>
        </w:rPr>
        <w:t xml:space="preserve"> </w:t>
      </w:r>
      <w:r w:rsidR="00EB6523" w:rsidRPr="00FE566F">
        <w:rPr>
          <w:rFonts w:ascii="Times" w:hAnsi="Times"/>
          <w:sz w:val="22"/>
          <w:szCs w:val="22"/>
        </w:rPr>
        <w:t>n’est</w:t>
      </w:r>
      <w:r w:rsidR="00427825" w:rsidRPr="00FE566F">
        <w:rPr>
          <w:rFonts w:ascii="Times" w:hAnsi="Times"/>
          <w:sz w:val="22"/>
          <w:szCs w:val="22"/>
        </w:rPr>
        <w:t xml:space="preserve"> </w:t>
      </w:r>
      <w:r w:rsidR="00EB6523" w:rsidRPr="00FE566F">
        <w:rPr>
          <w:rFonts w:ascii="Times" w:hAnsi="Times"/>
          <w:sz w:val="22"/>
          <w:szCs w:val="22"/>
        </w:rPr>
        <w:t>pas</w:t>
      </w:r>
      <w:r w:rsidR="00427825" w:rsidRPr="00FE566F">
        <w:rPr>
          <w:rFonts w:ascii="Times" w:hAnsi="Times"/>
          <w:sz w:val="22"/>
          <w:szCs w:val="22"/>
        </w:rPr>
        <w:t xml:space="preserve"> </w:t>
      </w:r>
      <w:r w:rsidR="00EB6523" w:rsidRPr="00FE566F">
        <w:rPr>
          <w:rFonts w:ascii="Times" w:hAnsi="Times"/>
          <w:sz w:val="22"/>
          <w:szCs w:val="22"/>
        </w:rPr>
        <w:t>outillée</w:t>
      </w:r>
      <w:r w:rsidR="00427825" w:rsidRPr="00FE566F">
        <w:rPr>
          <w:rFonts w:ascii="Times" w:hAnsi="Times"/>
          <w:sz w:val="22"/>
          <w:szCs w:val="22"/>
        </w:rPr>
        <w:t xml:space="preserve"> </w:t>
      </w:r>
      <w:r w:rsidR="00EB6523" w:rsidRPr="00FE566F">
        <w:rPr>
          <w:rFonts w:ascii="Times" w:hAnsi="Times"/>
          <w:sz w:val="22"/>
          <w:szCs w:val="22"/>
        </w:rPr>
        <w:t>sur</w:t>
      </w:r>
      <w:r w:rsidR="00427825" w:rsidRPr="00FE566F">
        <w:rPr>
          <w:rFonts w:ascii="Times" w:hAnsi="Times"/>
          <w:sz w:val="22"/>
          <w:szCs w:val="22"/>
        </w:rPr>
        <w:t xml:space="preserve"> </w:t>
      </w:r>
      <w:r w:rsidR="00EB6523" w:rsidRPr="00FE566F">
        <w:rPr>
          <w:rFonts w:ascii="Times" w:hAnsi="Times"/>
          <w:sz w:val="22"/>
          <w:szCs w:val="22"/>
        </w:rPr>
        <w:t>le</w:t>
      </w:r>
      <w:r w:rsidR="00427825" w:rsidRPr="00FE566F">
        <w:rPr>
          <w:rFonts w:ascii="Times" w:hAnsi="Times"/>
          <w:sz w:val="22"/>
          <w:szCs w:val="22"/>
        </w:rPr>
        <w:t xml:space="preserve"> </w:t>
      </w:r>
      <w:r w:rsidR="00EB6523" w:rsidRPr="00FE566F">
        <w:rPr>
          <w:rFonts w:ascii="Times" w:hAnsi="Times"/>
          <w:sz w:val="22"/>
          <w:szCs w:val="22"/>
        </w:rPr>
        <w:t>plan</w:t>
      </w:r>
      <w:r w:rsidR="00427825" w:rsidRPr="00FE566F">
        <w:rPr>
          <w:rFonts w:ascii="Times" w:hAnsi="Times"/>
          <w:sz w:val="22"/>
          <w:szCs w:val="22"/>
        </w:rPr>
        <w:t xml:space="preserve"> </w:t>
      </w:r>
      <w:r w:rsidR="00231722" w:rsidRPr="00FE566F">
        <w:rPr>
          <w:rFonts w:ascii="Times" w:hAnsi="Times"/>
          <w:sz w:val="22"/>
          <w:szCs w:val="22"/>
        </w:rPr>
        <w:t>l</w:t>
      </w:r>
      <w:r w:rsidR="00EB6523" w:rsidRPr="00FE566F">
        <w:rPr>
          <w:rFonts w:ascii="Times" w:hAnsi="Times"/>
          <w:sz w:val="22"/>
          <w:szCs w:val="22"/>
        </w:rPr>
        <w:t xml:space="preserve">ogistique. </w:t>
      </w:r>
    </w:p>
    <w:p w:rsidR="002A20A6" w:rsidRPr="008371D1" w:rsidRDefault="002A20A6" w:rsidP="0060566C">
      <w:pPr>
        <w:pStyle w:val="PargrafodaLista"/>
        <w:numPr>
          <w:ilvl w:val="0"/>
          <w:numId w:val="87"/>
        </w:numPr>
        <w:ind w:right="-851"/>
        <w:jc w:val="both"/>
        <w:rPr>
          <w:rFonts w:ascii="Times" w:hAnsi="Times"/>
          <w:sz w:val="22"/>
          <w:szCs w:val="22"/>
        </w:rPr>
      </w:pPr>
      <w:r w:rsidRPr="008371D1">
        <w:rPr>
          <w:rFonts w:ascii="Times" w:hAnsi="Times"/>
          <w:b/>
          <w:sz w:val="22"/>
          <w:szCs w:val="22"/>
        </w:rPr>
        <w:t xml:space="preserve">La Direction des Services de protection des végétaux </w:t>
      </w:r>
      <w:r w:rsidR="006E4110" w:rsidRPr="008371D1">
        <w:rPr>
          <w:rFonts w:ascii="Times" w:hAnsi="Times"/>
          <w:b/>
          <w:sz w:val="22"/>
          <w:szCs w:val="22"/>
        </w:rPr>
        <w:t>(DSPV)</w:t>
      </w:r>
      <w:r w:rsidR="006E4110" w:rsidRPr="00CE6B52">
        <w:rPr>
          <w:rFonts w:ascii="Times" w:hAnsi="Times"/>
          <w:sz w:val="22"/>
          <w:szCs w:val="22"/>
        </w:rPr>
        <w:t xml:space="preserve"> </w:t>
      </w:r>
      <w:r w:rsidRPr="008371D1">
        <w:rPr>
          <w:rFonts w:ascii="Times" w:hAnsi="Times"/>
          <w:sz w:val="22"/>
          <w:szCs w:val="22"/>
        </w:rPr>
        <w:t>ne dispose pas spécifiquement d’expériences dans la gestion environn</w:t>
      </w:r>
      <w:r w:rsidR="001C1E47" w:rsidRPr="00CE6B52">
        <w:rPr>
          <w:rFonts w:ascii="Times" w:hAnsi="Times"/>
          <w:sz w:val="22"/>
          <w:szCs w:val="22"/>
        </w:rPr>
        <w:t>ementale et sociale de projet</w:t>
      </w:r>
      <w:r w:rsidRPr="008371D1">
        <w:rPr>
          <w:rFonts w:ascii="Times" w:hAnsi="Times"/>
          <w:sz w:val="22"/>
          <w:szCs w:val="22"/>
        </w:rPr>
        <w:t>. Cependant</w:t>
      </w:r>
      <w:r w:rsidR="00AC22B3" w:rsidRPr="00CE6B52">
        <w:rPr>
          <w:rFonts w:ascii="Times" w:hAnsi="Times"/>
          <w:sz w:val="22"/>
          <w:szCs w:val="22"/>
        </w:rPr>
        <w:t>, elle a participé activement à</w:t>
      </w:r>
      <w:r w:rsidR="008B5E88" w:rsidRPr="00FE566F">
        <w:rPr>
          <w:rFonts w:ascii="Times" w:hAnsi="Times"/>
          <w:sz w:val="22"/>
          <w:szCs w:val="22"/>
        </w:rPr>
        <w:t xml:space="preserve"> </w:t>
      </w:r>
      <w:r w:rsidRPr="008371D1">
        <w:rPr>
          <w:rFonts w:ascii="Times" w:hAnsi="Times"/>
          <w:sz w:val="22"/>
          <w:szCs w:val="22"/>
        </w:rPr>
        <w:t xml:space="preserve">l'accompagnement de la mise en œuvre de certain projet à travers des conseils pour l'acquisition de produits phytosanitaires et l'élaboration d'un manuel de bonnes pratiques sur l'utilisation des pesticides par les producteurs et les techniciens. </w:t>
      </w:r>
      <w:r w:rsidR="008C770B" w:rsidRPr="008371D1">
        <w:rPr>
          <w:rFonts w:ascii="Times" w:hAnsi="Times"/>
          <w:sz w:val="22"/>
          <w:szCs w:val="22"/>
        </w:rPr>
        <w:t>La</w:t>
      </w:r>
      <w:r w:rsidRPr="008371D1">
        <w:rPr>
          <w:rFonts w:ascii="Times" w:hAnsi="Times"/>
          <w:sz w:val="22"/>
          <w:szCs w:val="22"/>
        </w:rPr>
        <w:t xml:space="preserve"> direction manque de moyens techniques et matériels pour suivre et évaluer les aspects relatifs à la santé et à l’environnement des différentes campagnes. </w:t>
      </w:r>
    </w:p>
    <w:p w:rsidR="0058405B" w:rsidRDefault="0058405B" w:rsidP="0060566C">
      <w:pPr>
        <w:pStyle w:val="PargrafodaLista"/>
        <w:numPr>
          <w:ilvl w:val="0"/>
          <w:numId w:val="87"/>
        </w:numPr>
        <w:ind w:right="-851"/>
        <w:jc w:val="both"/>
        <w:rPr>
          <w:rFonts w:ascii="Times" w:eastAsia="MS Mincho" w:hAnsi="Times" w:cs="MS Mincho"/>
          <w:sz w:val="22"/>
          <w:szCs w:val="22"/>
        </w:rPr>
      </w:pPr>
      <w:r w:rsidRPr="00CE6B52">
        <w:rPr>
          <w:rFonts w:ascii="Times" w:hAnsi="Times"/>
          <w:b/>
          <w:bCs/>
          <w:sz w:val="22"/>
          <w:szCs w:val="22"/>
        </w:rPr>
        <w:t>Les</w:t>
      </w:r>
      <w:r w:rsidRPr="00FE566F">
        <w:rPr>
          <w:rFonts w:ascii="Times" w:hAnsi="Times"/>
          <w:b/>
          <w:bCs/>
          <w:sz w:val="22"/>
          <w:szCs w:val="22"/>
        </w:rPr>
        <w:t xml:space="preserve"> Communes</w:t>
      </w:r>
      <w:r w:rsidRPr="00FE566F">
        <w:rPr>
          <w:rFonts w:ascii="Times" w:hAnsi="Times"/>
          <w:sz w:val="22"/>
          <w:szCs w:val="22"/>
        </w:rPr>
        <w:t xml:space="preserve">, au regard des compétences qu’elles assument, disposent de services techniques relativement performants et rencontrent des difficultés financières et </w:t>
      </w:r>
      <w:r w:rsidR="00CE6B52" w:rsidRPr="008371D1">
        <w:rPr>
          <w:rFonts w:ascii="Times" w:eastAsia="MS Mincho" w:hAnsi="Times" w:cs="MS Mincho"/>
          <w:sz w:val="22"/>
          <w:szCs w:val="22"/>
        </w:rPr>
        <w:t xml:space="preserve">matérielles à exercer leurs prérogatives en matière d’amélioration des conditions de vie, de gestion de l’environnement et des déchets. </w:t>
      </w:r>
    </w:p>
    <w:p w:rsidR="00E76027" w:rsidRPr="00E76027" w:rsidRDefault="00E76027" w:rsidP="0060566C">
      <w:pPr>
        <w:pStyle w:val="PargrafodaLista"/>
        <w:ind w:right="-851"/>
        <w:jc w:val="both"/>
        <w:rPr>
          <w:rFonts w:ascii="Times" w:eastAsia="MS Mincho" w:hAnsi="Times" w:cs="MS Mincho"/>
          <w:sz w:val="22"/>
          <w:szCs w:val="22"/>
        </w:rPr>
      </w:pPr>
    </w:p>
    <w:p w:rsidR="0013131B" w:rsidRPr="0060566C" w:rsidRDefault="0013131B" w:rsidP="0060566C">
      <w:pPr>
        <w:widowControl w:val="0"/>
        <w:autoSpaceDE w:val="0"/>
        <w:autoSpaceDN w:val="0"/>
        <w:adjustRightInd w:val="0"/>
        <w:ind w:right="-851"/>
        <w:rPr>
          <w:rFonts w:ascii="Times" w:hAnsi="Times" w:cs="Times"/>
          <w:b/>
          <w:color w:val="000000"/>
          <w:lang w:eastAsia="en-US"/>
        </w:rPr>
      </w:pPr>
      <w:r w:rsidRPr="0060566C">
        <w:rPr>
          <w:rFonts w:ascii="Tahoma" w:hAnsi="Tahoma" w:cs="Tahoma"/>
          <w:b/>
          <w:color w:val="000000"/>
          <w:lang w:eastAsia="en-US"/>
        </w:rPr>
        <w:t xml:space="preserve">Mesures de renforcement des capacités de gestion environnementale des acteurs du projet </w:t>
      </w:r>
    </w:p>
    <w:p w:rsidR="00966572" w:rsidRDefault="00966572" w:rsidP="004F4212">
      <w:pPr>
        <w:rPr>
          <w:rFonts w:ascii="Times" w:eastAsia="Calibri" w:hAnsi="Times" w:cs="Times"/>
          <w:b/>
          <w:color w:val="000000"/>
          <w:sz w:val="20"/>
          <w:szCs w:val="20"/>
          <w:lang w:eastAsia="en-US"/>
        </w:rPr>
      </w:pPr>
    </w:p>
    <w:tbl>
      <w:tblPr>
        <w:tblStyle w:val="Tabelacomgrelha"/>
        <w:tblpPr w:leftFromText="141" w:rightFromText="141" w:vertAnchor="text" w:horzAnchor="page" w:tblpX="1386" w:tblpY="125"/>
        <w:tblW w:w="0" w:type="auto"/>
        <w:tblLook w:val="04A0" w:firstRow="1" w:lastRow="0" w:firstColumn="1" w:lastColumn="0" w:noHBand="0" w:noVBand="1"/>
      </w:tblPr>
      <w:tblGrid>
        <w:gridCol w:w="1497"/>
        <w:gridCol w:w="5003"/>
        <w:gridCol w:w="2562"/>
      </w:tblGrid>
      <w:tr w:rsidR="0060566C" w:rsidRPr="00E76027" w:rsidTr="0060566C">
        <w:tc>
          <w:tcPr>
            <w:tcW w:w="1497" w:type="dxa"/>
            <w:vAlign w:val="center"/>
          </w:tcPr>
          <w:p w:rsidR="0060566C" w:rsidRPr="00E76027" w:rsidRDefault="0060566C" w:rsidP="0060566C">
            <w:pPr>
              <w:widowControl w:val="0"/>
              <w:autoSpaceDE w:val="0"/>
              <w:autoSpaceDN w:val="0"/>
              <w:adjustRightInd w:val="0"/>
              <w:jc w:val="center"/>
              <w:rPr>
                <w:rFonts w:cs="Times"/>
                <w:b/>
                <w:color w:val="000000" w:themeColor="text1"/>
                <w:sz w:val="21"/>
                <w:szCs w:val="21"/>
                <w:lang w:eastAsia="en-US"/>
              </w:rPr>
            </w:pPr>
            <w:r w:rsidRPr="00E76027">
              <w:rPr>
                <w:rFonts w:cs="Tahoma"/>
                <w:b/>
                <w:color w:val="000000" w:themeColor="text1"/>
                <w:sz w:val="21"/>
                <w:szCs w:val="21"/>
                <w:lang w:eastAsia="en-US"/>
              </w:rPr>
              <w:t>Acteurs</w:t>
            </w:r>
          </w:p>
        </w:tc>
        <w:tc>
          <w:tcPr>
            <w:tcW w:w="5003" w:type="dxa"/>
            <w:vAlign w:val="center"/>
          </w:tcPr>
          <w:p w:rsidR="0060566C" w:rsidRPr="00E76027" w:rsidRDefault="0060566C" w:rsidP="0060566C">
            <w:pPr>
              <w:widowControl w:val="0"/>
              <w:autoSpaceDE w:val="0"/>
              <w:autoSpaceDN w:val="0"/>
              <w:adjustRightInd w:val="0"/>
              <w:jc w:val="center"/>
              <w:rPr>
                <w:rFonts w:cs="Times"/>
                <w:b/>
                <w:color w:val="000000" w:themeColor="text1"/>
                <w:sz w:val="21"/>
                <w:szCs w:val="21"/>
                <w:lang w:eastAsia="en-US"/>
              </w:rPr>
            </w:pPr>
            <w:r w:rsidRPr="00E76027">
              <w:rPr>
                <w:rFonts w:cs="Tahoma"/>
                <w:b/>
                <w:color w:val="000000" w:themeColor="text1"/>
                <w:sz w:val="21"/>
                <w:szCs w:val="21"/>
                <w:lang w:eastAsia="en-US"/>
              </w:rPr>
              <w:t>Propositions</w:t>
            </w:r>
          </w:p>
        </w:tc>
        <w:tc>
          <w:tcPr>
            <w:tcW w:w="2562" w:type="dxa"/>
            <w:vAlign w:val="center"/>
          </w:tcPr>
          <w:p w:rsidR="0060566C" w:rsidRPr="00E76027" w:rsidRDefault="0060566C" w:rsidP="0060566C">
            <w:pPr>
              <w:widowControl w:val="0"/>
              <w:autoSpaceDE w:val="0"/>
              <w:autoSpaceDN w:val="0"/>
              <w:adjustRightInd w:val="0"/>
              <w:jc w:val="center"/>
              <w:rPr>
                <w:rFonts w:cs="Times"/>
                <w:b/>
                <w:color w:val="000000" w:themeColor="text1"/>
                <w:sz w:val="21"/>
                <w:szCs w:val="21"/>
                <w:lang w:eastAsia="en-US"/>
              </w:rPr>
            </w:pPr>
            <w:r w:rsidRPr="00E76027">
              <w:rPr>
                <w:rFonts w:cs="Tahoma"/>
                <w:b/>
                <w:color w:val="000000" w:themeColor="text1"/>
                <w:sz w:val="21"/>
                <w:szCs w:val="21"/>
                <w:lang w:eastAsia="en-US"/>
              </w:rPr>
              <w:t>Budget Estimatif du volet renforcement des capacités</w:t>
            </w:r>
          </w:p>
        </w:tc>
      </w:tr>
      <w:tr w:rsidR="0060566C" w:rsidRPr="00856AC2" w:rsidTr="0060566C">
        <w:tc>
          <w:tcPr>
            <w:tcW w:w="1497" w:type="dxa"/>
          </w:tcPr>
          <w:p w:rsidR="0060566C" w:rsidRPr="00856AC2" w:rsidRDefault="0060566C" w:rsidP="0060566C">
            <w:pPr>
              <w:pStyle w:val="PargrafodaLista"/>
              <w:spacing w:after="0" w:line="240" w:lineRule="auto"/>
              <w:ind w:left="0" w:right="-50"/>
              <w:jc w:val="both"/>
              <w:rPr>
                <w:rFonts w:ascii="Times" w:hAnsi="Times"/>
                <w:sz w:val="21"/>
                <w:szCs w:val="21"/>
              </w:rPr>
            </w:pPr>
            <w:r w:rsidRPr="00856AC2">
              <w:rPr>
                <w:rFonts w:ascii="Times" w:hAnsi="Times"/>
                <w:b/>
                <w:sz w:val="21"/>
                <w:szCs w:val="21"/>
              </w:rPr>
              <w:t>UCP du projet PUSA</w:t>
            </w:r>
          </w:p>
        </w:tc>
        <w:tc>
          <w:tcPr>
            <w:tcW w:w="5003" w:type="dxa"/>
          </w:tcPr>
          <w:p w:rsidR="0060566C" w:rsidRPr="00856AC2" w:rsidRDefault="0060566C" w:rsidP="0060566C">
            <w:pPr>
              <w:ind w:right="-50"/>
              <w:jc w:val="both"/>
              <w:rPr>
                <w:rFonts w:ascii="Times" w:hAnsi="Times"/>
                <w:sz w:val="21"/>
                <w:szCs w:val="21"/>
              </w:rPr>
            </w:pPr>
            <w:r w:rsidRPr="00856AC2">
              <w:rPr>
                <w:rFonts w:ascii="Times" w:hAnsi="Times"/>
                <w:sz w:val="21"/>
                <w:szCs w:val="21"/>
              </w:rPr>
              <w:t xml:space="preserve">▪Recruter un Spécialiste en Genre et sauvegarde Sociale (SGSS) </w:t>
            </w:r>
          </w:p>
        </w:tc>
        <w:tc>
          <w:tcPr>
            <w:tcW w:w="2562" w:type="dxa"/>
            <w:vAlign w:val="center"/>
          </w:tcPr>
          <w:p w:rsidR="0060566C" w:rsidRPr="0060566C" w:rsidRDefault="0060566C" w:rsidP="0060566C">
            <w:pPr>
              <w:ind w:right="-50"/>
              <w:jc w:val="center"/>
              <w:rPr>
                <w:rFonts w:ascii="Times" w:hAnsi="Times"/>
                <w:b/>
                <w:sz w:val="21"/>
                <w:szCs w:val="21"/>
              </w:rPr>
            </w:pPr>
            <w:r w:rsidRPr="0060566C">
              <w:rPr>
                <w:rFonts w:ascii="Times" w:hAnsi="Times"/>
                <w:b/>
                <w:sz w:val="21"/>
                <w:szCs w:val="21"/>
              </w:rPr>
              <w:t>Dans le budget du Projet</w:t>
            </w:r>
          </w:p>
          <w:p w:rsidR="0060566C" w:rsidRPr="0060566C" w:rsidRDefault="0060566C" w:rsidP="0060566C">
            <w:pPr>
              <w:pStyle w:val="PargrafodaLista"/>
              <w:spacing w:after="0" w:line="240" w:lineRule="auto"/>
              <w:ind w:left="0" w:right="-50"/>
              <w:jc w:val="center"/>
              <w:rPr>
                <w:rFonts w:ascii="Times" w:hAnsi="Times"/>
                <w:b/>
                <w:sz w:val="21"/>
                <w:szCs w:val="21"/>
              </w:rPr>
            </w:pPr>
          </w:p>
        </w:tc>
      </w:tr>
      <w:tr w:rsidR="0060566C" w:rsidRPr="00856AC2" w:rsidTr="0060566C">
        <w:tc>
          <w:tcPr>
            <w:tcW w:w="1497" w:type="dxa"/>
          </w:tcPr>
          <w:p w:rsidR="0060566C" w:rsidRPr="00856AC2" w:rsidRDefault="0060566C" w:rsidP="0060566C">
            <w:pPr>
              <w:pStyle w:val="PargrafodaLista"/>
              <w:spacing w:after="0" w:line="240" w:lineRule="auto"/>
              <w:ind w:left="0" w:right="-50"/>
              <w:jc w:val="both"/>
              <w:rPr>
                <w:rFonts w:ascii="Times" w:hAnsi="Times"/>
                <w:sz w:val="21"/>
                <w:szCs w:val="21"/>
              </w:rPr>
            </w:pPr>
            <w:r w:rsidRPr="00856AC2">
              <w:rPr>
                <w:rFonts w:ascii="Times" w:hAnsi="Times"/>
                <w:b/>
                <w:bCs/>
                <w:sz w:val="21"/>
                <w:szCs w:val="21"/>
              </w:rPr>
              <w:t>AAAC</w:t>
            </w:r>
          </w:p>
        </w:tc>
        <w:tc>
          <w:tcPr>
            <w:tcW w:w="5003" w:type="dxa"/>
          </w:tcPr>
          <w:p w:rsidR="0060566C" w:rsidRPr="00856AC2" w:rsidRDefault="0060566C" w:rsidP="0060566C">
            <w:pPr>
              <w:ind w:right="-50"/>
              <w:jc w:val="both"/>
              <w:rPr>
                <w:rFonts w:ascii="Times" w:hAnsi="Times"/>
                <w:sz w:val="21"/>
                <w:szCs w:val="21"/>
              </w:rPr>
            </w:pPr>
            <w:r w:rsidRPr="00856AC2">
              <w:rPr>
                <w:rFonts w:ascii="Times" w:hAnsi="Times"/>
                <w:sz w:val="21"/>
                <w:szCs w:val="21"/>
              </w:rPr>
              <w:t>Mettre en place un protocole de collaboration assorti d’un budget avec AAAC pour accomplir les différentes activités indiquées dans la procédure de gestion environnementale et sociale (inspection, suivi, approbation de rapports -Former les équipes AAAC sur les NES de la BM et les exigences s</w:t>
            </w:r>
            <w:r>
              <w:rPr>
                <w:rFonts w:ascii="Times" w:hAnsi="Times"/>
                <w:sz w:val="21"/>
                <w:szCs w:val="21"/>
              </w:rPr>
              <w:t xml:space="preserve">ociales du CGES </w:t>
            </w:r>
          </w:p>
          <w:p w:rsidR="0060566C" w:rsidRPr="00856AC2" w:rsidRDefault="0060566C" w:rsidP="0060566C">
            <w:pPr>
              <w:ind w:right="-50"/>
              <w:jc w:val="both"/>
              <w:rPr>
                <w:rFonts w:ascii="Times" w:hAnsi="Times"/>
                <w:sz w:val="21"/>
                <w:szCs w:val="21"/>
              </w:rPr>
            </w:pPr>
            <w:r w:rsidRPr="00856AC2">
              <w:rPr>
                <w:rFonts w:ascii="Times" w:hAnsi="Times"/>
                <w:sz w:val="21"/>
                <w:szCs w:val="21"/>
              </w:rPr>
              <w:t xml:space="preserve">-Former les équipes AAAC sur les problématiques HSS et sur les mécanismes de gestion des plaintes, etc. </w:t>
            </w:r>
          </w:p>
        </w:tc>
        <w:tc>
          <w:tcPr>
            <w:tcW w:w="2562" w:type="dxa"/>
            <w:vAlign w:val="center"/>
          </w:tcPr>
          <w:p w:rsidR="0060566C" w:rsidRPr="0060566C" w:rsidRDefault="0060566C" w:rsidP="0060566C">
            <w:pPr>
              <w:ind w:right="-50"/>
              <w:jc w:val="center"/>
              <w:rPr>
                <w:rFonts w:ascii="Times" w:hAnsi="Times"/>
                <w:b/>
                <w:sz w:val="21"/>
                <w:szCs w:val="21"/>
              </w:rPr>
            </w:pPr>
            <w:r w:rsidRPr="0060566C">
              <w:rPr>
                <w:rFonts w:ascii="Times" w:hAnsi="Times"/>
                <w:b/>
                <w:sz w:val="21"/>
                <w:szCs w:val="21"/>
              </w:rPr>
              <w:t>10 000 000</w:t>
            </w:r>
          </w:p>
        </w:tc>
      </w:tr>
      <w:tr w:rsidR="0060566C" w:rsidRPr="00856AC2" w:rsidTr="0060566C">
        <w:tc>
          <w:tcPr>
            <w:tcW w:w="1497" w:type="dxa"/>
          </w:tcPr>
          <w:p w:rsidR="0060566C" w:rsidRPr="00856AC2" w:rsidRDefault="0060566C" w:rsidP="0060566C">
            <w:pPr>
              <w:pStyle w:val="PargrafodaLista"/>
              <w:spacing w:after="0" w:line="240" w:lineRule="auto"/>
              <w:ind w:left="0" w:right="-50"/>
              <w:jc w:val="both"/>
              <w:rPr>
                <w:rFonts w:ascii="Times" w:hAnsi="Times"/>
                <w:sz w:val="21"/>
                <w:szCs w:val="21"/>
              </w:rPr>
            </w:pPr>
            <w:r w:rsidRPr="00856AC2">
              <w:rPr>
                <w:rFonts w:ascii="Times" w:hAnsi="Times"/>
                <w:b/>
                <w:bCs/>
                <w:sz w:val="21"/>
                <w:szCs w:val="21"/>
              </w:rPr>
              <w:t>DGA et DSPV</w:t>
            </w:r>
          </w:p>
        </w:tc>
        <w:tc>
          <w:tcPr>
            <w:tcW w:w="5003" w:type="dxa"/>
          </w:tcPr>
          <w:p w:rsidR="0060566C" w:rsidRPr="00856AC2" w:rsidRDefault="0060566C" w:rsidP="0060566C">
            <w:pPr>
              <w:ind w:right="-50"/>
              <w:jc w:val="both"/>
              <w:rPr>
                <w:rFonts w:ascii="Times" w:hAnsi="Times"/>
                <w:sz w:val="21"/>
                <w:szCs w:val="21"/>
              </w:rPr>
            </w:pPr>
            <w:r w:rsidRPr="00856AC2">
              <w:rPr>
                <w:rFonts w:ascii="Times" w:hAnsi="Times"/>
                <w:sz w:val="21"/>
                <w:szCs w:val="21"/>
              </w:rPr>
              <w:t xml:space="preserve">-Appuyer les directions de l’agriculture en moyens matériels </w:t>
            </w:r>
          </w:p>
          <w:p w:rsidR="0060566C" w:rsidRPr="00856AC2" w:rsidRDefault="0060566C" w:rsidP="0060566C">
            <w:pPr>
              <w:ind w:right="-50"/>
              <w:jc w:val="both"/>
              <w:rPr>
                <w:rFonts w:ascii="Times" w:hAnsi="Times"/>
                <w:sz w:val="21"/>
                <w:szCs w:val="21"/>
              </w:rPr>
            </w:pPr>
            <w:r w:rsidRPr="00856AC2">
              <w:rPr>
                <w:rFonts w:ascii="Times" w:hAnsi="Times"/>
                <w:sz w:val="21"/>
                <w:szCs w:val="21"/>
              </w:rPr>
              <w:t xml:space="preserve">-Former les équipes AAAC sur les NES de la BM et les exigences sociales du CGES </w:t>
            </w:r>
          </w:p>
        </w:tc>
        <w:tc>
          <w:tcPr>
            <w:tcW w:w="2562" w:type="dxa"/>
            <w:vAlign w:val="center"/>
          </w:tcPr>
          <w:p w:rsidR="0060566C" w:rsidRPr="0060566C" w:rsidRDefault="0060566C" w:rsidP="0060566C">
            <w:pPr>
              <w:pStyle w:val="PargrafodaLista"/>
              <w:spacing w:after="0" w:line="240" w:lineRule="auto"/>
              <w:ind w:left="0" w:right="-50"/>
              <w:jc w:val="center"/>
              <w:rPr>
                <w:rFonts w:ascii="Times" w:hAnsi="Times"/>
                <w:b/>
                <w:sz w:val="21"/>
                <w:szCs w:val="21"/>
              </w:rPr>
            </w:pPr>
            <w:r w:rsidRPr="0060566C">
              <w:rPr>
                <w:rFonts w:ascii="Times" w:hAnsi="Times"/>
                <w:b/>
                <w:sz w:val="21"/>
                <w:szCs w:val="21"/>
              </w:rPr>
              <w:t>PM</w:t>
            </w:r>
          </w:p>
        </w:tc>
      </w:tr>
      <w:tr w:rsidR="0060566C" w:rsidRPr="008A6D98" w:rsidTr="0060566C">
        <w:tc>
          <w:tcPr>
            <w:tcW w:w="1497" w:type="dxa"/>
          </w:tcPr>
          <w:p w:rsidR="0060566C" w:rsidRPr="00856AC2" w:rsidRDefault="0060566C" w:rsidP="0060566C">
            <w:pPr>
              <w:pStyle w:val="PargrafodaLista"/>
              <w:spacing w:after="0" w:line="240" w:lineRule="auto"/>
              <w:ind w:left="0" w:right="-50"/>
              <w:jc w:val="both"/>
              <w:rPr>
                <w:rFonts w:ascii="Times" w:hAnsi="Times"/>
                <w:b/>
                <w:bCs/>
                <w:sz w:val="21"/>
                <w:szCs w:val="21"/>
              </w:rPr>
            </w:pPr>
            <w:r w:rsidRPr="00856AC2">
              <w:rPr>
                <w:rFonts w:ascii="Times" w:hAnsi="Times"/>
                <w:b/>
                <w:bCs/>
                <w:sz w:val="21"/>
                <w:szCs w:val="21"/>
              </w:rPr>
              <w:t>Communes</w:t>
            </w:r>
          </w:p>
        </w:tc>
        <w:tc>
          <w:tcPr>
            <w:tcW w:w="5003" w:type="dxa"/>
          </w:tcPr>
          <w:p w:rsidR="0060566C" w:rsidRPr="00856AC2" w:rsidRDefault="0060566C" w:rsidP="0060566C">
            <w:pPr>
              <w:ind w:right="-50"/>
              <w:jc w:val="both"/>
              <w:rPr>
                <w:rFonts w:ascii="Times" w:hAnsi="Times"/>
                <w:sz w:val="21"/>
                <w:szCs w:val="21"/>
              </w:rPr>
            </w:pPr>
            <w:r w:rsidRPr="00856AC2">
              <w:rPr>
                <w:rFonts w:ascii="Times" w:hAnsi="Times"/>
                <w:sz w:val="21"/>
                <w:szCs w:val="21"/>
              </w:rPr>
              <w:t xml:space="preserve">-Formation les commissions environnement des communes sur la gestion des déchets dangereux </w:t>
            </w:r>
          </w:p>
          <w:p w:rsidR="0060566C" w:rsidRPr="00856AC2" w:rsidRDefault="0060566C" w:rsidP="0060566C">
            <w:pPr>
              <w:ind w:right="-50"/>
              <w:jc w:val="both"/>
              <w:rPr>
                <w:rFonts w:ascii="Times" w:hAnsi="Times"/>
                <w:sz w:val="21"/>
                <w:szCs w:val="21"/>
              </w:rPr>
            </w:pPr>
            <w:r w:rsidRPr="00856AC2">
              <w:rPr>
                <w:rFonts w:ascii="Times" w:hAnsi="Times"/>
                <w:sz w:val="21"/>
                <w:szCs w:val="21"/>
              </w:rPr>
              <w:t xml:space="preserve">-Former les commissions sociales des communes sur le mécanisme de gestion des plaintes, etc. </w:t>
            </w:r>
          </w:p>
        </w:tc>
        <w:tc>
          <w:tcPr>
            <w:tcW w:w="2562" w:type="dxa"/>
            <w:vAlign w:val="center"/>
          </w:tcPr>
          <w:p w:rsidR="0060566C" w:rsidRPr="0060566C" w:rsidRDefault="0060566C" w:rsidP="0060566C">
            <w:pPr>
              <w:pStyle w:val="PargrafodaLista"/>
              <w:spacing w:after="0" w:line="240" w:lineRule="auto"/>
              <w:ind w:left="0" w:right="-50"/>
              <w:jc w:val="center"/>
              <w:rPr>
                <w:rFonts w:ascii="Times" w:hAnsi="Times"/>
                <w:b/>
                <w:sz w:val="21"/>
                <w:szCs w:val="21"/>
              </w:rPr>
            </w:pPr>
            <w:r w:rsidRPr="0060566C">
              <w:rPr>
                <w:rFonts w:ascii="Times" w:hAnsi="Times"/>
                <w:b/>
                <w:sz w:val="21"/>
                <w:szCs w:val="21"/>
              </w:rPr>
              <w:t>PM</w:t>
            </w:r>
          </w:p>
        </w:tc>
      </w:tr>
    </w:tbl>
    <w:p w:rsidR="00966572" w:rsidRDefault="00966572" w:rsidP="004F4212">
      <w:pPr>
        <w:rPr>
          <w:rFonts w:ascii="Times" w:eastAsia="Calibri" w:hAnsi="Times" w:cs="Times"/>
          <w:b/>
          <w:color w:val="000000"/>
          <w:sz w:val="20"/>
          <w:szCs w:val="20"/>
          <w:lang w:eastAsia="en-US"/>
        </w:rPr>
      </w:pPr>
    </w:p>
    <w:p w:rsidR="00966572" w:rsidRDefault="00966572" w:rsidP="004F4212">
      <w:pPr>
        <w:rPr>
          <w:rFonts w:ascii="Times" w:eastAsia="Calibri" w:hAnsi="Times" w:cs="Times"/>
          <w:b/>
          <w:color w:val="000000"/>
          <w:sz w:val="20"/>
          <w:szCs w:val="20"/>
          <w:lang w:eastAsia="en-US"/>
        </w:rPr>
      </w:pPr>
    </w:p>
    <w:p w:rsidR="00966572" w:rsidRDefault="00966572" w:rsidP="004F4212">
      <w:pPr>
        <w:rPr>
          <w:rFonts w:ascii="Times" w:eastAsia="Calibri" w:hAnsi="Times" w:cs="Times"/>
          <w:b/>
          <w:color w:val="000000"/>
          <w:sz w:val="20"/>
          <w:szCs w:val="20"/>
          <w:lang w:eastAsia="en-US"/>
        </w:rPr>
      </w:pPr>
    </w:p>
    <w:p w:rsidR="00966572" w:rsidRDefault="00966572" w:rsidP="004F4212">
      <w:pPr>
        <w:rPr>
          <w:rFonts w:ascii="Times" w:eastAsia="Calibri" w:hAnsi="Times" w:cs="Times"/>
          <w:b/>
          <w:color w:val="000000"/>
          <w:sz w:val="20"/>
          <w:szCs w:val="20"/>
          <w:lang w:eastAsia="en-US"/>
        </w:rPr>
      </w:pPr>
    </w:p>
    <w:p w:rsidR="00966572" w:rsidRDefault="00966572" w:rsidP="004F4212">
      <w:pPr>
        <w:rPr>
          <w:rFonts w:ascii="Times" w:eastAsia="Calibri" w:hAnsi="Times" w:cs="Times"/>
          <w:b/>
          <w:color w:val="000000"/>
          <w:sz w:val="20"/>
          <w:szCs w:val="20"/>
          <w:lang w:eastAsia="en-US"/>
        </w:rPr>
      </w:pPr>
    </w:p>
    <w:p w:rsidR="00966572" w:rsidRDefault="00966572" w:rsidP="004F4212">
      <w:pPr>
        <w:rPr>
          <w:rFonts w:ascii="Times" w:eastAsia="Calibri" w:hAnsi="Times" w:cs="Times"/>
          <w:b/>
          <w:color w:val="000000"/>
          <w:sz w:val="20"/>
          <w:szCs w:val="20"/>
          <w:lang w:eastAsia="en-US"/>
        </w:rPr>
      </w:pPr>
    </w:p>
    <w:p w:rsidR="00966572" w:rsidRDefault="00966572" w:rsidP="004F4212">
      <w:pPr>
        <w:rPr>
          <w:rFonts w:ascii="Times" w:eastAsia="Calibri" w:hAnsi="Times" w:cs="Times"/>
          <w:b/>
          <w:color w:val="000000"/>
          <w:sz w:val="20"/>
          <w:szCs w:val="20"/>
          <w:lang w:eastAsia="en-US"/>
        </w:rPr>
      </w:pPr>
    </w:p>
    <w:p w:rsidR="00966572" w:rsidRDefault="00966572" w:rsidP="004F4212">
      <w:pPr>
        <w:rPr>
          <w:rFonts w:ascii="Times" w:eastAsia="Calibri" w:hAnsi="Times" w:cs="Times"/>
          <w:b/>
          <w:color w:val="000000"/>
          <w:sz w:val="20"/>
          <w:szCs w:val="20"/>
          <w:lang w:eastAsia="en-US"/>
        </w:rPr>
      </w:pPr>
    </w:p>
    <w:p w:rsidR="00966572" w:rsidRDefault="00966572" w:rsidP="004F4212">
      <w:pPr>
        <w:rPr>
          <w:rFonts w:ascii="Times" w:eastAsia="Calibri" w:hAnsi="Times" w:cs="Times"/>
          <w:b/>
          <w:color w:val="000000"/>
          <w:sz w:val="20"/>
          <w:szCs w:val="20"/>
          <w:lang w:eastAsia="en-US"/>
        </w:rPr>
      </w:pPr>
    </w:p>
    <w:p w:rsidR="00966572" w:rsidRDefault="00966572" w:rsidP="004F4212">
      <w:pPr>
        <w:rPr>
          <w:rFonts w:ascii="Times" w:eastAsia="Calibri" w:hAnsi="Times" w:cs="Times"/>
          <w:b/>
          <w:color w:val="000000"/>
          <w:sz w:val="20"/>
          <w:szCs w:val="20"/>
          <w:lang w:eastAsia="en-US"/>
        </w:rPr>
      </w:pPr>
    </w:p>
    <w:p w:rsidR="00966572" w:rsidRPr="00A05698" w:rsidRDefault="00966572" w:rsidP="004F4212"/>
    <w:p w:rsidR="009F32B9" w:rsidRPr="00A05698" w:rsidRDefault="00045EAE" w:rsidP="00382E1C">
      <w:pPr>
        <w:pStyle w:val="PargrafodaLista"/>
        <w:spacing w:after="120" w:line="240" w:lineRule="auto"/>
        <w:ind w:left="1068" w:right="-847"/>
        <w:outlineLvl w:val="1"/>
        <w:rPr>
          <w:rFonts w:ascii="Times New Roman" w:hAnsi="Times New Roman"/>
          <w:b/>
          <w:bCs/>
          <w:sz w:val="24"/>
          <w:szCs w:val="24"/>
        </w:rPr>
      </w:pPr>
      <w:bookmarkStart w:id="330" w:name="_Toc73459763"/>
      <w:r>
        <w:rPr>
          <w:rFonts w:ascii="Times New Roman" w:hAnsi="Times New Roman"/>
          <w:b/>
          <w:bCs/>
          <w:sz w:val="24"/>
          <w:szCs w:val="24"/>
        </w:rPr>
        <w:t>8.6</w:t>
      </w:r>
      <w:r w:rsidR="009F32B9" w:rsidRPr="00A05698">
        <w:rPr>
          <w:rFonts w:ascii="Times New Roman" w:hAnsi="Times New Roman"/>
          <w:b/>
          <w:bCs/>
          <w:sz w:val="24"/>
          <w:szCs w:val="24"/>
        </w:rPr>
        <w:t>. Evaluation des coûts des mesures environnementales et sociales</w:t>
      </w:r>
      <w:bookmarkEnd w:id="330"/>
      <w:r w:rsidR="009F32B9" w:rsidRPr="00A05698">
        <w:rPr>
          <w:rFonts w:ascii="Times New Roman" w:hAnsi="Times New Roman"/>
          <w:b/>
          <w:bCs/>
          <w:sz w:val="24"/>
          <w:szCs w:val="24"/>
        </w:rPr>
        <w:t xml:space="preserve"> </w:t>
      </w:r>
    </w:p>
    <w:p w:rsidR="00DF32A2" w:rsidRPr="004D1BD0" w:rsidRDefault="00BB031A" w:rsidP="0060566C">
      <w:pPr>
        <w:autoSpaceDE w:val="0"/>
        <w:autoSpaceDN w:val="0"/>
        <w:adjustRightInd w:val="0"/>
        <w:ind w:left="142" w:right="-851"/>
        <w:jc w:val="both"/>
      </w:pPr>
      <w:r w:rsidRPr="004D1BD0">
        <w:t xml:space="preserve">Les coûts estimatifs de la prise en compte des mesures de mitigation environnementales et sociales, d’un montant global de </w:t>
      </w:r>
      <w:r w:rsidR="001517C5" w:rsidRPr="00345951">
        <w:rPr>
          <w:b/>
        </w:rPr>
        <w:t>7</w:t>
      </w:r>
      <w:r w:rsidR="0090603F" w:rsidRPr="00345951">
        <w:rPr>
          <w:b/>
        </w:rPr>
        <w:t>3</w:t>
      </w:r>
      <w:r w:rsidR="00014AFD" w:rsidRPr="00345951">
        <w:rPr>
          <w:b/>
        </w:rPr>
        <w:t xml:space="preserve"> </w:t>
      </w:r>
      <w:r w:rsidR="00716C7D" w:rsidRPr="00345951">
        <w:rPr>
          <w:b/>
        </w:rPr>
        <w:t>75</w:t>
      </w:r>
      <w:r w:rsidR="00014AFD" w:rsidRPr="00345951">
        <w:rPr>
          <w:b/>
        </w:rPr>
        <w:t xml:space="preserve">0 000 </w:t>
      </w:r>
      <w:r w:rsidRPr="00345951">
        <w:rPr>
          <w:b/>
        </w:rPr>
        <w:t>FCFA</w:t>
      </w:r>
      <w:r w:rsidRPr="00CA142D">
        <w:t xml:space="preserve">, </w:t>
      </w:r>
      <w:r w:rsidRPr="004D1BD0">
        <w:t>comprennent essentiellement</w:t>
      </w:r>
      <w:r w:rsidRPr="00CA142D">
        <w:t xml:space="preserve"> : </w:t>
      </w:r>
      <w:r w:rsidRPr="004D1BD0">
        <w:t xml:space="preserve">Recrutement Expert Environnement et Social ; Réalisation des </w:t>
      </w:r>
      <w:r w:rsidR="00A73BE0">
        <w:t xml:space="preserve">AEI </w:t>
      </w:r>
      <w:r w:rsidRPr="004D1BD0">
        <w:t xml:space="preserve">y compris leur mise en œuvre ; Élaboration d’une base de données environnementale et sociale des activités du </w:t>
      </w:r>
      <w:r w:rsidR="00A73BE0" w:rsidRPr="004D1BD0">
        <w:t>programme ;</w:t>
      </w:r>
      <w:r w:rsidRPr="004D1BD0">
        <w:t xml:space="preserve"> Surveillance environnementale et sociale ; Suivi environnemental et social ; Évaluation (à mi-parc</w:t>
      </w:r>
      <w:r w:rsidR="00DF32A2" w:rsidRPr="004D1BD0">
        <w:t>ours et finale) du CGES du projet PUSA</w:t>
      </w:r>
      <w:r w:rsidRPr="004D1BD0">
        <w:t>.</w:t>
      </w:r>
    </w:p>
    <w:p w:rsidR="003D1D95" w:rsidRPr="004D1BD0" w:rsidRDefault="003D1D95" w:rsidP="00922C95">
      <w:pPr>
        <w:ind w:left="-284" w:right="-851"/>
        <w:jc w:val="both"/>
      </w:pPr>
    </w:p>
    <w:p w:rsidR="00206E2C" w:rsidRPr="00A05698" w:rsidRDefault="00206E2C" w:rsidP="003D1D95">
      <w:pPr>
        <w:pStyle w:val="Primeiroavanodecorpodetexto2"/>
        <w:spacing w:after="0" w:line="240" w:lineRule="auto"/>
        <w:jc w:val="center"/>
        <w:rPr>
          <w:rFonts w:ascii="Times New Roman" w:hAnsi="Times New Roman"/>
          <w:b/>
        </w:rPr>
      </w:pPr>
      <w:bookmarkStart w:id="331" w:name="_Toc55460645"/>
      <w:bookmarkStart w:id="332" w:name="_Toc73522631"/>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485BA4">
        <w:rPr>
          <w:rFonts w:ascii="Times New Roman" w:hAnsi="Times New Roman"/>
          <w:b/>
          <w:noProof/>
        </w:rPr>
        <w:t>25</w:t>
      </w:r>
      <w:r w:rsidRPr="00A05698">
        <w:rPr>
          <w:rFonts w:ascii="Times New Roman" w:hAnsi="Times New Roman"/>
          <w:b/>
        </w:rPr>
        <w:fldChar w:fldCharType="end"/>
      </w:r>
      <w:r w:rsidRPr="00A05698">
        <w:rPr>
          <w:rFonts w:ascii="Times New Roman" w:hAnsi="Times New Roman"/>
          <w:b/>
        </w:rPr>
        <w:t>. Coûts estimatifs des mesures environnementales et sociales</w:t>
      </w:r>
      <w:bookmarkEnd w:id="331"/>
      <w:bookmarkEnd w:id="332"/>
    </w:p>
    <w:tbl>
      <w:tblPr>
        <w:tblStyle w:val="GrelhaClara-Cor3"/>
        <w:tblW w:w="0" w:type="auto"/>
        <w:jc w:val="center"/>
        <w:tblLook w:val="04A0" w:firstRow="1" w:lastRow="0" w:firstColumn="1" w:lastColumn="0" w:noHBand="0" w:noVBand="1"/>
      </w:tblPr>
      <w:tblGrid>
        <w:gridCol w:w="1860"/>
        <w:gridCol w:w="3209"/>
        <w:gridCol w:w="1750"/>
        <w:gridCol w:w="1308"/>
        <w:gridCol w:w="1161"/>
      </w:tblGrid>
      <w:tr w:rsidR="00232AAD" w:rsidRPr="00567F82" w:rsidTr="007B4112">
        <w:trPr>
          <w:cnfStyle w:val="100000000000" w:firstRow="1" w:lastRow="0" w:firstColumn="0" w:lastColumn="0" w:oddVBand="0" w:evenVBand="0" w:oddHBand="0" w:evenHBand="0" w:firstRowFirstColumn="0" w:firstRowLastColumn="0" w:lastRowFirstColumn="0" w:lastRowLastColumn="0"/>
          <w:trHeight w:val="60"/>
          <w:tblHeader/>
          <w:jc w:val="center"/>
        </w:trPr>
        <w:tc>
          <w:tcPr>
            <w:tcW w:w="0" w:type="auto"/>
            <w:gridSpan w:val="2"/>
            <w:shd w:val="clear" w:color="auto" w:fill="F2F2F2"/>
            <w:vAlign w:val="center"/>
          </w:tcPr>
          <w:p w:rsidR="00206E2C" w:rsidRPr="00567F82" w:rsidRDefault="00206E2C" w:rsidP="004F4212">
            <w:pPr>
              <w:jc w:val="center"/>
              <w:rPr>
                <w:b/>
                <w:bCs/>
                <w:sz w:val="21"/>
                <w:szCs w:val="21"/>
              </w:rPr>
            </w:pPr>
            <w:r w:rsidRPr="00567F82">
              <w:rPr>
                <w:b/>
                <w:bCs/>
                <w:sz w:val="21"/>
                <w:szCs w:val="21"/>
              </w:rPr>
              <w:t>Activités</w:t>
            </w:r>
          </w:p>
        </w:tc>
        <w:tc>
          <w:tcPr>
            <w:tcW w:w="1750" w:type="dxa"/>
            <w:shd w:val="clear" w:color="auto" w:fill="F2F2F2"/>
            <w:vAlign w:val="center"/>
          </w:tcPr>
          <w:p w:rsidR="00206E2C" w:rsidRPr="00567F82" w:rsidRDefault="00206E2C" w:rsidP="004F4212">
            <w:pPr>
              <w:jc w:val="center"/>
              <w:rPr>
                <w:b/>
                <w:bCs/>
                <w:sz w:val="21"/>
                <w:szCs w:val="21"/>
              </w:rPr>
            </w:pPr>
            <w:r w:rsidRPr="00567F82">
              <w:rPr>
                <w:b/>
                <w:bCs/>
                <w:sz w:val="21"/>
                <w:szCs w:val="21"/>
              </w:rPr>
              <w:t>Quantité</w:t>
            </w:r>
          </w:p>
        </w:tc>
        <w:tc>
          <w:tcPr>
            <w:tcW w:w="1308" w:type="dxa"/>
            <w:shd w:val="clear" w:color="auto" w:fill="F2F2F2"/>
            <w:vAlign w:val="center"/>
          </w:tcPr>
          <w:p w:rsidR="00206E2C" w:rsidRPr="00567F82" w:rsidRDefault="00206E2C" w:rsidP="004F4212">
            <w:pPr>
              <w:jc w:val="center"/>
              <w:rPr>
                <w:b/>
                <w:bCs/>
                <w:sz w:val="21"/>
                <w:szCs w:val="21"/>
              </w:rPr>
            </w:pPr>
            <w:r w:rsidRPr="00567F82">
              <w:rPr>
                <w:b/>
                <w:bCs/>
                <w:sz w:val="21"/>
                <w:szCs w:val="21"/>
              </w:rPr>
              <w:t>Coûts unitaires</w:t>
            </w:r>
          </w:p>
          <w:p w:rsidR="00206E2C" w:rsidRPr="00567F82" w:rsidRDefault="00206E2C" w:rsidP="004F4212">
            <w:pPr>
              <w:jc w:val="center"/>
              <w:rPr>
                <w:b/>
                <w:bCs/>
                <w:sz w:val="21"/>
                <w:szCs w:val="21"/>
              </w:rPr>
            </w:pPr>
            <w:r w:rsidRPr="00567F82">
              <w:rPr>
                <w:b/>
                <w:bCs/>
                <w:sz w:val="21"/>
                <w:szCs w:val="21"/>
              </w:rPr>
              <w:t>(FCFA)</w:t>
            </w:r>
          </w:p>
        </w:tc>
        <w:tc>
          <w:tcPr>
            <w:tcW w:w="1161" w:type="dxa"/>
            <w:shd w:val="clear" w:color="auto" w:fill="F2F2F2"/>
            <w:vAlign w:val="center"/>
          </w:tcPr>
          <w:p w:rsidR="00206E2C" w:rsidRPr="00567F82" w:rsidRDefault="00206E2C" w:rsidP="004F4212">
            <w:pPr>
              <w:jc w:val="center"/>
              <w:rPr>
                <w:b/>
                <w:bCs/>
                <w:sz w:val="21"/>
                <w:szCs w:val="21"/>
              </w:rPr>
            </w:pPr>
            <w:r w:rsidRPr="00567F82">
              <w:rPr>
                <w:b/>
                <w:bCs/>
                <w:sz w:val="21"/>
                <w:szCs w:val="21"/>
              </w:rPr>
              <w:t>Coût total (FCFA)</w:t>
            </w:r>
          </w:p>
        </w:tc>
      </w:tr>
      <w:tr w:rsidR="00206E2C" w:rsidRPr="00567F82" w:rsidTr="007B4112">
        <w:trPr>
          <w:cnfStyle w:val="000000100000" w:firstRow="0" w:lastRow="0" w:firstColumn="0" w:lastColumn="0" w:oddVBand="0" w:evenVBand="0" w:oddHBand="1" w:evenHBand="0" w:firstRowFirstColumn="0" w:firstRowLastColumn="0" w:lastRowFirstColumn="0" w:lastRowLastColumn="0"/>
          <w:trHeight w:val="131"/>
          <w:jc w:val="center"/>
        </w:trPr>
        <w:tc>
          <w:tcPr>
            <w:tcW w:w="0" w:type="auto"/>
            <w:gridSpan w:val="5"/>
            <w:shd w:val="clear" w:color="auto" w:fill="F2F2F2"/>
          </w:tcPr>
          <w:p w:rsidR="00206E2C" w:rsidRPr="00567F82" w:rsidRDefault="00206E2C" w:rsidP="004F4212">
            <w:pPr>
              <w:jc w:val="center"/>
              <w:rPr>
                <w:sz w:val="21"/>
                <w:szCs w:val="21"/>
              </w:rPr>
            </w:pPr>
            <w:r w:rsidRPr="00567F82">
              <w:rPr>
                <w:sz w:val="21"/>
                <w:szCs w:val="21"/>
              </w:rPr>
              <w:t>1. Coûts des mesures techniques et de suivi</w:t>
            </w: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590"/>
          <w:jc w:val="center"/>
        </w:trPr>
        <w:tc>
          <w:tcPr>
            <w:tcW w:w="0" w:type="auto"/>
            <w:gridSpan w:val="2"/>
            <w:shd w:val="clear" w:color="auto" w:fill="FFFFFF"/>
          </w:tcPr>
          <w:p w:rsidR="00A85D3D" w:rsidRPr="00567F82" w:rsidRDefault="00206E2C" w:rsidP="00157035">
            <w:pPr>
              <w:numPr>
                <w:ilvl w:val="0"/>
                <w:numId w:val="90"/>
              </w:numPr>
              <w:contextualSpacing/>
              <w:jc w:val="both"/>
              <w:rPr>
                <w:sz w:val="21"/>
                <w:szCs w:val="21"/>
              </w:rPr>
            </w:pPr>
            <w:r w:rsidRPr="00567F82">
              <w:rPr>
                <w:spacing w:val="-2"/>
                <w:sz w:val="21"/>
                <w:szCs w:val="21"/>
              </w:rPr>
              <w:t>1</w:t>
            </w:r>
            <w:r w:rsidRPr="00567F82">
              <w:rPr>
                <w:sz w:val="21"/>
                <w:szCs w:val="21"/>
              </w:rPr>
              <w:t xml:space="preserve"> </w:t>
            </w:r>
            <w:r w:rsidR="00A73BE0">
              <w:rPr>
                <w:sz w:val="21"/>
                <w:szCs w:val="21"/>
              </w:rPr>
              <w:t>AEI</w:t>
            </w:r>
            <w:r w:rsidRPr="00567F82">
              <w:rPr>
                <w:sz w:val="21"/>
                <w:szCs w:val="21"/>
              </w:rPr>
              <w:t xml:space="preserve"> </w:t>
            </w:r>
            <w:r w:rsidR="00A85D3D" w:rsidRPr="00567F82">
              <w:rPr>
                <w:sz w:val="21"/>
                <w:szCs w:val="21"/>
              </w:rPr>
              <w:t xml:space="preserve">pour </w:t>
            </w:r>
            <w:r w:rsidR="00BF642B" w:rsidRPr="00567F82">
              <w:rPr>
                <w:sz w:val="21"/>
                <w:szCs w:val="21"/>
              </w:rPr>
              <w:t>les activités prévues</w:t>
            </w:r>
            <w:r w:rsidR="00A85D3D" w:rsidRPr="00567F82">
              <w:rPr>
                <w:sz w:val="21"/>
                <w:szCs w:val="21"/>
              </w:rPr>
              <w:t xml:space="preserve"> par rapport au </w:t>
            </w:r>
            <w:r w:rsidR="00B72D0E" w:rsidRPr="00567F82">
              <w:rPr>
                <w:b/>
                <w:sz w:val="21"/>
                <w:szCs w:val="21"/>
                <w:u w:val="single"/>
              </w:rPr>
              <w:t>Soutien à la production agricole</w:t>
            </w:r>
            <w:r w:rsidR="00A85D3D" w:rsidRPr="00567F82">
              <w:rPr>
                <w:b/>
                <w:sz w:val="21"/>
                <w:szCs w:val="21"/>
                <w:u w:val="single"/>
              </w:rPr>
              <w:t> ;</w:t>
            </w:r>
            <w:r w:rsidR="00B72D0E" w:rsidRPr="00567F82">
              <w:rPr>
                <w:sz w:val="21"/>
                <w:szCs w:val="21"/>
              </w:rPr>
              <w:t xml:space="preserve"> </w:t>
            </w:r>
          </w:p>
          <w:p w:rsidR="00FD496C" w:rsidRPr="00567F82" w:rsidRDefault="00206E2C" w:rsidP="00157035">
            <w:pPr>
              <w:numPr>
                <w:ilvl w:val="0"/>
                <w:numId w:val="90"/>
              </w:numPr>
              <w:contextualSpacing/>
              <w:jc w:val="both"/>
              <w:rPr>
                <w:sz w:val="21"/>
                <w:szCs w:val="21"/>
              </w:rPr>
            </w:pPr>
            <w:r w:rsidRPr="00567F82">
              <w:rPr>
                <w:spacing w:val="-2"/>
                <w:sz w:val="21"/>
                <w:szCs w:val="21"/>
              </w:rPr>
              <w:t>1</w:t>
            </w:r>
            <w:r w:rsidRPr="00567F82">
              <w:rPr>
                <w:sz w:val="21"/>
                <w:szCs w:val="21"/>
              </w:rPr>
              <w:t xml:space="preserve"> </w:t>
            </w:r>
            <w:r w:rsidR="00A73BE0">
              <w:rPr>
                <w:sz w:val="21"/>
                <w:szCs w:val="21"/>
              </w:rPr>
              <w:t>AEI</w:t>
            </w:r>
            <w:r w:rsidRPr="00567F82">
              <w:rPr>
                <w:sz w:val="21"/>
                <w:szCs w:val="21"/>
              </w:rPr>
              <w:t xml:space="preserve"> </w:t>
            </w:r>
            <w:r w:rsidR="00BF642B" w:rsidRPr="00567F82">
              <w:rPr>
                <w:sz w:val="21"/>
                <w:szCs w:val="21"/>
              </w:rPr>
              <w:t>pour les activités prévues par rapport au</w:t>
            </w:r>
            <w:r w:rsidR="00BF642B" w:rsidRPr="00567F82">
              <w:rPr>
                <w:b/>
                <w:sz w:val="21"/>
                <w:szCs w:val="21"/>
                <w:u w:val="single"/>
              </w:rPr>
              <w:t xml:space="preserve"> Soutien aux Filets de Sécurité communautaires </w:t>
            </w:r>
            <w:r w:rsidR="00BF642B" w:rsidRPr="00567F82">
              <w:rPr>
                <w:sz w:val="21"/>
                <w:szCs w:val="21"/>
              </w:rPr>
              <w:t>(</w:t>
            </w:r>
            <w:r w:rsidR="00FD496C" w:rsidRPr="00567F82">
              <w:rPr>
                <w:sz w:val="21"/>
                <w:szCs w:val="21"/>
              </w:rPr>
              <w:t>réalisation</w:t>
            </w:r>
            <w:r w:rsidR="00BF642B" w:rsidRPr="00567F82">
              <w:rPr>
                <w:sz w:val="21"/>
                <w:szCs w:val="21"/>
              </w:rPr>
              <w:t xml:space="preserve"> des voies d’accès ; marchés locaux et </w:t>
            </w:r>
            <w:r w:rsidR="00FD496C" w:rsidRPr="00567F82">
              <w:rPr>
                <w:sz w:val="21"/>
                <w:szCs w:val="21"/>
              </w:rPr>
              <w:t>magasins)</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02</w:t>
            </w:r>
          </w:p>
        </w:tc>
        <w:tc>
          <w:tcPr>
            <w:tcW w:w="1308" w:type="dxa"/>
            <w:shd w:val="clear" w:color="auto" w:fill="FFFFFF"/>
            <w:vAlign w:val="center"/>
          </w:tcPr>
          <w:p w:rsidR="00206E2C" w:rsidRPr="00567F82" w:rsidRDefault="004B17C4" w:rsidP="004F4212">
            <w:pPr>
              <w:jc w:val="center"/>
              <w:rPr>
                <w:sz w:val="21"/>
                <w:szCs w:val="21"/>
              </w:rPr>
            </w:pPr>
            <w:r w:rsidRPr="00567F82">
              <w:rPr>
                <w:sz w:val="21"/>
                <w:szCs w:val="21"/>
              </w:rPr>
              <w:t>2</w:t>
            </w:r>
            <w:r w:rsidR="00206E2C" w:rsidRPr="00567F82">
              <w:rPr>
                <w:sz w:val="21"/>
                <w:szCs w:val="21"/>
              </w:rPr>
              <w:t> 000 000</w:t>
            </w:r>
          </w:p>
        </w:tc>
        <w:tc>
          <w:tcPr>
            <w:tcW w:w="1161" w:type="dxa"/>
            <w:shd w:val="clear" w:color="auto" w:fill="FFFFFF"/>
            <w:vAlign w:val="center"/>
          </w:tcPr>
          <w:p w:rsidR="00206E2C" w:rsidRPr="00567F82" w:rsidRDefault="000550A6" w:rsidP="004F4212">
            <w:pPr>
              <w:jc w:val="center"/>
              <w:rPr>
                <w:sz w:val="21"/>
                <w:szCs w:val="21"/>
              </w:rPr>
            </w:pPr>
            <w:r w:rsidRPr="00567F82">
              <w:rPr>
                <w:sz w:val="21"/>
                <w:szCs w:val="21"/>
              </w:rPr>
              <w:t>4</w:t>
            </w:r>
            <w:r w:rsidR="00206E2C" w:rsidRPr="00567F82">
              <w:rPr>
                <w:sz w:val="21"/>
                <w:szCs w:val="21"/>
              </w:rPr>
              <w:t> 000 000</w:t>
            </w:r>
          </w:p>
        </w:tc>
      </w:tr>
      <w:tr w:rsidR="00232AAD" w:rsidRPr="00567F82" w:rsidTr="007B4112">
        <w:trPr>
          <w:cnfStyle w:val="000000100000" w:firstRow="0" w:lastRow="0" w:firstColumn="0" w:lastColumn="0" w:oddVBand="0" w:evenVBand="0" w:oddHBand="1" w:evenHBand="0" w:firstRowFirstColumn="0" w:firstRowLastColumn="0" w:lastRowFirstColumn="0" w:lastRowLastColumn="0"/>
          <w:trHeight w:val="60"/>
          <w:jc w:val="center"/>
        </w:trPr>
        <w:tc>
          <w:tcPr>
            <w:tcW w:w="0" w:type="auto"/>
            <w:gridSpan w:val="2"/>
            <w:shd w:val="clear" w:color="auto" w:fill="E2EFD9" w:themeFill="accent6" w:themeFillTint="33"/>
          </w:tcPr>
          <w:p w:rsidR="00206E2C" w:rsidRPr="00567F82" w:rsidRDefault="00206E2C" w:rsidP="004F4212">
            <w:pPr>
              <w:jc w:val="center"/>
              <w:rPr>
                <w:b/>
                <w:color w:val="FF0000"/>
                <w:sz w:val="21"/>
                <w:szCs w:val="21"/>
              </w:rPr>
            </w:pPr>
            <w:r w:rsidRPr="00567F82">
              <w:rPr>
                <w:b/>
                <w:color w:val="FF0000"/>
                <w:sz w:val="21"/>
                <w:szCs w:val="21"/>
              </w:rPr>
              <w:t>Sous total 1</w:t>
            </w:r>
          </w:p>
        </w:tc>
        <w:tc>
          <w:tcPr>
            <w:tcW w:w="1750" w:type="dxa"/>
            <w:shd w:val="clear" w:color="auto" w:fill="E2EFD9" w:themeFill="accent6" w:themeFillTint="33"/>
            <w:vAlign w:val="center"/>
          </w:tcPr>
          <w:p w:rsidR="00206E2C" w:rsidRPr="00567F82" w:rsidRDefault="00206E2C" w:rsidP="004F4212">
            <w:pPr>
              <w:jc w:val="center"/>
              <w:rPr>
                <w:b/>
                <w:color w:val="FF0000"/>
                <w:sz w:val="21"/>
                <w:szCs w:val="21"/>
              </w:rPr>
            </w:pPr>
            <w:r w:rsidRPr="00567F82">
              <w:rPr>
                <w:b/>
                <w:color w:val="FF0000"/>
                <w:sz w:val="21"/>
                <w:szCs w:val="21"/>
              </w:rPr>
              <w:t>0</w:t>
            </w:r>
            <w:r w:rsidR="000550A6" w:rsidRPr="00567F82">
              <w:rPr>
                <w:b/>
                <w:color w:val="FF0000"/>
                <w:sz w:val="21"/>
                <w:szCs w:val="21"/>
              </w:rPr>
              <w:t>2</w:t>
            </w:r>
          </w:p>
        </w:tc>
        <w:tc>
          <w:tcPr>
            <w:tcW w:w="1308" w:type="dxa"/>
            <w:shd w:val="clear" w:color="auto" w:fill="E2EFD9" w:themeFill="accent6" w:themeFillTint="33"/>
            <w:vAlign w:val="center"/>
          </w:tcPr>
          <w:p w:rsidR="00206E2C" w:rsidRPr="00567F82" w:rsidRDefault="00206E2C" w:rsidP="004F4212">
            <w:pPr>
              <w:jc w:val="center"/>
              <w:rPr>
                <w:b/>
                <w:color w:val="FF0000"/>
                <w:sz w:val="21"/>
                <w:szCs w:val="21"/>
              </w:rPr>
            </w:pPr>
          </w:p>
        </w:tc>
        <w:tc>
          <w:tcPr>
            <w:tcW w:w="1161" w:type="dxa"/>
            <w:shd w:val="clear" w:color="auto" w:fill="E2EFD9" w:themeFill="accent6" w:themeFillTint="33"/>
            <w:vAlign w:val="center"/>
          </w:tcPr>
          <w:p w:rsidR="00206E2C" w:rsidRPr="00567F82" w:rsidRDefault="000550A6" w:rsidP="004F4212">
            <w:pPr>
              <w:jc w:val="center"/>
              <w:rPr>
                <w:b/>
                <w:color w:val="FF0000"/>
                <w:sz w:val="21"/>
                <w:szCs w:val="21"/>
              </w:rPr>
            </w:pPr>
            <w:r w:rsidRPr="00567F82">
              <w:rPr>
                <w:b/>
                <w:color w:val="FF0000"/>
                <w:sz w:val="21"/>
                <w:szCs w:val="21"/>
              </w:rPr>
              <w:t>4</w:t>
            </w:r>
            <w:r w:rsidR="00206E2C" w:rsidRPr="00567F82">
              <w:rPr>
                <w:b/>
                <w:color w:val="FF0000"/>
                <w:sz w:val="21"/>
                <w:szCs w:val="21"/>
              </w:rPr>
              <w:t> 000 000</w:t>
            </w: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119"/>
          <w:jc w:val="center"/>
        </w:trPr>
        <w:tc>
          <w:tcPr>
            <w:tcW w:w="0" w:type="auto"/>
            <w:gridSpan w:val="2"/>
            <w:shd w:val="clear" w:color="auto" w:fill="FFFFFF"/>
          </w:tcPr>
          <w:p w:rsidR="00206E2C" w:rsidRPr="00567F82" w:rsidRDefault="00206E2C" w:rsidP="004F4212">
            <w:pPr>
              <w:rPr>
                <w:sz w:val="21"/>
                <w:szCs w:val="21"/>
              </w:rPr>
            </w:pPr>
            <w:r w:rsidRPr="00567F82">
              <w:rPr>
                <w:sz w:val="21"/>
                <w:szCs w:val="21"/>
              </w:rPr>
              <w:t xml:space="preserve">Provisions pour la mise en œuvre des </w:t>
            </w:r>
            <w:r w:rsidR="00A73BE0">
              <w:rPr>
                <w:sz w:val="21"/>
                <w:szCs w:val="21"/>
              </w:rPr>
              <w:t>AEI</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w:t>
            </w:r>
          </w:p>
        </w:tc>
        <w:tc>
          <w:tcPr>
            <w:tcW w:w="1308" w:type="dxa"/>
            <w:shd w:val="clear" w:color="auto" w:fill="FFFFFF"/>
            <w:vAlign w:val="center"/>
          </w:tcPr>
          <w:p w:rsidR="00206E2C" w:rsidRPr="00567F82" w:rsidRDefault="00206E2C" w:rsidP="004F4212">
            <w:pPr>
              <w:jc w:val="center"/>
              <w:rPr>
                <w:sz w:val="21"/>
                <w:szCs w:val="21"/>
              </w:rPr>
            </w:pPr>
            <w:r w:rsidRPr="00567F82">
              <w:rPr>
                <w:sz w:val="21"/>
                <w:szCs w:val="21"/>
              </w:rPr>
              <w:t>Forfait</w:t>
            </w:r>
          </w:p>
        </w:tc>
        <w:tc>
          <w:tcPr>
            <w:tcW w:w="1161" w:type="dxa"/>
            <w:shd w:val="clear" w:color="auto" w:fill="FFFFFF"/>
            <w:vAlign w:val="center"/>
          </w:tcPr>
          <w:p w:rsidR="00206E2C" w:rsidRPr="00567F82" w:rsidRDefault="0084639A" w:rsidP="004F4212">
            <w:pPr>
              <w:jc w:val="center"/>
              <w:rPr>
                <w:sz w:val="21"/>
                <w:szCs w:val="21"/>
              </w:rPr>
            </w:pPr>
            <w:r w:rsidRPr="00567F82">
              <w:rPr>
                <w:sz w:val="21"/>
                <w:szCs w:val="21"/>
              </w:rPr>
              <w:t>5</w:t>
            </w:r>
            <w:r w:rsidR="00206E2C" w:rsidRPr="00567F82">
              <w:rPr>
                <w:sz w:val="21"/>
                <w:szCs w:val="21"/>
              </w:rPr>
              <w:t> 000 000</w:t>
            </w:r>
          </w:p>
        </w:tc>
      </w:tr>
      <w:tr w:rsidR="00232AAD" w:rsidRPr="00567F82" w:rsidTr="007B4112">
        <w:trPr>
          <w:cnfStyle w:val="000000100000" w:firstRow="0" w:lastRow="0" w:firstColumn="0" w:lastColumn="0" w:oddVBand="0" w:evenVBand="0" w:oddHBand="1" w:evenHBand="0" w:firstRowFirstColumn="0" w:firstRowLastColumn="0" w:lastRowFirstColumn="0" w:lastRowLastColumn="0"/>
          <w:trHeight w:val="239"/>
          <w:jc w:val="center"/>
        </w:trPr>
        <w:tc>
          <w:tcPr>
            <w:tcW w:w="0" w:type="auto"/>
            <w:gridSpan w:val="2"/>
            <w:shd w:val="clear" w:color="auto" w:fill="FFFFFF"/>
          </w:tcPr>
          <w:p w:rsidR="00206E2C" w:rsidRPr="00567F82" w:rsidRDefault="00206E2C" w:rsidP="002B5F73">
            <w:pPr>
              <w:rPr>
                <w:sz w:val="21"/>
                <w:szCs w:val="21"/>
              </w:rPr>
            </w:pPr>
            <w:r w:rsidRPr="00567F82">
              <w:rPr>
                <w:sz w:val="21"/>
                <w:szCs w:val="21"/>
              </w:rPr>
              <w:t>Elaboration d'un manuel de bonnes pratiques de gestion, d’hygiène</w:t>
            </w:r>
            <w:r w:rsidR="00925944" w:rsidRPr="00567F82">
              <w:rPr>
                <w:sz w:val="21"/>
                <w:szCs w:val="21"/>
              </w:rPr>
              <w:t xml:space="preserve">, </w:t>
            </w:r>
            <w:r w:rsidRPr="00567F82">
              <w:rPr>
                <w:sz w:val="21"/>
                <w:szCs w:val="21"/>
              </w:rPr>
              <w:t>de sécurité</w:t>
            </w:r>
            <w:r w:rsidR="00B61400" w:rsidRPr="00567F82">
              <w:rPr>
                <w:sz w:val="21"/>
                <w:szCs w:val="21"/>
              </w:rPr>
              <w:t>, de</w:t>
            </w:r>
            <w:r w:rsidRPr="00567F82">
              <w:rPr>
                <w:sz w:val="21"/>
                <w:szCs w:val="21"/>
              </w:rPr>
              <w:t xml:space="preserve"> </w:t>
            </w:r>
            <w:r w:rsidR="00925944" w:rsidRPr="00567F82">
              <w:rPr>
                <w:sz w:val="21"/>
                <w:szCs w:val="21"/>
              </w:rPr>
              <w:t xml:space="preserve">santé </w:t>
            </w:r>
            <w:r w:rsidRPr="00567F82">
              <w:rPr>
                <w:sz w:val="21"/>
                <w:szCs w:val="21"/>
              </w:rPr>
              <w:t xml:space="preserve">par rapport aux activités du projet </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1 manuel</w:t>
            </w:r>
          </w:p>
        </w:tc>
        <w:tc>
          <w:tcPr>
            <w:tcW w:w="1308" w:type="dxa"/>
            <w:shd w:val="clear" w:color="auto" w:fill="FFFFFF"/>
            <w:vAlign w:val="center"/>
          </w:tcPr>
          <w:p w:rsidR="00206E2C" w:rsidRPr="00567F82" w:rsidRDefault="00925944" w:rsidP="004F4212">
            <w:pPr>
              <w:jc w:val="center"/>
              <w:rPr>
                <w:sz w:val="21"/>
                <w:szCs w:val="21"/>
              </w:rPr>
            </w:pPr>
            <w:r w:rsidRPr="00567F82">
              <w:rPr>
                <w:sz w:val="21"/>
                <w:szCs w:val="21"/>
              </w:rPr>
              <w:t>1</w:t>
            </w:r>
            <w:r w:rsidR="00206E2C" w:rsidRPr="00567F82">
              <w:rPr>
                <w:sz w:val="21"/>
                <w:szCs w:val="21"/>
              </w:rPr>
              <w:t xml:space="preserve"> </w:t>
            </w:r>
            <w:r w:rsidRPr="00567F82">
              <w:rPr>
                <w:sz w:val="21"/>
                <w:szCs w:val="21"/>
              </w:rPr>
              <w:t>5</w:t>
            </w:r>
            <w:r w:rsidR="00206E2C" w:rsidRPr="00567F82">
              <w:rPr>
                <w:sz w:val="21"/>
                <w:szCs w:val="21"/>
              </w:rPr>
              <w:t>00 000</w:t>
            </w:r>
          </w:p>
        </w:tc>
        <w:tc>
          <w:tcPr>
            <w:tcW w:w="1161" w:type="dxa"/>
            <w:shd w:val="clear" w:color="auto" w:fill="FFFFFF"/>
            <w:vAlign w:val="center"/>
          </w:tcPr>
          <w:p w:rsidR="00206E2C" w:rsidRPr="00567F82" w:rsidRDefault="00925944" w:rsidP="004F4212">
            <w:pPr>
              <w:jc w:val="center"/>
              <w:rPr>
                <w:sz w:val="21"/>
                <w:szCs w:val="21"/>
              </w:rPr>
            </w:pPr>
            <w:r w:rsidRPr="00567F82">
              <w:rPr>
                <w:sz w:val="21"/>
                <w:szCs w:val="21"/>
              </w:rPr>
              <w:t>1 5</w:t>
            </w:r>
            <w:r w:rsidR="00206E2C" w:rsidRPr="00567F82">
              <w:rPr>
                <w:sz w:val="21"/>
                <w:szCs w:val="21"/>
              </w:rPr>
              <w:t>00 000</w:t>
            </w: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58"/>
          <w:jc w:val="center"/>
        </w:trPr>
        <w:tc>
          <w:tcPr>
            <w:tcW w:w="0" w:type="auto"/>
            <w:gridSpan w:val="2"/>
            <w:shd w:val="clear" w:color="auto" w:fill="FFFFFF"/>
          </w:tcPr>
          <w:p w:rsidR="00206E2C" w:rsidRPr="00567F82" w:rsidRDefault="00206E2C" w:rsidP="004F4212">
            <w:pPr>
              <w:rPr>
                <w:sz w:val="21"/>
                <w:szCs w:val="21"/>
              </w:rPr>
            </w:pPr>
            <w:r w:rsidRPr="00567F82">
              <w:rPr>
                <w:sz w:val="21"/>
                <w:szCs w:val="21"/>
              </w:rPr>
              <w:t>Elaboration d'un plan de gestion des déchets</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1 rapport</w:t>
            </w:r>
          </w:p>
        </w:tc>
        <w:tc>
          <w:tcPr>
            <w:tcW w:w="1308" w:type="dxa"/>
            <w:shd w:val="clear" w:color="auto" w:fill="FFFFFF"/>
            <w:vAlign w:val="center"/>
          </w:tcPr>
          <w:p w:rsidR="00206E2C" w:rsidRPr="00567F82" w:rsidRDefault="00206E2C" w:rsidP="004F4212">
            <w:pPr>
              <w:jc w:val="center"/>
              <w:rPr>
                <w:sz w:val="21"/>
                <w:szCs w:val="21"/>
              </w:rPr>
            </w:pPr>
            <w:r w:rsidRPr="00567F82">
              <w:rPr>
                <w:sz w:val="21"/>
                <w:szCs w:val="21"/>
              </w:rPr>
              <w:t>Forfait</w:t>
            </w:r>
          </w:p>
        </w:tc>
        <w:tc>
          <w:tcPr>
            <w:tcW w:w="1161" w:type="dxa"/>
            <w:shd w:val="clear" w:color="auto" w:fill="FFFFFF"/>
            <w:vAlign w:val="center"/>
          </w:tcPr>
          <w:p w:rsidR="00206E2C" w:rsidRPr="00567F82" w:rsidRDefault="00B61400" w:rsidP="004F4212">
            <w:pPr>
              <w:jc w:val="center"/>
              <w:rPr>
                <w:sz w:val="21"/>
                <w:szCs w:val="21"/>
              </w:rPr>
            </w:pPr>
            <w:r w:rsidRPr="00567F82">
              <w:rPr>
                <w:sz w:val="21"/>
                <w:szCs w:val="21"/>
              </w:rPr>
              <w:t>1 5</w:t>
            </w:r>
            <w:r w:rsidR="00206E2C" w:rsidRPr="00567F82">
              <w:rPr>
                <w:sz w:val="21"/>
                <w:szCs w:val="21"/>
              </w:rPr>
              <w:t>00 000</w:t>
            </w:r>
          </w:p>
        </w:tc>
      </w:tr>
      <w:tr w:rsidR="00232AAD" w:rsidRPr="00567F82" w:rsidTr="007B4112">
        <w:trPr>
          <w:cnfStyle w:val="000000100000" w:firstRow="0" w:lastRow="0" w:firstColumn="0" w:lastColumn="0" w:oddVBand="0" w:evenVBand="0" w:oddHBand="1" w:evenHBand="0" w:firstRowFirstColumn="0" w:firstRowLastColumn="0" w:lastRowFirstColumn="0" w:lastRowLastColumn="0"/>
          <w:trHeight w:val="239"/>
          <w:jc w:val="center"/>
        </w:trPr>
        <w:tc>
          <w:tcPr>
            <w:tcW w:w="0" w:type="auto"/>
            <w:gridSpan w:val="2"/>
            <w:shd w:val="clear" w:color="auto" w:fill="FFFFFF"/>
          </w:tcPr>
          <w:p w:rsidR="00206E2C" w:rsidRPr="00567F82" w:rsidRDefault="00206E2C" w:rsidP="004F4212">
            <w:pPr>
              <w:rPr>
                <w:sz w:val="21"/>
                <w:szCs w:val="21"/>
              </w:rPr>
            </w:pPr>
          </w:p>
        </w:tc>
        <w:tc>
          <w:tcPr>
            <w:tcW w:w="1750" w:type="dxa"/>
            <w:shd w:val="clear" w:color="auto" w:fill="FFFFFF"/>
            <w:vAlign w:val="center"/>
          </w:tcPr>
          <w:p w:rsidR="00206E2C" w:rsidRPr="00567F82" w:rsidRDefault="00206E2C" w:rsidP="004F4212">
            <w:pPr>
              <w:jc w:val="center"/>
              <w:rPr>
                <w:sz w:val="21"/>
                <w:szCs w:val="21"/>
              </w:rPr>
            </w:pPr>
          </w:p>
        </w:tc>
        <w:tc>
          <w:tcPr>
            <w:tcW w:w="1308" w:type="dxa"/>
            <w:shd w:val="clear" w:color="auto" w:fill="FFFFFF"/>
            <w:vAlign w:val="center"/>
          </w:tcPr>
          <w:p w:rsidR="00206E2C" w:rsidRPr="00567F82" w:rsidRDefault="00206E2C" w:rsidP="004F4212">
            <w:pPr>
              <w:jc w:val="center"/>
              <w:rPr>
                <w:sz w:val="21"/>
                <w:szCs w:val="21"/>
              </w:rPr>
            </w:pPr>
          </w:p>
        </w:tc>
        <w:tc>
          <w:tcPr>
            <w:tcW w:w="1161" w:type="dxa"/>
            <w:shd w:val="clear" w:color="auto" w:fill="FFFFFF"/>
            <w:vAlign w:val="center"/>
          </w:tcPr>
          <w:p w:rsidR="00206E2C" w:rsidRPr="00567F82" w:rsidRDefault="00206E2C" w:rsidP="004F4212">
            <w:pPr>
              <w:jc w:val="center"/>
              <w:rPr>
                <w:sz w:val="21"/>
                <w:szCs w:val="21"/>
              </w:rPr>
            </w:pP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239"/>
          <w:jc w:val="center"/>
        </w:trPr>
        <w:tc>
          <w:tcPr>
            <w:tcW w:w="0" w:type="auto"/>
            <w:gridSpan w:val="2"/>
            <w:shd w:val="clear" w:color="auto" w:fill="FFFFFF"/>
          </w:tcPr>
          <w:p w:rsidR="00206E2C" w:rsidRPr="00567F82" w:rsidRDefault="00206E2C" w:rsidP="009013C6">
            <w:pPr>
              <w:rPr>
                <w:sz w:val="21"/>
                <w:szCs w:val="21"/>
              </w:rPr>
            </w:pPr>
            <w:r w:rsidRPr="00567F82">
              <w:rPr>
                <w:sz w:val="21"/>
                <w:szCs w:val="21"/>
              </w:rPr>
              <w:t xml:space="preserve">Suivi du fonctionnement des </w:t>
            </w:r>
            <w:r w:rsidR="009013C6" w:rsidRPr="00567F82">
              <w:rPr>
                <w:sz w:val="21"/>
                <w:szCs w:val="21"/>
              </w:rPr>
              <w:t>activités du projet PUSA</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12 missions/an</w:t>
            </w:r>
          </w:p>
        </w:tc>
        <w:tc>
          <w:tcPr>
            <w:tcW w:w="1308" w:type="dxa"/>
            <w:shd w:val="clear" w:color="auto" w:fill="FFFFFF"/>
            <w:vAlign w:val="center"/>
          </w:tcPr>
          <w:p w:rsidR="00206E2C" w:rsidRPr="00567F82" w:rsidRDefault="00D05424" w:rsidP="004F4212">
            <w:pPr>
              <w:jc w:val="center"/>
              <w:rPr>
                <w:sz w:val="21"/>
                <w:szCs w:val="21"/>
              </w:rPr>
            </w:pPr>
            <w:r w:rsidRPr="00567F82">
              <w:rPr>
                <w:sz w:val="21"/>
                <w:szCs w:val="21"/>
              </w:rPr>
              <w:t>50</w:t>
            </w:r>
            <w:r w:rsidR="00206E2C" w:rsidRPr="00567F82">
              <w:rPr>
                <w:sz w:val="21"/>
                <w:szCs w:val="21"/>
              </w:rPr>
              <w:t>0 000</w:t>
            </w:r>
          </w:p>
        </w:tc>
        <w:tc>
          <w:tcPr>
            <w:tcW w:w="1161" w:type="dxa"/>
            <w:shd w:val="clear" w:color="auto" w:fill="FFFFFF"/>
            <w:vAlign w:val="center"/>
          </w:tcPr>
          <w:p w:rsidR="00206E2C" w:rsidRPr="00567F82" w:rsidRDefault="00F63BBD" w:rsidP="004F4212">
            <w:pPr>
              <w:jc w:val="center"/>
              <w:rPr>
                <w:sz w:val="21"/>
                <w:szCs w:val="21"/>
              </w:rPr>
            </w:pPr>
            <w:r w:rsidRPr="00567F82">
              <w:rPr>
                <w:sz w:val="21"/>
                <w:szCs w:val="21"/>
              </w:rPr>
              <w:t>6</w:t>
            </w:r>
            <w:r w:rsidR="00206E2C" w:rsidRPr="00567F82">
              <w:rPr>
                <w:sz w:val="21"/>
                <w:szCs w:val="21"/>
              </w:rPr>
              <w:t xml:space="preserve"> 000 000</w:t>
            </w:r>
          </w:p>
        </w:tc>
      </w:tr>
      <w:tr w:rsidR="00232AAD" w:rsidRPr="00567F82" w:rsidTr="007B4112">
        <w:trPr>
          <w:cnfStyle w:val="000000100000" w:firstRow="0" w:lastRow="0" w:firstColumn="0" w:lastColumn="0" w:oddVBand="0" w:evenVBand="0" w:oddHBand="1" w:evenHBand="0" w:firstRowFirstColumn="0" w:firstRowLastColumn="0" w:lastRowFirstColumn="0" w:lastRowLastColumn="0"/>
          <w:trHeight w:val="360"/>
          <w:jc w:val="center"/>
        </w:trPr>
        <w:tc>
          <w:tcPr>
            <w:tcW w:w="0" w:type="auto"/>
            <w:gridSpan w:val="2"/>
            <w:shd w:val="clear" w:color="auto" w:fill="FFFFFF"/>
          </w:tcPr>
          <w:p w:rsidR="00206E2C" w:rsidRPr="00567F82" w:rsidRDefault="00206E2C" w:rsidP="004F4212">
            <w:pPr>
              <w:rPr>
                <w:sz w:val="21"/>
                <w:szCs w:val="21"/>
              </w:rPr>
            </w:pPr>
            <w:r w:rsidRPr="00567F82">
              <w:rPr>
                <w:sz w:val="21"/>
                <w:szCs w:val="21"/>
              </w:rPr>
              <w:t xml:space="preserve">Suivi permanent (Recrutement de Consultant en suivi évaluation environnement/social) </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20 H-mois</w:t>
            </w:r>
          </w:p>
        </w:tc>
        <w:tc>
          <w:tcPr>
            <w:tcW w:w="1308" w:type="dxa"/>
            <w:shd w:val="clear" w:color="auto" w:fill="FFFFFF"/>
            <w:vAlign w:val="center"/>
          </w:tcPr>
          <w:p w:rsidR="00206E2C" w:rsidRPr="00567F82" w:rsidRDefault="00206E2C" w:rsidP="004F4212">
            <w:pPr>
              <w:jc w:val="center"/>
              <w:rPr>
                <w:sz w:val="21"/>
                <w:szCs w:val="21"/>
              </w:rPr>
            </w:pPr>
            <w:r w:rsidRPr="00567F82">
              <w:rPr>
                <w:sz w:val="21"/>
                <w:szCs w:val="21"/>
              </w:rPr>
              <w:t>500 000</w:t>
            </w:r>
          </w:p>
        </w:tc>
        <w:tc>
          <w:tcPr>
            <w:tcW w:w="1161" w:type="dxa"/>
            <w:shd w:val="clear" w:color="auto" w:fill="FFFFFF"/>
            <w:vAlign w:val="center"/>
          </w:tcPr>
          <w:p w:rsidR="00206E2C" w:rsidRPr="00567F82" w:rsidRDefault="00206E2C" w:rsidP="004F4212">
            <w:pPr>
              <w:jc w:val="center"/>
              <w:rPr>
                <w:sz w:val="21"/>
                <w:szCs w:val="21"/>
              </w:rPr>
            </w:pPr>
            <w:r w:rsidRPr="00567F82">
              <w:rPr>
                <w:sz w:val="21"/>
                <w:szCs w:val="21"/>
              </w:rPr>
              <w:t>10 000 000</w:t>
            </w: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212"/>
          <w:jc w:val="center"/>
        </w:trPr>
        <w:tc>
          <w:tcPr>
            <w:tcW w:w="0" w:type="auto"/>
            <w:gridSpan w:val="2"/>
            <w:shd w:val="clear" w:color="auto" w:fill="FFFFFF"/>
          </w:tcPr>
          <w:p w:rsidR="00206E2C" w:rsidRPr="00567F82" w:rsidRDefault="00206E2C" w:rsidP="004F4212">
            <w:pPr>
              <w:rPr>
                <w:sz w:val="21"/>
                <w:szCs w:val="21"/>
              </w:rPr>
            </w:pPr>
            <w:r w:rsidRPr="00567F82">
              <w:rPr>
                <w:sz w:val="21"/>
                <w:szCs w:val="21"/>
              </w:rPr>
              <w:t xml:space="preserve">Suivi externe de la mise en œuvre des </w:t>
            </w:r>
            <w:r w:rsidR="00A73BE0">
              <w:rPr>
                <w:sz w:val="21"/>
                <w:szCs w:val="21"/>
              </w:rPr>
              <w:t>AEI</w:t>
            </w:r>
            <w:r w:rsidRPr="00567F82">
              <w:rPr>
                <w:sz w:val="21"/>
                <w:szCs w:val="21"/>
              </w:rPr>
              <w:t xml:space="preserve"> </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w:t>
            </w:r>
          </w:p>
        </w:tc>
        <w:tc>
          <w:tcPr>
            <w:tcW w:w="1308" w:type="dxa"/>
            <w:shd w:val="clear" w:color="auto" w:fill="FFFFFF"/>
            <w:vAlign w:val="center"/>
          </w:tcPr>
          <w:p w:rsidR="00206E2C" w:rsidRPr="00567F82" w:rsidRDefault="00206E2C" w:rsidP="004F4212">
            <w:pPr>
              <w:jc w:val="center"/>
              <w:rPr>
                <w:sz w:val="21"/>
                <w:szCs w:val="21"/>
              </w:rPr>
            </w:pPr>
            <w:r w:rsidRPr="00567F82">
              <w:rPr>
                <w:sz w:val="21"/>
                <w:szCs w:val="21"/>
              </w:rPr>
              <w:t>Forfait</w:t>
            </w:r>
          </w:p>
        </w:tc>
        <w:tc>
          <w:tcPr>
            <w:tcW w:w="1161" w:type="dxa"/>
            <w:shd w:val="clear" w:color="auto" w:fill="FFFFFF"/>
            <w:vAlign w:val="center"/>
          </w:tcPr>
          <w:p w:rsidR="00206E2C" w:rsidRPr="00567F82" w:rsidRDefault="00E119F7" w:rsidP="004F4212">
            <w:pPr>
              <w:jc w:val="center"/>
              <w:rPr>
                <w:sz w:val="21"/>
                <w:szCs w:val="21"/>
              </w:rPr>
            </w:pPr>
            <w:r w:rsidRPr="00567F82">
              <w:rPr>
                <w:sz w:val="21"/>
                <w:szCs w:val="21"/>
              </w:rPr>
              <w:t>10</w:t>
            </w:r>
            <w:r w:rsidR="00206E2C" w:rsidRPr="00567F82">
              <w:rPr>
                <w:sz w:val="21"/>
                <w:szCs w:val="21"/>
              </w:rPr>
              <w:t xml:space="preserve"> 000 000</w:t>
            </w:r>
          </w:p>
        </w:tc>
      </w:tr>
      <w:tr w:rsidR="00232AAD" w:rsidRPr="00567F82" w:rsidTr="007B4112">
        <w:trPr>
          <w:cnfStyle w:val="000000100000" w:firstRow="0" w:lastRow="0" w:firstColumn="0" w:lastColumn="0" w:oddVBand="0" w:evenVBand="0" w:oddHBand="1" w:evenHBand="0" w:firstRowFirstColumn="0" w:firstRowLastColumn="0" w:lastRowFirstColumn="0" w:lastRowLastColumn="0"/>
          <w:trHeight w:val="100"/>
          <w:jc w:val="center"/>
        </w:trPr>
        <w:tc>
          <w:tcPr>
            <w:tcW w:w="0" w:type="auto"/>
            <w:gridSpan w:val="2"/>
            <w:shd w:val="clear" w:color="auto" w:fill="FFFFFF"/>
          </w:tcPr>
          <w:p w:rsidR="00206E2C" w:rsidRPr="00567F82" w:rsidRDefault="00206E2C" w:rsidP="004F4212">
            <w:pPr>
              <w:rPr>
                <w:sz w:val="21"/>
                <w:szCs w:val="21"/>
              </w:rPr>
            </w:pPr>
            <w:r w:rsidRPr="00567F82">
              <w:rPr>
                <w:sz w:val="21"/>
                <w:szCs w:val="21"/>
              </w:rPr>
              <w:t>Analyses laboratoires et suivi des indicateurs</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w:t>
            </w:r>
          </w:p>
        </w:tc>
        <w:tc>
          <w:tcPr>
            <w:tcW w:w="1308" w:type="dxa"/>
            <w:shd w:val="clear" w:color="auto" w:fill="FFFFFF"/>
            <w:vAlign w:val="center"/>
          </w:tcPr>
          <w:p w:rsidR="00206E2C" w:rsidRPr="00567F82" w:rsidRDefault="00206E2C" w:rsidP="004F4212">
            <w:pPr>
              <w:jc w:val="center"/>
              <w:rPr>
                <w:sz w:val="21"/>
                <w:szCs w:val="21"/>
              </w:rPr>
            </w:pPr>
            <w:r w:rsidRPr="00567F82">
              <w:rPr>
                <w:sz w:val="21"/>
                <w:szCs w:val="21"/>
              </w:rPr>
              <w:t>-</w:t>
            </w:r>
          </w:p>
        </w:tc>
        <w:tc>
          <w:tcPr>
            <w:tcW w:w="1161" w:type="dxa"/>
            <w:shd w:val="clear" w:color="auto" w:fill="FFFFFF"/>
            <w:vAlign w:val="center"/>
          </w:tcPr>
          <w:p w:rsidR="00206E2C" w:rsidRPr="00567F82" w:rsidRDefault="00FF60C6" w:rsidP="004F4212">
            <w:pPr>
              <w:jc w:val="center"/>
              <w:rPr>
                <w:sz w:val="21"/>
                <w:szCs w:val="21"/>
              </w:rPr>
            </w:pPr>
            <w:r w:rsidRPr="00567F82">
              <w:rPr>
                <w:sz w:val="21"/>
                <w:szCs w:val="21"/>
              </w:rPr>
              <w:t>2 5</w:t>
            </w:r>
            <w:r w:rsidR="00206E2C" w:rsidRPr="00567F82">
              <w:rPr>
                <w:sz w:val="21"/>
                <w:szCs w:val="21"/>
              </w:rPr>
              <w:t>00 000</w:t>
            </w: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58"/>
          <w:jc w:val="center"/>
        </w:trPr>
        <w:tc>
          <w:tcPr>
            <w:tcW w:w="0" w:type="auto"/>
            <w:gridSpan w:val="2"/>
            <w:shd w:val="clear" w:color="auto" w:fill="FFFFFF"/>
          </w:tcPr>
          <w:p w:rsidR="00206E2C" w:rsidRPr="00567F82" w:rsidRDefault="002F6C6A" w:rsidP="004F4212">
            <w:pPr>
              <w:rPr>
                <w:sz w:val="21"/>
                <w:szCs w:val="21"/>
              </w:rPr>
            </w:pPr>
            <w:r w:rsidRPr="00567F82">
              <w:rPr>
                <w:sz w:val="21"/>
                <w:szCs w:val="21"/>
              </w:rPr>
              <w:t>Evaluation finale des</w:t>
            </w:r>
            <w:r w:rsidR="00206E2C" w:rsidRPr="00567F82">
              <w:rPr>
                <w:sz w:val="21"/>
                <w:szCs w:val="21"/>
              </w:rPr>
              <w:t xml:space="preserve"> </w:t>
            </w:r>
            <w:r w:rsidR="00A73BE0">
              <w:rPr>
                <w:sz w:val="21"/>
                <w:szCs w:val="21"/>
              </w:rPr>
              <w:t>AEI</w:t>
            </w:r>
          </w:p>
        </w:tc>
        <w:tc>
          <w:tcPr>
            <w:tcW w:w="1750" w:type="dxa"/>
            <w:shd w:val="clear" w:color="auto" w:fill="FFFFFF"/>
            <w:vAlign w:val="center"/>
          </w:tcPr>
          <w:p w:rsidR="00206E2C" w:rsidRPr="00567F82" w:rsidRDefault="00E076FC" w:rsidP="004F4212">
            <w:pPr>
              <w:jc w:val="center"/>
              <w:rPr>
                <w:sz w:val="21"/>
                <w:szCs w:val="21"/>
              </w:rPr>
            </w:pPr>
            <w:r w:rsidRPr="00567F82">
              <w:rPr>
                <w:sz w:val="21"/>
                <w:szCs w:val="21"/>
              </w:rPr>
              <w:t>2</w:t>
            </w:r>
          </w:p>
        </w:tc>
        <w:tc>
          <w:tcPr>
            <w:tcW w:w="1308" w:type="dxa"/>
            <w:shd w:val="clear" w:color="auto" w:fill="FFFFFF"/>
            <w:vAlign w:val="center"/>
          </w:tcPr>
          <w:p w:rsidR="00206E2C" w:rsidRPr="00567F82" w:rsidRDefault="00E076FC" w:rsidP="004F4212">
            <w:pPr>
              <w:jc w:val="center"/>
              <w:rPr>
                <w:sz w:val="21"/>
                <w:szCs w:val="21"/>
              </w:rPr>
            </w:pPr>
            <w:r w:rsidRPr="00567F82">
              <w:rPr>
                <w:sz w:val="21"/>
                <w:szCs w:val="21"/>
              </w:rPr>
              <w:t>75</w:t>
            </w:r>
            <w:r w:rsidR="00206E2C" w:rsidRPr="00567F82">
              <w:rPr>
                <w:sz w:val="21"/>
                <w:szCs w:val="21"/>
              </w:rPr>
              <w:t>0 000</w:t>
            </w:r>
          </w:p>
        </w:tc>
        <w:tc>
          <w:tcPr>
            <w:tcW w:w="1161" w:type="dxa"/>
            <w:shd w:val="clear" w:color="auto" w:fill="FFFFFF"/>
            <w:vAlign w:val="center"/>
          </w:tcPr>
          <w:p w:rsidR="00206E2C" w:rsidRPr="00567F82" w:rsidRDefault="00E076FC" w:rsidP="004F4212">
            <w:pPr>
              <w:jc w:val="center"/>
              <w:rPr>
                <w:sz w:val="21"/>
                <w:szCs w:val="21"/>
              </w:rPr>
            </w:pPr>
            <w:r w:rsidRPr="00567F82">
              <w:rPr>
                <w:sz w:val="21"/>
                <w:szCs w:val="21"/>
              </w:rPr>
              <w:t>1 5</w:t>
            </w:r>
            <w:r w:rsidR="00206E2C" w:rsidRPr="00567F82">
              <w:rPr>
                <w:sz w:val="21"/>
                <w:szCs w:val="21"/>
              </w:rPr>
              <w:t>00 000</w:t>
            </w:r>
          </w:p>
        </w:tc>
      </w:tr>
      <w:tr w:rsidR="00922C95" w:rsidRPr="00567F82" w:rsidTr="007B4112">
        <w:trPr>
          <w:cnfStyle w:val="000000100000" w:firstRow="0" w:lastRow="0" w:firstColumn="0" w:lastColumn="0" w:oddVBand="0" w:evenVBand="0" w:oddHBand="1" w:evenHBand="0" w:firstRowFirstColumn="0" w:firstRowLastColumn="0" w:lastRowFirstColumn="0" w:lastRowLastColumn="0"/>
          <w:trHeight w:val="268"/>
          <w:jc w:val="center"/>
        </w:trPr>
        <w:tc>
          <w:tcPr>
            <w:tcW w:w="9259" w:type="dxa"/>
            <w:gridSpan w:val="4"/>
            <w:shd w:val="clear" w:color="auto" w:fill="E2EFD9" w:themeFill="accent6" w:themeFillTint="33"/>
            <w:vAlign w:val="center"/>
          </w:tcPr>
          <w:p w:rsidR="00206E2C" w:rsidRPr="00567F82" w:rsidRDefault="00206E2C" w:rsidP="004F4212">
            <w:pPr>
              <w:jc w:val="center"/>
              <w:rPr>
                <w:b/>
                <w:color w:val="FF0000"/>
                <w:sz w:val="21"/>
                <w:szCs w:val="21"/>
              </w:rPr>
            </w:pPr>
            <w:r w:rsidRPr="00567F82">
              <w:rPr>
                <w:b/>
                <w:color w:val="FF0000"/>
                <w:sz w:val="21"/>
                <w:szCs w:val="21"/>
              </w:rPr>
              <w:t>TOTAL 2</w:t>
            </w:r>
          </w:p>
        </w:tc>
        <w:tc>
          <w:tcPr>
            <w:tcW w:w="1161" w:type="dxa"/>
            <w:shd w:val="clear" w:color="auto" w:fill="E2EFD9" w:themeFill="accent6" w:themeFillTint="33"/>
            <w:vAlign w:val="center"/>
          </w:tcPr>
          <w:p w:rsidR="00206E2C" w:rsidRPr="00567F82" w:rsidRDefault="006D2600" w:rsidP="004F4212">
            <w:pPr>
              <w:jc w:val="center"/>
              <w:rPr>
                <w:b/>
                <w:color w:val="FF0000"/>
                <w:sz w:val="21"/>
                <w:szCs w:val="21"/>
              </w:rPr>
            </w:pPr>
            <w:r>
              <w:rPr>
                <w:b/>
                <w:color w:val="FF0000"/>
                <w:sz w:val="21"/>
                <w:szCs w:val="21"/>
              </w:rPr>
              <w:t>38</w:t>
            </w:r>
            <w:r w:rsidR="00206E2C" w:rsidRPr="00567F82">
              <w:rPr>
                <w:b/>
                <w:color w:val="FF0000"/>
                <w:sz w:val="21"/>
                <w:szCs w:val="21"/>
              </w:rPr>
              <w:t xml:space="preserve"> 000 000</w:t>
            </w:r>
          </w:p>
        </w:tc>
      </w:tr>
      <w:tr w:rsidR="00206E2C" w:rsidRPr="00567F82" w:rsidTr="007B4112">
        <w:trPr>
          <w:cnfStyle w:val="000000010000" w:firstRow="0" w:lastRow="0" w:firstColumn="0" w:lastColumn="0" w:oddVBand="0" w:evenVBand="0" w:oddHBand="0" w:evenHBand="1" w:firstRowFirstColumn="0" w:firstRowLastColumn="0" w:lastRowFirstColumn="0" w:lastRowLastColumn="0"/>
          <w:trHeight w:val="119"/>
          <w:jc w:val="center"/>
        </w:trPr>
        <w:tc>
          <w:tcPr>
            <w:tcW w:w="0" w:type="auto"/>
            <w:gridSpan w:val="5"/>
            <w:shd w:val="clear" w:color="auto" w:fill="F2F2F2"/>
          </w:tcPr>
          <w:p w:rsidR="00206E2C" w:rsidRPr="00567F82" w:rsidRDefault="00206E2C" w:rsidP="004F4212">
            <w:pPr>
              <w:jc w:val="center"/>
              <w:rPr>
                <w:sz w:val="21"/>
                <w:szCs w:val="21"/>
              </w:rPr>
            </w:pPr>
            <w:r w:rsidRPr="00567F82">
              <w:rPr>
                <w:sz w:val="21"/>
                <w:szCs w:val="21"/>
              </w:rPr>
              <w:t>2. Coûts de mesures d'organisation, de formation et de sensibilisation</w:t>
            </w:r>
          </w:p>
        </w:tc>
      </w:tr>
      <w:tr w:rsidR="00206E2C" w:rsidRPr="00567F82" w:rsidTr="007B4112">
        <w:trPr>
          <w:cnfStyle w:val="000000100000" w:firstRow="0" w:lastRow="0" w:firstColumn="0" w:lastColumn="0" w:oddVBand="0" w:evenVBand="0" w:oddHBand="1" w:evenHBand="0" w:firstRowFirstColumn="0" w:firstRowLastColumn="0" w:lastRowFirstColumn="0" w:lastRowLastColumn="0"/>
          <w:trHeight w:val="114"/>
          <w:jc w:val="center"/>
        </w:trPr>
        <w:tc>
          <w:tcPr>
            <w:tcW w:w="0" w:type="auto"/>
            <w:gridSpan w:val="5"/>
          </w:tcPr>
          <w:p w:rsidR="00206E2C" w:rsidRPr="00567F82" w:rsidRDefault="00206E2C" w:rsidP="00232AAD">
            <w:pPr>
              <w:jc w:val="center"/>
              <w:rPr>
                <w:sz w:val="21"/>
                <w:szCs w:val="21"/>
              </w:rPr>
            </w:pPr>
            <w:r w:rsidRPr="00567F82">
              <w:rPr>
                <w:sz w:val="21"/>
                <w:szCs w:val="21"/>
              </w:rPr>
              <w:t xml:space="preserve">Renforcement des capacités d'intervention des acteurs du projet </w:t>
            </w:r>
            <w:r w:rsidR="00232AAD" w:rsidRPr="00567F82">
              <w:rPr>
                <w:sz w:val="21"/>
                <w:szCs w:val="21"/>
              </w:rPr>
              <w:t>PUSA</w:t>
            </w: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268"/>
          <w:jc w:val="center"/>
        </w:trPr>
        <w:tc>
          <w:tcPr>
            <w:tcW w:w="0" w:type="auto"/>
            <w:vMerge w:val="restart"/>
            <w:shd w:val="clear" w:color="auto" w:fill="FFFFFF"/>
            <w:vAlign w:val="center"/>
          </w:tcPr>
          <w:p w:rsidR="00206E2C" w:rsidRPr="00567F82" w:rsidRDefault="00206E2C" w:rsidP="004F4212">
            <w:pPr>
              <w:tabs>
                <w:tab w:val="left" w:pos="193"/>
              </w:tabs>
              <w:autoSpaceDE w:val="0"/>
              <w:autoSpaceDN w:val="0"/>
              <w:adjustRightInd w:val="0"/>
              <w:jc w:val="center"/>
              <w:rPr>
                <w:rFonts w:eastAsia="Times New Roman"/>
                <w:sz w:val="21"/>
                <w:szCs w:val="21"/>
              </w:rPr>
            </w:pPr>
            <w:r w:rsidRPr="00567F82">
              <w:rPr>
                <w:rFonts w:eastAsia="Times New Roman"/>
                <w:sz w:val="21"/>
                <w:szCs w:val="21"/>
              </w:rPr>
              <w:t>Services techniques et Bénéficiaires des sous projets</w:t>
            </w:r>
          </w:p>
        </w:tc>
        <w:tc>
          <w:tcPr>
            <w:tcW w:w="0" w:type="auto"/>
            <w:shd w:val="clear" w:color="auto" w:fill="FFFFFF"/>
            <w:vAlign w:val="center"/>
          </w:tcPr>
          <w:p w:rsidR="00206E2C" w:rsidRPr="00567F82" w:rsidRDefault="00206E2C" w:rsidP="004F4212">
            <w:pPr>
              <w:ind w:left="64"/>
              <w:jc w:val="center"/>
              <w:rPr>
                <w:sz w:val="21"/>
                <w:szCs w:val="21"/>
              </w:rPr>
            </w:pPr>
            <w:r w:rsidRPr="00567F82">
              <w:rPr>
                <w:sz w:val="21"/>
                <w:szCs w:val="21"/>
              </w:rPr>
              <w:t>Formation sur les techniques de transformation des produits agricoles</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 xml:space="preserve">12 modules </w:t>
            </w:r>
            <w:r w:rsidR="00647BB2" w:rsidRPr="00567F82">
              <w:rPr>
                <w:sz w:val="21"/>
                <w:szCs w:val="21"/>
              </w:rPr>
              <w:t>(2</w:t>
            </w:r>
            <w:r w:rsidRPr="00567F82">
              <w:rPr>
                <w:sz w:val="21"/>
                <w:szCs w:val="21"/>
              </w:rPr>
              <w:t xml:space="preserve"> ateliers par région)</w:t>
            </w:r>
          </w:p>
        </w:tc>
        <w:tc>
          <w:tcPr>
            <w:tcW w:w="1308" w:type="dxa"/>
            <w:shd w:val="clear" w:color="auto" w:fill="FFFFFF"/>
            <w:vAlign w:val="center"/>
          </w:tcPr>
          <w:p w:rsidR="00206E2C" w:rsidRPr="00567F82" w:rsidRDefault="00647BB2" w:rsidP="004F4212">
            <w:pPr>
              <w:jc w:val="center"/>
              <w:rPr>
                <w:sz w:val="21"/>
                <w:szCs w:val="21"/>
              </w:rPr>
            </w:pPr>
            <w:r w:rsidRPr="00567F82">
              <w:rPr>
                <w:sz w:val="21"/>
                <w:szCs w:val="21"/>
              </w:rPr>
              <w:t>Forfait</w:t>
            </w:r>
          </w:p>
        </w:tc>
        <w:tc>
          <w:tcPr>
            <w:tcW w:w="1161" w:type="dxa"/>
            <w:shd w:val="clear" w:color="auto" w:fill="FFFFFF"/>
            <w:vAlign w:val="center"/>
          </w:tcPr>
          <w:p w:rsidR="00206E2C" w:rsidRPr="00567F82" w:rsidRDefault="00AD7BEE" w:rsidP="004F4212">
            <w:pPr>
              <w:jc w:val="center"/>
              <w:rPr>
                <w:sz w:val="21"/>
                <w:szCs w:val="21"/>
              </w:rPr>
            </w:pPr>
            <w:r w:rsidRPr="00567F82">
              <w:rPr>
                <w:sz w:val="21"/>
                <w:szCs w:val="21"/>
              </w:rPr>
              <w:t>5</w:t>
            </w:r>
            <w:r w:rsidR="00647BB2" w:rsidRPr="00567F82">
              <w:rPr>
                <w:sz w:val="21"/>
                <w:szCs w:val="21"/>
              </w:rPr>
              <w:t xml:space="preserve"> 000 000</w:t>
            </w:r>
          </w:p>
        </w:tc>
      </w:tr>
      <w:tr w:rsidR="00232AAD" w:rsidRPr="00567F82" w:rsidTr="007B4112">
        <w:trPr>
          <w:cnfStyle w:val="000000100000" w:firstRow="0" w:lastRow="0" w:firstColumn="0" w:lastColumn="0" w:oddVBand="0" w:evenVBand="0" w:oddHBand="1" w:evenHBand="0" w:firstRowFirstColumn="0" w:firstRowLastColumn="0" w:lastRowFirstColumn="0" w:lastRowLastColumn="0"/>
          <w:trHeight w:val="365"/>
          <w:jc w:val="center"/>
        </w:trPr>
        <w:tc>
          <w:tcPr>
            <w:tcW w:w="0" w:type="auto"/>
            <w:vMerge/>
            <w:shd w:val="clear" w:color="auto" w:fill="FFFFFF"/>
            <w:vAlign w:val="center"/>
          </w:tcPr>
          <w:p w:rsidR="00206E2C" w:rsidRPr="00567F82" w:rsidRDefault="00206E2C" w:rsidP="004F4212">
            <w:pPr>
              <w:tabs>
                <w:tab w:val="left" w:pos="193"/>
              </w:tabs>
              <w:autoSpaceDE w:val="0"/>
              <w:autoSpaceDN w:val="0"/>
              <w:adjustRightInd w:val="0"/>
              <w:jc w:val="center"/>
              <w:rPr>
                <w:rFonts w:eastAsia="Times New Roman"/>
                <w:sz w:val="21"/>
                <w:szCs w:val="21"/>
              </w:rPr>
            </w:pPr>
          </w:p>
        </w:tc>
        <w:tc>
          <w:tcPr>
            <w:tcW w:w="0" w:type="auto"/>
            <w:shd w:val="clear" w:color="auto" w:fill="FFFFFF"/>
            <w:vAlign w:val="center"/>
          </w:tcPr>
          <w:p w:rsidR="00206E2C" w:rsidRPr="00567F82" w:rsidRDefault="00206E2C" w:rsidP="004F4212">
            <w:pPr>
              <w:ind w:left="64"/>
              <w:jc w:val="center"/>
              <w:rPr>
                <w:sz w:val="21"/>
                <w:szCs w:val="21"/>
              </w:rPr>
            </w:pPr>
            <w:r w:rsidRPr="00567F82">
              <w:rPr>
                <w:sz w:val="21"/>
                <w:szCs w:val="21"/>
              </w:rPr>
              <w:t xml:space="preserve">Formation sur les techniques </w:t>
            </w:r>
            <w:r w:rsidR="005E647D" w:rsidRPr="00567F82">
              <w:rPr>
                <w:sz w:val="21"/>
                <w:szCs w:val="21"/>
              </w:rPr>
              <w:t xml:space="preserve">des bonnes pratiques </w:t>
            </w:r>
            <w:r w:rsidRPr="00567F82">
              <w:rPr>
                <w:sz w:val="21"/>
                <w:szCs w:val="21"/>
              </w:rPr>
              <w:t>agricoles</w:t>
            </w:r>
          </w:p>
        </w:tc>
        <w:tc>
          <w:tcPr>
            <w:tcW w:w="1750" w:type="dxa"/>
            <w:shd w:val="clear" w:color="auto" w:fill="FFFFFF"/>
            <w:vAlign w:val="center"/>
          </w:tcPr>
          <w:p w:rsidR="00206E2C" w:rsidRPr="00567F82" w:rsidRDefault="00206E2C" w:rsidP="004F4212">
            <w:pPr>
              <w:jc w:val="center"/>
              <w:rPr>
                <w:sz w:val="21"/>
                <w:szCs w:val="21"/>
              </w:rPr>
            </w:pPr>
            <w:r w:rsidRPr="00567F82">
              <w:rPr>
                <w:sz w:val="21"/>
                <w:szCs w:val="21"/>
              </w:rPr>
              <w:t>12 ateliers de format</w:t>
            </w:r>
            <w:r w:rsidR="00FF7871" w:rsidRPr="00567F82">
              <w:rPr>
                <w:sz w:val="21"/>
                <w:szCs w:val="21"/>
              </w:rPr>
              <w:t>ion (2</w:t>
            </w:r>
            <w:r w:rsidRPr="00567F82">
              <w:rPr>
                <w:sz w:val="21"/>
                <w:szCs w:val="21"/>
              </w:rPr>
              <w:t xml:space="preserve"> ateliers par région)</w:t>
            </w:r>
          </w:p>
        </w:tc>
        <w:tc>
          <w:tcPr>
            <w:tcW w:w="1308" w:type="dxa"/>
            <w:shd w:val="clear" w:color="auto" w:fill="FFFFFF"/>
            <w:vAlign w:val="center"/>
          </w:tcPr>
          <w:p w:rsidR="00206E2C" w:rsidRPr="00567F82" w:rsidRDefault="00893A0C" w:rsidP="004F4212">
            <w:pPr>
              <w:jc w:val="center"/>
              <w:rPr>
                <w:sz w:val="21"/>
                <w:szCs w:val="21"/>
              </w:rPr>
            </w:pPr>
            <w:r w:rsidRPr="00567F82">
              <w:rPr>
                <w:sz w:val="21"/>
                <w:szCs w:val="21"/>
              </w:rPr>
              <w:t>Forfait</w:t>
            </w:r>
          </w:p>
        </w:tc>
        <w:tc>
          <w:tcPr>
            <w:tcW w:w="1161" w:type="dxa"/>
            <w:shd w:val="clear" w:color="auto" w:fill="FFFFFF"/>
            <w:vAlign w:val="center"/>
          </w:tcPr>
          <w:p w:rsidR="00206E2C" w:rsidRPr="00567F82" w:rsidRDefault="00AD7BEE" w:rsidP="004F4212">
            <w:pPr>
              <w:jc w:val="center"/>
              <w:rPr>
                <w:sz w:val="21"/>
                <w:szCs w:val="21"/>
              </w:rPr>
            </w:pPr>
            <w:r w:rsidRPr="00567F82">
              <w:rPr>
                <w:sz w:val="21"/>
                <w:szCs w:val="21"/>
              </w:rPr>
              <w:t>5</w:t>
            </w:r>
            <w:r w:rsidR="00FF7871" w:rsidRPr="00567F82">
              <w:rPr>
                <w:sz w:val="21"/>
                <w:szCs w:val="21"/>
              </w:rPr>
              <w:t xml:space="preserve"> 000 000</w:t>
            </w: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338"/>
          <w:jc w:val="center"/>
        </w:trPr>
        <w:tc>
          <w:tcPr>
            <w:tcW w:w="0" w:type="auto"/>
            <w:vMerge/>
            <w:shd w:val="clear" w:color="auto" w:fill="FFFFFF"/>
            <w:vAlign w:val="center"/>
          </w:tcPr>
          <w:p w:rsidR="00206E2C" w:rsidRPr="00567F82" w:rsidRDefault="00206E2C" w:rsidP="004F4212">
            <w:pPr>
              <w:tabs>
                <w:tab w:val="left" w:pos="193"/>
              </w:tabs>
              <w:autoSpaceDE w:val="0"/>
              <w:autoSpaceDN w:val="0"/>
              <w:adjustRightInd w:val="0"/>
              <w:jc w:val="center"/>
              <w:rPr>
                <w:rFonts w:eastAsia="Times New Roman"/>
                <w:sz w:val="21"/>
                <w:szCs w:val="21"/>
              </w:rPr>
            </w:pPr>
          </w:p>
        </w:tc>
        <w:tc>
          <w:tcPr>
            <w:tcW w:w="0" w:type="auto"/>
            <w:shd w:val="clear" w:color="auto" w:fill="FFFFFF"/>
            <w:vAlign w:val="center"/>
          </w:tcPr>
          <w:p w:rsidR="00206E2C" w:rsidRPr="00567F82" w:rsidRDefault="00206E2C" w:rsidP="004F4212">
            <w:pPr>
              <w:ind w:left="64"/>
              <w:jc w:val="center"/>
              <w:rPr>
                <w:sz w:val="21"/>
                <w:szCs w:val="21"/>
              </w:rPr>
            </w:pPr>
            <w:r w:rsidRPr="00567F82">
              <w:rPr>
                <w:sz w:val="21"/>
                <w:szCs w:val="21"/>
              </w:rPr>
              <w:t>Formation sur les techniques de gestion</w:t>
            </w:r>
            <w:r w:rsidR="00012A26" w:rsidRPr="00567F82">
              <w:rPr>
                <w:sz w:val="21"/>
                <w:szCs w:val="21"/>
              </w:rPr>
              <w:t xml:space="preserve"> intégrée</w:t>
            </w:r>
            <w:r w:rsidRPr="00567F82">
              <w:rPr>
                <w:sz w:val="21"/>
                <w:szCs w:val="21"/>
              </w:rPr>
              <w:t xml:space="preserve"> des pesticides</w:t>
            </w:r>
          </w:p>
        </w:tc>
        <w:tc>
          <w:tcPr>
            <w:tcW w:w="1750" w:type="dxa"/>
            <w:shd w:val="clear" w:color="auto" w:fill="FFFFFF"/>
            <w:vAlign w:val="center"/>
          </w:tcPr>
          <w:p w:rsidR="00206E2C" w:rsidRPr="00567F82" w:rsidRDefault="00587EFC" w:rsidP="004F4212">
            <w:pPr>
              <w:jc w:val="center"/>
              <w:rPr>
                <w:sz w:val="21"/>
                <w:szCs w:val="21"/>
              </w:rPr>
            </w:pPr>
            <w:r w:rsidRPr="00567F82">
              <w:rPr>
                <w:sz w:val="21"/>
                <w:szCs w:val="21"/>
              </w:rPr>
              <w:t>12</w:t>
            </w:r>
            <w:r w:rsidR="00300617" w:rsidRPr="00567F82">
              <w:rPr>
                <w:sz w:val="21"/>
                <w:szCs w:val="21"/>
              </w:rPr>
              <w:t xml:space="preserve"> ateliers de formation (2</w:t>
            </w:r>
            <w:r w:rsidR="00206E2C" w:rsidRPr="00567F82">
              <w:rPr>
                <w:sz w:val="21"/>
                <w:szCs w:val="21"/>
              </w:rPr>
              <w:t xml:space="preserve"> ateliers par région)</w:t>
            </w:r>
          </w:p>
        </w:tc>
        <w:tc>
          <w:tcPr>
            <w:tcW w:w="1308" w:type="dxa"/>
            <w:shd w:val="clear" w:color="auto" w:fill="FFFFFF"/>
            <w:vAlign w:val="center"/>
          </w:tcPr>
          <w:p w:rsidR="00206E2C" w:rsidRPr="00567F82" w:rsidRDefault="00893A0C" w:rsidP="004F4212">
            <w:pPr>
              <w:jc w:val="center"/>
              <w:rPr>
                <w:sz w:val="21"/>
                <w:szCs w:val="21"/>
              </w:rPr>
            </w:pPr>
            <w:r w:rsidRPr="00567F82">
              <w:rPr>
                <w:sz w:val="21"/>
                <w:szCs w:val="21"/>
              </w:rPr>
              <w:t>Forfait</w:t>
            </w:r>
          </w:p>
        </w:tc>
        <w:tc>
          <w:tcPr>
            <w:tcW w:w="1161" w:type="dxa"/>
            <w:shd w:val="clear" w:color="auto" w:fill="FFFFFF"/>
            <w:vAlign w:val="center"/>
          </w:tcPr>
          <w:p w:rsidR="00206E2C" w:rsidRPr="00567F82" w:rsidRDefault="00AD7BEE" w:rsidP="004F4212">
            <w:pPr>
              <w:jc w:val="center"/>
              <w:rPr>
                <w:sz w:val="21"/>
                <w:szCs w:val="21"/>
              </w:rPr>
            </w:pPr>
            <w:r w:rsidRPr="00567F82">
              <w:rPr>
                <w:sz w:val="21"/>
                <w:szCs w:val="21"/>
              </w:rPr>
              <w:t>5</w:t>
            </w:r>
            <w:r w:rsidR="00300617" w:rsidRPr="00567F82">
              <w:rPr>
                <w:sz w:val="21"/>
                <w:szCs w:val="21"/>
              </w:rPr>
              <w:t xml:space="preserve"> 000 000</w:t>
            </w:r>
          </w:p>
        </w:tc>
      </w:tr>
      <w:tr w:rsidR="00206E2C" w:rsidRPr="00567F82" w:rsidTr="007B4112">
        <w:trPr>
          <w:cnfStyle w:val="000000100000" w:firstRow="0" w:lastRow="0" w:firstColumn="0" w:lastColumn="0" w:oddVBand="0" w:evenVBand="0" w:oddHBand="1" w:evenHBand="0" w:firstRowFirstColumn="0" w:firstRowLastColumn="0" w:lastRowFirstColumn="0" w:lastRowLastColumn="0"/>
          <w:trHeight w:val="58"/>
          <w:jc w:val="center"/>
        </w:trPr>
        <w:tc>
          <w:tcPr>
            <w:tcW w:w="0" w:type="auto"/>
            <w:gridSpan w:val="5"/>
            <w:vAlign w:val="center"/>
          </w:tcPr>
          <w:p w:rsidR="00206E2C" w:rsidRPr="00567F82" w:rsidRDefault="00206E2C" w:rsidP="004F4212">
            <w:pPr>
              <w:jc w:val="center"/>
              <w:rPr>
                <w:sz w:val="21"/>
                <w:szCs w:val="21"/>
              </w:rPr>
            </w:pPr>
            <w:r w:rsidRPr="00567F82">
              <w:rPr>
                <w:sz w:val="21"/>
                <w:szCs w:val="21"/>
              </w:rPr>
              <w:t>Formations</w:t>
            </w: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556"/>
          <w:jc w:val="center"/>
        </w:trPr>
        <w:tc>
          <w:tcPr>
            <w:tcW w:w="0" w:type="auto"/>
            <w:shd w:val="clear" w:color="auto" w:fill="FFFFFF"/>
            <w:vAlign w:val="center"/>
          </w:tcPr>
          <w:p w:rsidR="00206E2C" w:rsidRPr="00567F82" w:rsidRDefault="00422AEA" w:rsidP="00157035">
            <w:pPr>
              <w:numPr>
                <w:ilvl w:val="0"/>
                <w:numId w:val="91"/>
              </w:numPr>
              <w:tabs>
                <w:tab w:val="left" w:pos="193"/>
              </w:tabs>
              <w:autoSpaceDE w:val="0"/>
              <w:autoSpaceDN w:val="0"/>
              <w:adjustRightInd w:val="0"/>
              <w:ind w:left="0" w:firstLine="0"/>
              <w:jc w:val="center"/>
              <w:rPr>
                <w:rFonts w:eastAsia="Times New Roman"/>
                <w:sz w:val="21"/>
                <w:szCs w:val="21"/>
              </w:rPr>
            </w:pPr>
            <w:r w:rsidRPr="00567F82">
              <w:rPr>
                <w:rFonts w:eastAsia="Times New Roman"/>
                <w:sz w:val="21"/>
                <w:szCs w:val="21"/>
              </w:rPr>
              <w:t>AAAC</w:t>
            </w:r>
          </w:p>
          <w:p w:rsidR="00206E2C" w:rsidRPr="00567F82" w:rsidRDefault="00206E2C" w:rsidP="00157035">
            <w:pPr>
              <w:numPr>
                <w:ilvl w:val="0"/>
                <w:numId w:val="91"/>
              </w:numPr>
              <w:tabs>
                <w:tab w:val="left" w:pos="193"/>
              </w:tabs>
              <w:autoSpaceDE w:val="0"/>
              <w:autoSpaceDN w:val="0"/>
              <w:adjustRightInd w:val="0"/>
              <w:ind w:left="0" w:firstLine="0"/>
              <w:jc w:val="center"/>
              <w:rPr>
                <w:rFonts w:eastAsia="Times New Roman"/>
                <w:sz w:val="21"/>
                <w:szCs w:val="21"/>
              </w:rPr>
            </w:pPr>
            <w:r w:rsidRPr="00567F82">
              <w:rPr>
                <w:rFonts w:eastAsia="Times New Roman"/>
                <w:sz w:val="21"/>
                <w:szCs w:val="21"/>
              </w:rPr>
              <w:t>Services techniques</w:t>
            </w:r>
          </w:p>
        </w:tc>
        <w:tc>
          <w:tcPr>
            <w:tcW w:w="0" w:type="auto"/>
            <w:shd w:val="clear" w:color="auto" w:fill="FFFFFF"/>
          </w:tcPr>
          <w:p w:rsidR="00206E2C" w:rsidRPr="00567F82" w:rsidRDefault="00206E2C" w:rsidP="00157035">
            <w:pPr>
              <w:numPr>
                <w:ilvl w:val="0"/>
                <w:numId w:val="92"/>
              </w:numPr>
              <w:ind w:left="64" w:hanging="141"/>
              <w:jc w:val="both"/>
              <w:rPr>
                <w:sz w:val="21"/>
                <w:szCs w:val="21"/>
              </w:rPr>
            </w:pPr>
            <w:r w:rsidRPr="00567F82">
              <w:rPr>
                <w:sz w:val="21"/>
                <w:szCs w:val="21"/>
              </w:rPr>
              <w:t xml:space="preserve">La gestion des ressources naturelles et de l’environnement </w:t>
            </w:r>
          </w:p>
          <w:p w:rsidR="00206E2C" w:rsidRPr="00567F82" w:rsidRDefault="00206E2C" w:rsidP="00157035">
            <w:pPr>
              <w:numPr>
                <w:ilvl w:val="0"/>
                <w:numId w:val="92"/>
              </w:numPr>
              <w:ind w:left="64" w:hanging="141"/>
              <w:jc w:val="both"/>
              <w:rPr>
                <w:sz w:val="21"/>
                <w:szCs w:val="21"/>
              </w:rPr>
            </w:pPr>
            <w:r w:rsidRPr="00567F82">
              <w:rPr>
                <w:sz w:val="21"/>
                <w:szCs w:val="21"/>
              </w:rPr>
              <w:t xml:space="preserve">Les enjeux environnementaux et sociaux relatifs à la réalisation des </w:t>
            </w:r>
            <w:r w:rsidR="006D2600">
              <w:rPr>
                <w:sz w:val="21"/>
                <w:szCs w:val="21"/>
              </w:rPr>
              <w:t xml:space="preserve"> activités</w:t>
            </w:r>
          </w:p>
          <w:p w:rsidR="00206E2C" w:rsidRPr="00567F82" w:rsidRDefault="00206E2C" w:rsidP="00157035">
            <w:pPr>
              <w:numPr>
                <w:ilvl w:val="0"/>
                <w:numId w:val="92"/>
              </w:numPr>
              <w:ind w:left="64" w:hanging="141"/>
              <w:jc w:val="both"/>
              <w:rPr>
                <w:sz w:val="21"/>
                <w:szCs w:val="21"/>
              </w:rPr>
            </w:pPr>
            <w:r w:rsidRPr="00567F82">
              <w:rPr>
                <w:sz w:val="21"/>
                <w:szCs w:val="21"/>
              </w:rPr>
              <w:t>Les réglementations environnementales et sociales adéquates ;</w:t>
            </w:r>
          </w:p>
          <w:p w:rsidR="00206E2C" w:rsidRPr="00567F82" w:rsidRDefault="00206E2C" w:rsidP="00157035">
            <w:pPr>
              <w:numPr>
                <w:ilvl w:val="0"/>
                <w:numId w:val="92"/>
              </w:numPr>
              <w:ind w:left="64" w:hanging="141"/>
              <w:jc w:val="both"/>
              <w:rPr>
                <w:sz w:val="21"/>
                <w:szCs w:val="21"/>
              </w:rPr>
            </w:pPr>
            <w:r w:rsidRPr="00567F82">
              <w:rPr>
                <w:sz w:val="21"/>
                <w:szCs w:val="21"/>
              </w:rPr>
              <w:t>Les méthodes d'évaluation environnementale.</w:t>
            </w:r>
          </w:p>
          <w:p w:rsidR="00206E2C" w:rsidRPr="00567F82" w:rsidRDefault="00206E2C" w:rsidP="00157035">
            <w:pPr>
              <w:numPr>
                <w:ilvl w:val="0"/>
                <w:numId w:val="92"/>
              </w:numPr>
              <w:ind w:left="64" w:hanging="141"/>
              <w:jc w:val="both"/>
              <w:rPr>
                <w:sz w:val="21"/>
                <w:szCs w:val="21"/>
              </w:rPr>
            </w:pPr>
            <w:r w:rsidRPr="00567F82">
              <w:rPr>
                <w:sz w:val="21"/>
                <w:szCs w:val="21"/>
              </w:rPr>
              <w:t>Les développements durables et le changement climatique</w:t>
            </w:r>
          </w:p>
        </w:tc>
        <w:tc>
          <w:tcPr>
            <w:tcW w:w="1750" w:type="dxa"/>
            <w:shd w:val="clear" w:color="auto" w:fill="FFFFFF"/>
            <w:vAlign w:val="center"/>
          </w:tcPr>
          <w:p w:rsidR="00206E2C" w:rsidRPr="00567F82" w:rsidRDefault="00422AEA" w:rsidP="004F4212">
            <w:pPr>
              <w:jc w:val="center"/>
              <w:rPr>
                <w:sz w:val="21"/>
                <w:szCs w:val="21"/>
              </w:rPr>
            </w:pPr>
            <w:r w:rsidRPr="00567F82">
              <w:rPr>
                <w:sz w:val="21"/>
                <w:szCs w:val="21"/>
              </w:rPr>
              <w:t>9 ateliers de formation (1</w:t>
            </w:r>
            <w:r w:rsidR="00206E2C" w:rsidRPr="00567F82">
              <w:rPr>
                <w:sz w:val="21"/>
                <w:szCs w:val="21"/>
              </w:rPr>
              <w:t xml:space="preserve"> ateliers par région)</w:t>
            </w:r>
          </w:p>
        </w:tc>
        <w:tc>
          <w:tcPr>
            <w:tcW w:w="1308" w:type="dxa"/>
            <w:shd w:val="clear" w:color="auto" w:fill="FFFFFF"/>
            <w:vAlign w:val="center"/>
          </w:tcPr>
          <w:p w:rsidR="00206E2C" w:rsidRPr="00567F82" w:rsidRDefault="00743481" w:rsidP="004F4212">
            <w:pPr>
              <w:jc w:val="center"/>
              <w:rPr>
                <w:sz w:val="21"/>
                <w:szCs w:val="21"/>
              </w:rPr>
            </w:pPr>
            <w:r w:rsidRPr="00567F82">
              <w:rPr>
                <w:sz w:val="21"/>
                <w:szCs w:val="21"/>
              </w:rPr>
              <w:t>750 000</w:t>
            </w:r>
          </w:p>
        </w:tc>
        <w:tc>
          <w:tcPr>
            <w:tcW w:w="1161" w:type="dxa"/>
            <w:shd w:val="clear" w:color="auto" w:fill="FFFFFF"/>
            <w:vAlign w:val="center"/>
          </w:tcPr>
          <w:p w:rsidR="00206E2C" w:rsidRPr="00567F82" w:rsidRDefault="00BB34DA" w:rsidP="004F4212">
            <w:pPr>
              <w:jc w:val="center"/>
              <w:rPr>
                <w:sz w:val="21"/>
                <w:szCs w:val="21"/>
              </w:rPr>
            </w:pPr>
            <w:r w:rsidRPr="00567F82">
              <w:rPr>
                <w:sz w:val="21"/>
                <w:szCs w:val="21"/>
              </w:rPr>
              <w:t>6 75</w:t>
            </w:r>
            <w:r w:rsidR="00206E2C" w:rsidRPr="00567F82">
              <w:rPr>
                <w:sz w:val="21"/>
                <w:szCs w:val="21"/>
              </w:rPr>
              <w:t>0 000</w:t>
            </w:r>
          </w:p>
        </w:tc>
      </w:tr>
      <w:tr w:rsidR="00206E2C" w:rsidRPr="00567F82" w:rsidTr="007B4112">
        <w:trPr>
          <w:cnfStyle w:val="000000100000" w:firstRow="0" w:lastRow="0" w:firstColumn="0" w:lastColumn="0" w:oddVBand="0" w:evenVBand="0" w:oddHBand="1" w:evenHBand="0" w:firstRowFirstColumn="0" w:firstRowLastColumn="0" w:lastRowFirstColumn="0" w:lastRowLastColumn="0"/>
          <w:trHeight w:val="58"/>
          <w:jc w:val="center"/>
        </w:trPr>
        <w:tc>
          <w:tcPr>
            <w:tcW w:w="0" w:type="auto"/>
            <w:gridSpan w:val="5"/>
          </w:tcPr>
          <w:p w:rsidR="00206E2C" w:rsidRPr="00567F82" w:rsidRDefault="00206E2C" w:rsidP="004F4212">
            <w:pPr>
              <w:jc w:val="center"/>
              <w:rPr>
                <w:sz w:val="21"/>
                <w:szCs w:val="21"/>
              </w:rPr>
            </w:pPr>
            <w:r w:rsidRPr="00567F82">
              <w:rPr>
                <w:sz w:val="21"/>
                <w:szCs w:val="21"/>
              </w:rPr>
              <w:t>Information et sensibilisation</w:t>
            </w:r>
          </w:p>
        </w:tc>
      </w:tr>
      <w:tr w:rsidR="00232AAD" w:rsidRPr="00567F82" w:rsidTr="007B4112">
        <w:trPr>
          <w:cnfStyle w:val="000000010000" w:firstRow="0" w:lastRow="0" w:firstColumn="0" w:lastColumn="0" w:oddVBand="0" w:evenVBand="0" w:oddHBand="0" w:evenHBand="1" w:firstRowFirstColumn="0" w:firstRowLastColumn="0" w:lastRowFirstColumn="0" w:lastRowLastColumn="0"/>
          <w:trHeight w:val="1781"/>
          <w:jc w:val="center"/>
        </w:trPr>
        <w:tc>
          <w:tcPr>
            <w:tcW w:w="0" w:type="auto"/>
            <w:shd w:val="clear" w:color="auto" w:fill="FFFFFF"/>
          </w:tcPr>
          <w:p w:rsidR="00206E2C" w:rsidRPr="00567F82" w:rsidRDefault="00206E2C" w:rsidP="004F4212">
            <w:pPr>
              <w:autoSpaceDE w:val="0"/>
              <w:autoSpaceDN w:val="0"/>
              <w:adjustRightInd w:val="0"/>
              <w:rPr>
                <w:rFonts w:eastAsia="Times New Roman"/>
                <w:sz w:val="21"/>
                <w:szCs w:val="21"/>
              </w:rPr>
            </w:pPr>
          </w:p>
          <w:p w:rsidR="00206E2C" w:rsidRPr="00567F82" w:rsidRDefault="00206E2C" w:rsidP="00157035">
            <w:pPr>
              <w:numPr>
                <w:ilvl w:val="0"/>
                <w:numId w:val="91"/>
              </w:numPr>
              <w:tabs>
                <w:tab w:val="left" w:pos="193"/>
              </w:tabs>
              <w:autoSpaceDE w:val="0"/>
              <w:autoSpaceDN w:val="0"/>
              <w:adjustRightInd w:val="0"/>
              <w:ind w:left="0" w:firstLine="0"/>
              <w:rPr>
                <w:rFonts w:eastAsia="Times New Roman"/>
                <w:sz w:val="21"/>
                <w:szCs w:val="21"/>
              </w:rPr>
            </w:pPr>
            <w:r w:rsidRPr="00567F82">
              <w:rPr>
                <w:rFonts w:eastAsia="Times New Roman"/>
                <w:sz w:val="21"/>
                <w:szCs w:val="21"/>
              </w:rPr>
              <w:t xml:space="preserve">Populations, </w:t>
            </w:r>
          </w:p>
          <w:p w:rsidR="00206E2C" w:rsidRPr="00567F82" w:rsidRDefault="00206E2C" w:rsidP="00157035">
            <w:pPr>
              <w:numPr>
                <w:ilvl w:val="0"/>
                <w:numId w:val="91"/>
              </w:numPr>
              <w:tabs>
                <w:tab w:val="left" w:pos="193"/>
              </w:tabs>
              <w:autoSpaceDE w:val="0"/>
              <w:autoSpaceDN w:val="0"/>
              <w:adjustRightInd w:val="0"/>
              <w:ind w:left="0" w:firstLine="0"/>
              <w:rPr>
                <w:rFonts w:eastAsia="Times New Roman"/>
                <w:sz w:val="21"/>
                <w:szCs w:val="21"/>
              </w:rPr>
            </w:pPr>
            <w:r w:rsidRPr="00567F82">
              <w:rPr>
                <w:rFonts w:eastAsia="Times New Roman"/>
                <w:sz w:val="21"/>
                <w:szCs w:val="21"/>
              </w:rPr>
              <w:t xml:space="preserve">Associations locales et OCB </w:t>
            </w:r>
          </w:p>
          <w:p w:rsidR="00206E2C" w:rsidRPr="00567F82" w:rsidRDefault="00206E2C" w:rsidP="004F4212">
            <w:pPr>
              <w:tabs>
                <w:tab w:val="left" w:pos="193"/>
              </w:tabs>
              <w:autoSpaceDE w:val="0"/>
              <w:autoSpaceDN w:val="0"/>
              <w:adjustRightInd w:val="0"/>
              <w:rPr>
                <w:color w:val="000000"/>
                <w:sz w:val="21"/>
                <w:szCs w:val="21"/>
              </w:rPr>
            </w:pPr>
          </w:p>
        </w:tc>
        <w:tc>
          <w:tcPr>
            <w:tcW w:w="0" w:type="auto"/>
            <w:shd w:val="clear" w:color="auto" w:fill="FFFFFF"/>
          </w:tcPr>
          <w:p w:rsidR="00206E2C" w:rsidRPr="00567F82" w:rsidRDefault="00206E2C" w:rsidP="00157035">
            <w:pPr>
              <w:numPr>
                <w:ilvl w:val="0"/>
                <w:numId w:val="91"/>
              </w:numPr>
              <w:tabs>
                <w:tab w:val="left" w:pos="193"/>
              </w:tabs>
              <w:autoSpaceDE w:val="0"/>
              <w:autoSpaceDN w:val="0"/>
              <w:adjustRightInd w:val="0"/>
              <w:ind w:left="0" w:firstLine="0"/>
              <w:jc w:val="both"/>
              <w:rPr>
                <w:rFonts w:eastAsia="Times New Roman"/>
                <w:sz w:val="21"/>
                <w:szCs w:val="21"/>
              </w:rPr>
            </w:pPr>
            <w:r w:rsidRPr="00567F82">
              <w:rPr>
                <w:rFonts w:eastAsia="Times New Roman"/>
                <w:sz w:val="21"/>
                <w:szCs w:val="21"/>
              </w:rPr>
              <w:t xml:space="preserve">Campagnes d’information et de sensibilisation sur la nature des </w:t>
            </w:r>
            <w:r w:rsidR="006D7EBD" w:rsidRPr="00567F82">
              <w:rPr>
                <w:rFonts w:eastAsia="Times New Roman"/>
                <w:sz w:val="21"/>
                <w:szCs w:val="21"/>
              </w:rPr>
              <w:t>activités du PUSA</w:t>
            </w:r>
            <w:r w:rsidRPr="00567F82">
              <w:rPr>
                <w:rFonts w:eastAsia="Times New Roman"/>
                <w:sz w:val="21"/>
                <w:szCs w:val="21"/>
              </w:rPr>
              <w:t>, l’implication des acteurs locaux, les enjeux environnementaux et sociaux ;</w:t>
            </w:r>
          </w:p>
          <w:p w:rsidR="00206E2C" w:rsidRPr="00567F82" w:rsidRDefault="00206E2C" w:rsidP="00157035">
            <w:pPr>
              <w:numPr>
                <w:ilvl w:val="0"/>
                <w:numId w:val="91"/>
              </w:numPr>
              <w:tabs>
                <w:tab w:val="left" w:pos="193"/>
              </w:tabs>
              <w:autoSpaceDE w:val="0"/>
              <w:autoSpaceDN w:val="0"/>
              <w:adjustRightInd w:val="0"/>
              <w:ind w:left="0" w:firstLine="0"/>
              <w:jc w:val="both"/>
              <w:rPr>
                <w:rFonts w:eastAsia="Times New Roman"/>
                <w:sz w:val="21"/>
                <w:szCs w:val="21"/>
              </w:rPr>
            </w:pPr>
            <w:r w:rsidRPr="00567F82">
              <w:rPr>
                <w:rFonts w:eastAsia="Times New Roman"/>
                <w:sz w:val="21"/>
                <w:szCs w:val="21"/>
              </w:rPr>
              <w:t xml:space="preserve">Sensibilisation sur la sécurité et l’hygiène lors des travaux </w:t>
            </w:r>
          </w:p>
        </w:tc>
        <w:tc>
          <w:tcPr>
            <w:tcW w:w="1750" w:type="dxa"/>
            <w:shd w:val="clear" w:color="auto" w:fill="FFFFFF"/>
            <w:vAlign w:val="center"/>
          </w:tcPr>
          <w:p w:rsidR="00206E2C" w:rsidRPr="00567F82" w:rsidRDefault="006D7EBD" w:rsidP="006D7EBD">
            <w:pPr>
              <w:jc w:val="center"/>
              <w:rPr>
                <w:sz w:val="21"/>
                <w:szCs w:val="21"/>
              </w:rPr>
            </w:pPr>
            <w:r w:rsidRPr="00567F82">
              <w:rPr>
                <w:sz w:val="21"/>
                <w:szCs w:val="21"/>
              </w:rPr>
              <w:t>10</w:t>
            </w:r>
            <w:r w:rsidR="00074A9B" w:rsidRPr="00567F82">
              <w:rPr>
                <w:sz w:val="21"/>
                <w:szCs w:val="21"/>
              </w:rPr>
              <w:t xml:space="preserve"> </w:t>
            </w:r>
            <w:r w:rsidRPr="00567F82">
              <w:rPr>
                <w:sz w:val="21"/>
                <w:szCs w:val="21"/>
              </w:rPr>
              <w:t>Campagnes de sensibilisation</w:t>
            </w:r>
          </w:p>
        </w:tc>
        <w:tc>
          <w:tcPr>
            <w:tcW w:w="1308" w:type="dxa"/>
            <w:shd w:val="clear" w:color="auto" w:fill="FFFFFF"/>
            <w:vAlign w:val="center"/>
          </w:tcPr>
          <w:p w:rsidR="00206E2C" w:rsidRPr="00567F82" w:rsidRDefault="00206E2C" w:rsidP="004F4212">
            <w:pPr>
              <w:jc w:val="center"/>
              <w:rPr>
                <w:sz w:val="21"/>
                <w:szCs w:val="21"/>
              </w:rPr>
            </w:pPr>
            <w:r w:rsidRPr="00567F82">
              <w:rPr>
                <w:sz w:val="21"/>
                <w:szCs w:val="21"/>
              </w:rPr>
              <w:t xml:space="preserve">1 </w:t>
            </w:r>
            <w:r w:rsidR="00BB34DA" w:rsidRPr="00567F82">
              <w:rPr>
                <w:sz w:val="21"/>
                <w:szCs w:val="21"/>
              </w:rPr>
              <w:t>0</w:t>
            </w:r>
            <w:r w:rsidRPr="00567F82">
              <w:rPr>
                <w:sz w:val="21"/>
                <w:szCs w:val="21"/>
              </w:rPr>
              <w:t>00 000</w:t>
            </w:r>
          </w:p>
        </w:tc>
        <w:tc>
          <w:tcPr>
            <w:tcW w:w="1161" w:type="dxa"/>
            <w:shd w:val="clear" w:color="auto" w:fill="FFFFFF"/>
            <w:vAlign w:val="center"/>
          </w:tcPr>
          <w:p w:rsidR="00206E2C" w:rsidRPr="00567F82" w:rsidRDefault="00074A9B" w:rsidP="004F4212">
            <w:pPr>
              <w:jc w:val="center"/>
              <w:rPr>
                <w:sz w:val="21"/>
                <w:szCs w:val="21"/>
              </w:rPr>
            </w:pPr>
            <w:r w:rsidRPr="00567F82">
              <w:rPr>
                <w:sz w:val="21"/>
                <w:szCs w:val="21"/>
              </w:rPr>
              <w:t>1</w:t>
            </w:r>
            <w:r w:rsidR="00BB34DA" w:rsidRPr="00567F82">
              <w:rPr>
                <w:sz w:val="21"/>
                <w:szCs w:val="21"/>
              </w:rPr>
              <w:t>0</w:t>
            </w:r>
            <w:r w:rsidR="00206E2C" w:rsidRPr="00567F82">
              <w:rPr>
                <w:sz w:val="21"/>
                <w:szCs w:val="21"/>
              </w:rPr>
              <w:t xml:space="preserve"> 000 000</w:t>
            </w:r>
          </w:p>
        </w:tc>
      </w:tr>
      <w:tr w:rsidR="00922C95" w:rsidRPr="00567F82" w:rsidTr="007B4112">
        <w:trPr>
          <w:cnfStyle w:val="000000100000" w:firstRow="0" w:lastRow="0" w:firstColumn="0" w:lastColumn="0" w:oddVBand="0" w:evenVBand="0" w:oddHBand="1" w:evenHBand="0" w:firstRowFirstColumn="0" w:firstRowLastColumn="0" w:lastRowFirstColumn="0" w:lastRowLastColumn="0"/>
          <w:trHeight w:val="60"/>
          <w:jc w:val="center"/>
        </w:trPr>
        <w:tc>
          <w:tcPr>
            <w:tcW w:w="9259" w:type="dxa"/>
            <w:gridSpan w:val="4"/>
            <w:shd w:val="clear" w:color="auto" w:fill="E2EFD9" w:themeFill="accent6" w:themeFillTint="33"/>
          </w:tcPr>
          <w:p w:rsidR="00206E2C" w:rsidRPr="00567F82" w:rsidRDefault="00206E2C" w:rsidP="004F4212">
            <w:pPr>
              <w:jc w:val="center"/>
              <w:rPr>
                <w:b/>
                <w:color w:val="FF0000"/>
                <w:sz w:val="21"/>
                <w:szCs w:val="21"/>
                <w:highlight w:val="yellow"/>
              </w:rPr>
            </w:pPr>
            <w:r w:rsidRPr="00567F82">
              <w:rPr>
                <w:b/>
                <w:color w:val="FF0000"/>
                <w:sz w:val="21"/>
                <w:szCs w:val="21"/>
              </w:rPr>
              <w:t xml:space="preserve">Sous total </w:t>
            </w:r>
            <w:r w:rsidR="00C15BB0" w:rsidRPr="00567F82">
              <w:rPr>
                <w:b/>
                <w:color w:val="FF0000"/>
                <w:sz w:val="21"/>
                <w:szCs w:val="21"/>
              </w:rPr>
              <w:t>3</w:t>
            </w:r>
          </w:p>
        </w:tc>
        <w:tc>
          <w:tcPr>
            <w:tcW w:w="1161" w:type="dxa"/>
            <w:shd w:val="clear" w:color="auto" w:fill="E2EFD9" w:themeFill="accent6" w:themeFillTint="33"/>
          </w:tcPr>
          <w:p w:rsidR="00206E2C" w:rsidRPr="00567F82" w:rsidRDefault="00743E08" w:rsidP="004F4212">
            <w:pPr>
              <w:jc w:val="center"/>
              <w:rPr>
                <w:b/>
                <w:color w:val="FF0000"/>
                <w:sz w:val="21"/>
                <w:szCs w:val="21"/>
              </w:rPr>
            </w:pPr>
            <w:r w:rsidRPr="00567F82">
              <w:rPr>
                <w:b/>
                <w:color w:val="FF0000"/>
                <w:sz w:val="21"/>
                <w:szCs w:val="21"/>
              </w:rPr>
              <w:t>3</w:t>
            </w:r>
            <w:r w:rsidR="001671A6" w:rsidRPr="00567F82">
              <w:rPr>
                <w:b/>
                <w:color w:val="FF0000"/>
                <w:sz w:val="21"/>
                <w:szCs w:val="21"/>
              </w:rPr>
              <w:t>1</w:t>
            </w:r>
            <w:r w:rsidRPr="00567F82">
              <w:rPr>
                <w:b/>
                <w:color w:val="FF0000"/>
                <w:sz w:val="21"/>
                <w:szCs w:val="21"/>
              </w:rPr>
              <w:t xml:space="preserve"> 75</w:t>
            </w:r>
            <w:r w:rsidR="00206E2C" w:rsidRPr="00567F82">
              <w:rPr>
                <w:b/>
                <w:color w:val="FF0000"/>
                <w:sz w:val="21"/>
                <w:szCs w:val="21"/>
              </w:rPr>
              <w:t>0 000</w:t>
            </w:r>
          </w:p>
        </w:tc>
      </w:tr>
      <w:tr w:rsidR="00922C95" w:rsidRPr="00567F82" w:rsidTr="007B4112">
        <w:trPr>
          <w:cnfStyle w:val="000000010000" w:firstRow="0" w:lastRow="0" w:firstColumn="0" w:lastColumn="0" w:oddVBand="0" w:evenVBand="0" w:oddHBand="0" w:evenHBand="1" w:firstRowFirstColumn="0" w:firstRowLastColumn="0" w:lastRowFirstColumn="0" w:lastRowLastColumn="0"/>
          <w:trHeight w:val="60"/>
          <w:jc w:val="center"/>
        </w:trPr>
        <w:tc>
          <w:tcPr>
            <w:tcW w:w="9259" w:type="dxa"/>
            <w:gridSpan w:val="4"/>
            <w:shd w:val="clear" w:color="auto" w:fill="DEEAF6" w:themeFill="accent1" w:themeFillTint="33"/>
            <w:vAlign w:val="center"/>
          </w:tcPr>
          <w:p w:rsidR="00206E2C" w:rsidRPr="00567F82" w:rsidRDefault="00206E2C" w:rsidP="004F4212">
            <w:pPr>
              <w:jc w:val="center"/>
              <w:rPr>
                <w:sz w:val="21"/>
                <w:szCs w:val="21"/>
              </w:rPr>
            </w:pPr>
            <w:r w:rsidRPr="00567F82">
              <w:rPr>
                <w:sz w:val="21"/>
                <w:szCs w:val="21"/>
              </w:rPr>
              <w:t>TOTAL GENERAL</w:t>
            </w:r>
          </w:p>
        </w:tc>
        <w:tc>
          <w:tcPr>
            <w:tcW w:w="1161" w:type="dxa"/>
            <w:shd w:val="clear" w:color="auto" w:fill="DEEAF6" w:themeFill="accent1" w:themeFillTint="33"/>
            <w:vAlign w:val="center"/>
          </w:tcPr>
          <w:p w:rsidR="00206E2C" w:rsidRPr="00567F82" w:rsidRDefault="001671A6" w:rsidP="004F4212">
            <w:pPr>
              <w:jc w:val="center"/>
              <w:rPr>
                <w:b/>
                <w:sz w:val="21"/>
                <w:szCs w:val="21"/>
              </w:rPr>
            </w:pPr>
            <w:r w:rsidRPr="00567F82">
              <w:rPr>
                <w:b/>
                <w:sz w:val="21"/>
                <w:szCs w:val="21"/>
              </w:rPr>
              <w:t>7</w:t>
            </w:r>
            <w:r w:rsidR="006D2600">
              <w:rPr>
                <w:b/>
                <w:sz w:val="21"/>
                <w:szCs w:val="21"/>
              </w:rPr>
              <w:t>3</w:t>
            </w:r>
            <w:r w:rsidR="00716C7D" w:rsidRPr="00567F82">
              <w:rPr>
                <w:b/>
                <w:sz w:val="21"/>
                <w:szCs w:val="21"/>
              </w:rPr>
              <w:t xml:space="preserve"> 75</w:t>
            </w:r>
            <w:r w:rsidR="00206E2C" w:rsidRPr="00567F82">
              <w:rPr>
                <w:b/>
                <w:sz w:val="21"/>
                <w:szCs w:val="21"/>
              </w:rPr>
              <w:t>0 000</w:t>
            </w:r>
          </w:p>
        </w:tc>
      </w:tr>
      <w:tr w:rsidR="00206E2C" w:rsidRPr="00567F82" w:rsidTr="007B4112">
        <w:trPr>
          <w:cnfStyle w:val="000000100000" w:firstRow="0" w:lastRow="0" w:firstColumn="0" w:lastColumn="0" w:oddVBand="0" w:evenVBand="0" w:oddHBand="1" w:evenHBand="0" w:firstRowFirstColumn="0" w:firstRowLastColumn="0" w:lastRowFirstColumn="0" w:lastRowLastColumn="0"/>
          <w:trHeight w:val="573"/>
          <w:jc w:val="center"/>
        </w:trPr>
        <w:tc>
          <w:tcPr>
            <w:tcW w:w="0" w:type="auto"/>
            <w:gridSpan w:val="5"/>
          </w:tcPr>
          <w:p w:rsidR="00206E2C" w:rsidRPr="00567F82" w:rsidRDefault="00206E2C" w:rsidP="004F4212">
            <w:pPr>
              <w:autoSpaceDE w:val="0"/>
              <w:autoSpaceDN w:val="0"/>
              <w:adjustRightInd w:val="0"/>
              <w:jc w:val="center"/>
              <w:rPr>
                <w:rFonts w:eastAsia="Times New Roman"/>
                <w:sz w:val="21"/>
                <w:szCs w:val="21"/>
              </w:rPr>
            </w:pPr>
            <w:r w:rsidRPr="00567F82">
              <w:rPr>
                <w:rFonts w:eastAsia="Times New Roman"/>
                <w:bCs/>
                <w:sz w:val="21"/>
                <w:szCs w:val="21"/>
              </w:rPr>
              <w:t xml:space="preserve">Coût total de mise en œuvre du PCGES : </w:t>
            </w:r>
            <w:r w:rsidR="001671A6" w:rsidRPr="00567F82">
              <w:rPr>
                <w:color w:val="000000"/>
                <w:sz w:val="21"/>
                <w:szCs w:val="21"/>
              </w:rPr>
              <w:t>7</w:t>
            </w:r>
            <w:r w:rsidR="006D2600">
              <w:rPr>
                <w:color w:val="000000"/>
                <w:sz w:val="21"/>
                <w:szCs w:val="21"/>
              </w:rPr>
              <w:t>3</w:t>
            </w:r>
            <w:r w:rsidR="001671A6" w:rsidRPr="00567F82">
              <w:rPr>
                <w:color w:val="000000"/>
                <w:sz w:val="21"/>
                <w:szCs w:val="21"/>
              </w:rPr>
              <w:t xml:space="preserve"> 75</w:t>
            </w:r>
            <w:r w:rsidRPr="00567F82">
              <w:rPr>
                <w:color w:val="000000"/>
                <w:sz w:val="21"/>
                <w:szCs w:val="21"/>
              </w:rPr>
              <w:t>0</w:t>
            </w:r>
            <w:r w:rsidR="001671A6" w:rsidRPr="00567F82">
              <w:rPr>
                <w:color w:val="000000"/>
                <w:sz w:val="21"/>
                <w:szCs w:val="21"/>
              </w:rPr>
              <w:t> </w:t>
            </w:r>
            <w:r w:rsidRPr="00567F82">
              <w:rPr>
                <w:color w:val="000000"/>
                <w:sz w:val="21"/>
                <w:szCs w:val="21"/>
              </w:rPr>
              <w:t>000</w:t>
            </w:r>
            <w:r w:rsidR="001671A6" w:rsidRPr="00567F82">
              <w:rPr>
                <w:color w:val="000000"/>
                <w:sz w:val="21"/>
                <w:szCs w:val="21"/>
              </w:rPr>
              <w:t xml:space="preserve"> </w:t>
            </w:r>
            <w:r w:rsidRPr="00567F82">
              <w:rPr>
                <w:rFonts w:eastAsia="Times New Roman"/>
                <w:bCs/>
                <w:sz w:val="21"/>
                <w:szCs w:val="21"/>
              </w:rPr>
              <w:t>FCFA</w:t>
            </w:r>
          </w:p>
          <w:p w:rsidR="00206E2C" w:rsidRPr="00567F82" w:rsidRDefault="00206E2C" w:rsidP="004F4212">
            <w:pPr>
              <w:jc w:val="center"/>
              <w:rPr>
                <w:sz w:val="21"/>
                <w:szCs w:val="21"/>
              </w:rPr>
            </w:pPr>
            <w:r w:rsidRPr="00567F82">
              <w:rPr>
                <w:sz w:val="21"/>
                <w:szCs w:val="21"/>
              </w:rPr>
              <w:t>NOTA : Tous ces coûts devront être inclus dans les coûts du projet</w:t>
            </w:r>
          </w:p>
        </w:tc>
      </w:tr>
    </w:tbl>
    <w:p w:rsidR="00F04377" w:rsidRPr="00A05698" w:rsidRDefault="00F04377" w:rsidP="004F4212"/>
    <w:p w:rsidR="00F04377" w:rsidRPr="00045EAE" w:rsidRDefault="00F04377" w:rsidP="00045EAE">
      <w:pPr>
        <w:pStyle w:val="PargrafodaLista"/>
        <w:numPr>
          <w:ilvl w:val="1"/>
          <w:numId w:val="198"/>
        </w:numPr>
        <w:spacing w:after="120"/>
        <w:ind w:right="-847"/>
        <w:outlineLvl w:val="1"/>
        <w:rPr>
          <w:rFonts w:ascii="Times New Roman" w:hAnsi="Times New Roman"/>
          <w:b/>
          <w:bCs/>
          <w:sz w:val="24"/>
          <w:szCs w:val="24"/>
        </w:rPr>
      </w:pPr>
      <w:bookmarkStart w:id="333" w:name="_Toc73459764"/>
      <w:r w:rsidRPr="00045EAE">
        <w:rPr>
          <w:rFonts w:ascii="Times New Roman" w:hAnsi="Times New Roman"/>
          <w:b/>
          <w:bCs/>
          <w:sz w:val="24"/>
          <w:szCs w:val="24"/>
        </w:rPr>
        <w:t>CONSULTATION DU PUBLIC</w:t>
      </w:r>
      <w:bookmarkEnd w:id="333"/>
    </w:p>
    <w:p w:rsidR="00F04377" w:rsidRDefault="00F04377" w:rsidP="005E613E">
      <w:pPr>
        <w:autoSpaceDE w:val="0"/>
        <w:autoSpaceDN w:val="0"/>
        <w:adjustRightInd w:val="0"/>
        <w:ind w:left="142" w:right="-851"/>
        <w:jc w:val="both"/>
      </w:pPr>
      <w:r w:rsidRPr="00A05698">
        <w:t>La consultation du public est une étape importante du processus d’évaluation</w:t>
      </w:r>
      <w:r w:rsidR="00C439F9" w:rsidRPr="00A05698">
        <w:t xml:space="preserve"> environnementale. Elle procède </w:t>
      </w:r>
      <w:r w:rsidRPr="00A05698">
        <w:t xml:space="preserve">d’une disposition légale du Code de l’environnement </w:t>
      </w:r>
      <w:r w:rsidR="004659FC">
        <w:t xml:space="preserve">et de la norme NES N°10 </w:t>
      </w:r>
      <w:r w:rsidRPr="00A05698">
        <w:t xml:space="preserve">qui stipule l’implication des acteurs institutionnels et non institutionnels issus de la société civile dans le processus d’évaluation environnementale. </w:t>
      </w:r>
    </w:p>
    <w:p w:rsidR="0060566C" w:rsidRPr="00A05698" w:rsidRDefault="0060566C" w:rsidP="005E613E">
      <w:pPr>
        <w:autoSpaceDE w:val="0"/>
        <w:autoSpaceDN w:val="0"/>
        <w:adjustRightInd w:val="0"/>
        <w:ind w:left="142" w:right="-851"/>
        <w:jc w:val="both"/>
      </w:pPr>
    </w:p>
    <w:p w:rsidR="00F04377" w:rsidRPr="00A05698" w:rsidRDefault="00F04377"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34" w:name="_Toc73459765"/>
      <w:bookmarkStart w:id="335" w:name="_Toc477948857"/>
      <w:bookmarkStart w:id="336" w:name="_Toc512872012"/>
      <w:bookmarkStart w:id="337" w:name="_Toc4070793"/>
      <w:bookmarkStart w:id="338" w:name="_Toc53716654"/>
      <w:r w:rsidRPr="00A05698">
        <w:rPr>
          <w:rFonts w:ascii="Times New Roman" w:hAnsi="Times New Roman"/>
          <w:b/>
          <w:bCs/>
          <w:sz w:val="24"/>
          <w:szCs w:val="24"/>
        </w:rPr>
        <w:t>OBJECTIFS DE LA CONSULTATION</w:t>
      </w:r>
      <w:bookmarkEnd w:id="334"/>
      <w:r w:rsidRPr="00A05698">
        <w:rPr>
          <w:rFonts w:ascii="Times New Roman" w:hAnsi="Times New Roman"/>
          <w:b/>
          <w:bCs/>
          <w:sz w:val="24"/>
          <w:szCs w:val="24"/>
        </w:rPr>
        <w:t xml:space="preserve"> </w:t>
      </w:r>
      <w:bookmarkEnd w:id="335"/>
      <w:bookmarkEnd w:id="336"/>
      <w:bookmarkEnd w:id="337"/>
      <w:bookmarkEnd w:id="338"/>
    </w:p>
    <w:p w:rsidR="00F04377" w:rsidRPr="00A05698" w:rsidRDefault="00F04377" w:rsidP="005E613E">
      <w:pPr>
        <w:autoSpaceDE w:val="0"/>
        <w:autoSpaceDN w:val="0"/>
        <w:adjustRightInd w:val="0"/>
        <w:ind w:left="142" w:right="-851"/>
        <w:jc w:val="both"/>
      </w:pPr>
      <w:r w:rsidRPr="00A05698">
        <w:t>De façon pratique, l’objectif des consultations est d’identifier toutes les personnes et les institutions ayant un intérêt dans la mise en œuvre du PUSA, sachant que, celles-ci sont capables de mener des actions (individuelles et/ou collectives) dans le but de faire correspondre l’orientation dudit projet.</w:t>
      </w:r>
    </w:p>
    <w:p w:rsidR="00F04377" w:rsidRPr="00A05698" w:rsidRDefault="00F04377" w:rsidP="005E613E">
      <w:pPr>
        <w:autoSpaceDE w:val="0"/>
        <w:autoSpaceDN w:val="0"/>
        <w:adjustRightInd w:val="0"/>
        <w:ind w:left="142" w:right="-851"/>
        <w:jc w:val="both"/>
      </w:pPr>
      <w:r w:rsidRPr="00A05698">
        <w:t>Ces consultations publiques visaient les objectifs suivants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714" w:right="-851" w:hanging="357"/>
        <w:jc w:val="both"/>
        <w:rPr>
          <w:rFonts w:ascii="Times New Roman" w:hAnsi="Times New Roman"/>
          <w:sz w:val="22"/>
          <w:szCs w:val="22"/>
        </w:rPr>
      </w:pPr>
      <w:r w:rsidRPr="00F6587F">
        <w:rPr>
          <w:rFonts w:ascii="Times New Roman" w:hAnsi="Times New Roman"/>
          <w:sz w:val="22"/>
          <w:szCs w:val="22"/>
        </w:rPr>
        <w:t>Présenter le projet de sécurité alimentaire d’urgence et ses activités et sous projets prévus aux différentes parties prenantes afin de leur permettre de mieux s’imprégner du projet et d’avoir une meilleure compréhension de ses enjeux,</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714" w:right="-851" w:hanging="357"/>
        <w:jc w:val="both"/>
        <w:rPr>
          <w:rFonts w:ascii="Times New Roman" w:hAnsi="Times New Roman"/>
          <w:sz w:val="22"/>
          <w:szCs w:val="22"/>
        </w:rPr>
      </w:pPr>
      <w:r w:rsidRPr="00F6587F">
        <w:rPr>
          <w:rFonts w:ascii="Times New Roman" w:hAnsi="Times New Roman"/>
          <w:sz w:val="22"/>
          <w:szCs w:val="22"/>
        </w:rPr>
        <w:t xml:space="preserve">Recueillir les informations pertinentes à prendre en compte dans la conduite de l’étude surtout la situation de référence actuelle au niveau de l’agriculture et la santé dont la situation de la pandémie </w:t>
      </w:r>
      <w:r w:rsidR="00784A94" w:rsidRPr="00F6587F">
        <w:rPr>
          <w:rFonts w:ascii="Times New Roman" w:hAnsi="Times New Roman"/>
          <w:sz w:val="22"/>
          <w:szCs w:val="22"/>
        </w:rPr>
        <w:t>de la Covid</w:t>
      </w:r>
      <w:r w:rsidRPr="00F6587F">
        <w:rPr>
          <w:rFonts w:ascii="Times New Roman" w:hAnsi="Times New Roman"/>
          <w:sz w:val="22"/>
          <w:szCs w:val="22"/>
        </w:rPr>
        <w:t xml:space="preserve"> 19 a si bien impacté ;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714" w:right="-851" w:hanging="357"/>
        <w:jc w:val="both"/>
        <w:rPr>
          <w:rFonts w:ascii="Times New Roman" w:hAnsi="Times New Roman"/>
          <w:sz w:val="22"/>
          <w:szCs w:val="22"/>
        </w:rPr>
      </w:pPr>
      <w:r w:rsidRPr="00F6587F">
        <w:rPr>
          <w:rFonts w:ascii="Times New Roman" w:hAnsi="Times New Roman"/>
          <w:sz w:val="22"/>
          <w:szCs w:val="22"/>
        </w:rPr>
        <w:t>Permettre aux parties prenantes de s’exprimer, de faire part de leurs préoccupations, de leurs appréhensions et de leurs attentes vis à vis du projet par rapport au nombreux impact</w:t>
      </w:r>
      <w:r w:rsidR="00675308" w:rsidRPr="00F6587F">
        <w:rPr>
          <w:rFonts w:ascii="Times New Roman" w:hAnsi="Times New Roman"/>
          <w:sz w:val="22"/>
          <w:szCs w:val="22"/>
        </w:rPr>
        <w:t>s causé par la pandémie d</w:t>
      </w:r>
      <w:r w:rsidR="00FB224D" w:rsidRPr="00F6587F">
        <w:rPr>
          <w:rFonts w:ascii="Times New Roman" w:hAnsi="Times New Roman"/>
          <w:sz w:val="22"/>
          <w:szCs w:val="22"/>
        </w:rPr>
        <w:t>e la</w:t>
      </w:r>
      <w:r w:rsidR="00675308" w:rsidRPr="00F6587F">
        <w:rPr>
          <w:rFonts w:ascii="Times New Roman" w:hAnsi="Times New Roman"/>
          <w:sz w:val="22"/>
          <w:szCs w:val="22"/>
        </w:rPr>
        <w:t xml:space="preserve"> Covid</w:t>
      </w:r>
      <w:r w:rsidRPr="00F6587F">
        <w:rPr>
          <w:rFonts w:ascii="Times New Roman" w:hAnsi="Times New Roman"/>
          <w:sz w:val="22"/>
          <w:szCs w:val="22"/>
        </w:rPr>
        <w:t xml:space="preserve"> 19 ;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714" w:right="-851" w:hanging="357"/>
        <w:jc w:val="both"/>
        <w:rPr>
          <w:rFonts w:ascii="Times New Roman" w:hAnsi="Times New Roman"/>
          <w:sz w:val="22"/>
          <w:szCs w:val="22"/>
        </w:rPr>
      </w:pPr>
      <w:r w:rsidRPr="00F6587F">
        <w:rPr>
          <w:rFonts w:ascii="Times New Roman" w:hAnsi="Times New Roman"/>
          <w:sz w:val="22"/>
          <w:szCs w:val="22"/>
        </w:rPr>
        <w:t>Anticiper sur les problèmes futurs que pourrait engendrer le projet PUSA et y trouver précocement des solutions en intégrant les points de vue des directions ou services techniques et des producteurs ou des fédérations de producteur et des populations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714" w:right="-851" w:hanging="357"/>
        <w:jc w:val="both"/>
        <w:rPr>
          <w:rFonts w:ascii="Times New Roman" w:hAnsi="Times New Roman"/>
          <w:sz w:val="22"/>
          <w:szCs w:val="22"/>
        </w:rPr>
      </w:pPr>
      <w:r w:rsidRPr="00F6587F">
        <w:rPr>
          <w:rFonts w:ascii="Times New Roman" w:hAnsi="Times New Roman"/>
          <w:sz w:val="22"/>
          <w:szCs w:val="22"/>
        </w:rPr>
        <w:t xml:space="preserve">Compléter l’identification des impacts du projet et envisager avec les parties intéressées, les mesures d’atténuation adaptées au contexte.  </w:t>
      </w:r>
    </w:p>
    <w:p w:rsidR="001160AC" w:rsidRPr="00A05698" w:rsidRDefault="001160AC" w:rsidP="005E613E">
      <w:pPr>
        <w:pStyle w:val="PargrafodaLista"/>
        <w:widowControl w:val="0"/>
        <w:tabs>
          <w:tab w:val="left" w:pos="220"/>
          <w:tab w:val="left" w:pos="720"/>
        </w:tabs>
        <w:autoSpaceDE w:val="0"/>
        <w:autoSpaceDN w:val="0"/>
        <w:adjustRightInd w:val="0"/>
        <w:spacing w:after="0" w:line="240" w:lineRule="auto"/>
        <w:ind w:left="714" w:right="-851"/>
        <w:jc w:val="both"/>
        <w:rPr>
          <w:rFonts w:ascii="Times New Roman" w:hAnsi="Times New Roman"/>
          <w:sz w:val="24"/>
          <w:szCs w:val="24"/>
        </w:rPr>
      </w:pPr>
    </w:p>
    <w:p w:rsidR="00F04377" w:rsidRPr="00A05698" w:rsidRDefault="00F04377"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39" w:name="_Toc515981049"/>
      <w:bookmarkStart w:id="340" w:name="_Toc17385845"/>
      <w:bookmarkStart w:id="341" w:name="_Toc73459766"/>
      <w:r w:rsidRPr="00A05698">
        <w:rPr>
          <w:rFonts w:ascii="Times New Roman" w:hAnsi="Times New Roman"/>
          <w:b/>
          <w:bCs/>
          <w:sz w:val="24"/>
          <w:szCs w:val="24"/>
        </w:rPr>
        <w:t>METHODOLOGIE ET MISE EN ŒUVRE DE LA CONSULTATION</w:t>
      </w:r>
      <w:bookmarkEnd w:id="339"/>
      <w:bookmarkEnd w:id="340"/>
      <w:bookmarkEnd w:id="341"/>
    </w:p>
    <w:p w:rsidR="00F04377" w:rsidRPr="00A05698" w:rsidRDefault="00F04377" w:rsidP="005E613E">
      <w:pPr>
        <w:autoSpaceDE w:val="0"/>
        <w:autoSpaceDN w:val="0"/>
        <w:adjustRightInd w:val="0"/>
        <w:ind w:left="142" w:right="-851"/>
        <w:jc w:val="both"/>
      </w:pPr>
      <w:r w:rsidRPr="00A05698">
        <w:t>L’approche consultative a permis de recueillir des informations sur les activités du projet PUSA. Elle a également permis de mieux comprendre les ressentis et les perceptions des acteurs durant toute la période de mise en œuvre des activités.</w:t>
      </w:r>
    </w:p>
    <w:p w:rsidR="00F04377" w:rsidRPr="00A05698" w:rsidRDefault="00F04377" w:rsidP="005E613E">
      <w:pPr>
        <w:autoSpaceDE w:val="0"/>
        <w:autoSpaceDN w:val="0"/>
        <w:adjustRightInd w:val="0"/>
        <w:ind w:left="142" w:right="-851"/>
        <w:jc w:val="both"/>
      </w:pPr>
      <w:r w:rsidRPr="00A05698">
        <w:t>Les thèmes suivants ont été abordés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993" w:right="-851" w:hanging="357"/>
        <w:jc w:val="both"/>
        <w:rPr>
          <w:rFonts w:ascii="Times New Roman" w:hAnsi="Times New Roman"/>
          <w:sz w:val="22"/>
          <w:szCs w:val="22"/>
        </w:rPr>
      </w:pPr>
      <w:r w:rsidRPr="00F6587F">
        <w:rPr>
          <w:rFonts w:ascii="Times New Roman" w:hAnsi="Times New Roman"/>
          <w:sz w:val="22"/>
          <w:szCs w:val="22"/>
        </w:rPr>
        <w:t>Leur connaissance par rapport au projet PUSA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993" w:right="-851" w:hanging="357"/>
        <w:jc w:val="both"/>
        <w:rPr>
          <w:rFonts w:ascii="Times New Roman" w:hAnsi="Times New Roman"/>
          <w:sz w:val="22"/>
          <w:szCs w:val="22"/>
        </w:rPr>
      </w:pPr>
      <w:r w:rsidRPr="00F6587F">
        <w:rPr>
          <w:rFonts w:ascii="Times New Roman" w:hAnsi="Times New Roman"/>
          <w:sz w:val="22"/>
          <w:szCs w:val="22"/>
        </w:rPr>
        <w:t>La situation de référence du secteur concerné</w:t>
      </w:r>
      <w:r w:rsidR="007E38A7" w:rsidRPr="00F6587F">
        <w:rPr>
          <w:rFonts w:ascii="Times New Roman" w:hAnsi="Times New Roman"/>
          <w:sz w:val="22"/>
          <w:szCs w:val="22"/>
        </w:rPr>
        <w:t xml:space="preserve"> par rapport à la pandémie de la Covid</w:t>
      </w:r>
      <w:r w:rsidRPr="00F6587F">
        <w:rPr>
          <w:rFonts w:ascii="Times New Roman" w:hAnsi="Times New Roman"/>
          <w:sz w:val="22"/>
          <w:szCs w:val="22"/>
        </w:rPr>
        <w:t xml:space="preserve"> 19</w:t>
      </w:r>
      <w:r w:rsidR="007E38A7" w:rsidRPr="00F6587F">
        <w:rPr>
          <w:rFonts w:ascii="Times New Roman" w:hAnsi="Times New Roman"/>
          <w:sz w:val="22"/>
          <w:szCs w:val="22"/>
        </w:rPr>
        <w:t>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993" w:right="-851" w:hanging="357"/>
        <w:jc w:val="both"/>
        <w:rPr>
          <w:rFonts w:ascii="Times New Roman" w:hAnsi="Times New Roman"/>
          <w:sz w:val="22"/>
          <w:szCs w:val="22"/>
        </w:rPr>
      </w:pPr>
      <w:r w:rsidRPr="00F6587F">
        <w:rPr>
          <w:rFonts w:ascii="Times New Roman" w:hAnsi="Times New Roman"/>
          <w:sz w:val="22"/>
          <w:szCs w:val="22"/>
        </w:rPr>
        <w:t>La perception et l’appréciation par rapport aux activités prévues par le PUSA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993" w:right="-851" w:hanging="357"/>
        <w:jc w:val="both"/>
        <w:rPr>
          <w:rFonts w:ascii="Times New Roman" w:hAnsi="Times New Roman"/>
          <w:sz w:val="22"/>
          <w:szCs w:val="22"/>
        </w:rPr>
      </w:pPr>
      <w:r w:rsidRPr="00F6587F">
        <w:rPr>
          <w:rFonts w:ascii="Times New Roman" w:hAnsi="Times New Roman"/>
          <w:sz w:val="22"/>
          <w:szCs w:val="22"/>
        </w:rPr>
        <w:t xml:space="preserve">Les enjeux environnementaux, sociaux économiques actuelle et futur par rapport à la mise en œuvre du projet ;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993" w:right="-851" w:hanging="357"/>
        <w:jc w:val="both"/>
        <w:rPr>
          <w:rFonts w:ascii="Times New Roman" w:hAnsi="Times New Roman"/>
          <w:sz w:val="22"/>
          <w:szCs w:val="22"/>
        </w:rPr>
      </w:pPr>
      <w:r w:rsidRPr="00F6587F">
        <w:rPr>
          <w:rFonts w:ascii="Times New Roman" w:hAnsi="Times New Roman"/>
          <w:sz w:val="22"/>
          <w:szCs w:val="22"/>
        </w:rPr>
        <w:t>Les attentes vis-à-vis du PUSA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993" w:right="-851" w:hanging="357"/>
        <w:jc w:val="both"/>
        <w:rPr>
          <w:rFonts w:ascii="Times New Roman" w:hAnsi="Times New Roman"/>
          <w:sz w:val="22"/>
          <w:szCs w:val="22"/>
        </w:rPr>
      </w:pPr>
      <w:r w:rsidRPr="00F6587F">
        <w:rPr>
          <w:rFonts w:ascii="Times New Roman" w:hAnsi="Times New Roman"/>
          <w:sz w:val="22"/>
          <w:szCs w:val="22"/>
        </w:rPr>
        <w:t xml:space="preserve">Les contraintes à la mise en œuvre </w:t>
      </w:r>
      <w:r w:rsidR="00955C47" w:rsidRPr="00F6587F">
        <w:rPr>
          <w:rFonts w:ascii="Times New Roman" w:hAnsi="Times New Roman"/>
          <w:sz w:val="22"/>
          <w:szCs w:val="22"/>
        </w:rPr>
        <w:t>PUSA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993" w:right="-851" w:hanging="357"/>
        <w:jc w:val="both"/>
        <w:rPr>
          <w:rFonts w:ascii="Times New Roman" w:hAnsi="Times New Roman"/>
          <w:sz w:val="22"/>
          <w:szCs w:val="22"/>
        </w:rPr>
      </w:pPr>
      <w:r w:rsidRPr="00F6587F">
        <w:rPr>
          <w:rFonts w:ascii="Times New Roman" w:hAnsi="Times New Roman"/>
          <w:sz w:val="22"/>
          <w:szCs w:val="22"/>
        </w:rPr>
        <w:t>Les impacts négatifs potentiels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993" w:right="-851" w:hanging="357"/>
        <w:jc w:val="both"/>
        <w:rPr>
          <w:rFonts w:ascii="Times New Roman" w:hAnsi="Times New Roman"/>
          <w:sz w:val="22"/>
          <w:szCs w:val="22"/>
        </w:rPr>
      </w:pPr>
      <w:r w:rsidRPr="00F6587F">
        <w:rPr>
          <w:rFonts w:ascii="Times New Roman" w:hAnsi="Times New Roman"/>
          <w:sz w:val="22"/>
          <w:szCs w:val="22"/>
        </w:rPr>
        <w:t>Les impacts positifs potentiels ;</w:t>
      </w:r>
    </w:p>
    <w:p w:rsidR="00F04377" w:rsidRPr="00F6587F" w:rsidRDefault="00F04377" w:rsidP="005E613E">
      <w:pPr>
        <w:pStyle w:val="PargrafodaLista"/>
        <w:widowControl w:val="0"/>
        <w:numPr>
          <w:ilvl w:val="0"/>
          <w:numId w:val="26"/>
        </w:numPr>
        <w:tabs>
          <w:tab w:val="left" w:pos="220"/>
          <w:tab w:val="left" w:pos="720"/>
        </w:tabs>
        <w:autoSpaceDE w:val="0"/>
        <w:autoSpaceDN w:val="0"/>
        <w:adjustRightInd w:val="0"/>
        <w:spacing w:after="0" w:line="240" w:lineRule="auto"/>
        <w:ind w:left="993" w:right="-851" w:hanging="357"/>
        <w:jc w:val="both"/>
        <w:rPr>
          <w:rFonts w:ascii="Times New Roman" w:hAnsi="Times New Roman"/>
          <w:sz w:val="22"/>
          <w:szCs w:val="22"/>
        </w:rPr>
      </w:pPr>
      <w:r w:rsidRPr="00F6587F">
        <w:rPr>
          <w:rFonts w:ascii="Times New Roman" w:hAnsi="Times New Roman"/>
          <w:sz w:val="22"/>
          <w:szCs w:val="22"/>
        </w:rPr>
        <w:t>Le genre c’est-à-dire l’implication des couches vulnérables ;</w:t>
      </w:r>
    </w:p>
    <w:p w:rsidR="00CE79D3" w:rsidRDefault="00CE79D3" w:rsidP="005E613E">
      <w:pPr>
        <w:pStyle w:val="Listacommarcas2"/>
        <w:numPr>
          <w:ilvl w:val="0"/>
          <w:numId w:val="0"/>
        </w:numPr>
        <w:spacing w:line="240" w:lineRule="auto"/>
        <w:ind w:left="720" w:right="-851"/>
        <w:rPr>
          <w:rFonts w:ascii="Times New Roman" w:hAnsi="Times New Roman"/>
          <w:sz w:val="24"/>
          <w:lang w:val="fr-FR"/>
        </w:rPr>
      </w:pPr>
    </w:p>
    <w:p w:rsidR="00F04377" w:rsidRPr="00A05698" w:rsidRDefault="00F04377" w:rsidP="005E613E">
      <w:pPr>
        <w:pStyle w:val="PargrafodaLista"/>
        <w:spacing w:after="120" w:line="240" w:lineRule="auto"/>
        <w:ind w:left="3556" w:right="-851"/>
        <w:outlineLvl w:val="1"/>
        <w:rPr>
          <w:rFonts w:ascii="Times New Roman" w:hAnsi="Times New Roman"/>
          <w:b/>
          <w:bCs/>
          <w:sz w:val="24"/>
          <w:szCs w:val="24"/>
        </w:rPr>
      </w:pPr>
      <w:bookmarkStart w:id="342" w:name="_Toc515981050"/>
      <w:bookmarkStart w:id="343" w:name="_Toc17385846"/>
      <w:bookmarkStart w:id="344" w:name="_Toc67508528"/>
      <w:bookmarkStart w:id="345" w:name="_Toc73459767"/>
      <w:r w:rsidRPr="00A05698">
        <w:rPr>
          <w:rFonts w:ascii="Times New Roman" w:hAnsi="Times New Roman"/>
          <w:b/>
          <w:bCs/>
          <w:sz w:val="24"/>
          <w:szCs w:val="24"/>
        </w:rPr>
        <w:t>DEROULEMENT DE LA CONSULTATION</w:t>
      </w:r>
      <w:bookmarkEnd w:id="342"/>
      <w:bookmarkEnd w:id="343"/>
      <w:bookmarkEnd w:id="344"/>
      <w:bookmarkEnd w:id="345"/>
    </w:p>
    <w:p w:rsidR="00F04377" w:rsidRPr="00A05698" w:rsidRDefault="00F04377" w:rsidP="005E613E">
      <w:pPr>
        <w:autoSpaceDE w:val="0"/>
        <w:autoSpaceDN w:val="0"/>
        <w:adjustRightInd w:val="0"/>
        <w:ind w:left="142" w:right="-851"/>
        <w:jc w:val="both"/>
      </w:pPr>
      <w:r w:rsidRPr="00A05698">
        <w:t xml:space="preserve">Un large processus de consultations et de rencontres institutionnelles </w:t>
      </w:r>
      <w:r w:rsidR="00686C33" w:rsidRPr="00A05698">
        <w:t xml:space="preserve">a </w:t>
      </w:r>
      <w:r w:rsidR="0087736C" w:rsidRPr="00A05698">
        <w:t>été</w:t>
      </w:r>
      <w:r w:rsidRPr="00A05698">
        <w:t xml:space="preserve"> </w:t>
      </w:r>
      <w:r w:rsidR="00686C33" w:rsidRPr="00A05698">
        <w:t>effectué entre</w:t>
      </w:r>
      <w:r w:rsidRPr="00A05698">
        <w:t xml:space="preserve"> le 14 </w:t>
      </w:r>
      <w:r w:rsidR="001160AC">
        <w:t xml:space="preserve">et 31 </w:t>
      </w:r>
      <w:r w:rsidRPr="00A05698">
        <w:t>décembre 2020 pour consulter l’ensemble des acteurs concernés par la mise en œuvre du PUSA.</w:t>
      </w:r>
    </w:p>
    <w:p w:rsidR="00021796" w:rsidRPr="00EB5EDA" w:rsidRDefault="00F04377" w:rsidP="005E613E">
      <w:pPr>
        <w:autoSpaceDE w:val="0"/>
        <w:autoSpaceDN w:val="0"/>
        <w:adjustRightInd w:val="0"/>
        <w:ind w:left="142" w:right="-851"/>
        <w:jc w:val="both"/>
      </w:pPr>
      <w:bookmarkStart w:id="346" w:name="_Toc515981051"/>
      <w:r w:rsidRPr="00A05698">
        <w:t xml:space="preserve">Ainsi, la liste ci-dessous </w:t>
      </w:r>
      <w:r w:rsidR="00F10330" w:rsidRPr="00A05698">
        <w:t xml:space="preserve">et en annexe </w:t>
      </w:r>
      <w:r w:rsidRPr="00A05698">
        <w:t xml:space="preserve">présente l’ensemble des acteurs </w:t>
      </w:r>
      <w:r w:rsidR="0022238E" w:rsidRPr="00A05698">
        <w:t>consultés</w:t>
      </w:r>
      <w:r w:rsidRPr="00A05698">
        <w:t xml:space="preserve"> dans le cadre du PUSA :</w:t>
      </w:r>
      <w:bookmarkEnd w:id="346"/>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 xml:space="preserve">Bureau du FAO </w:t>
      </w:r>
      <w:r w:rsidR="002465AF" w:rsidRPr="00A05698">
        <w:rPr>
          <w:rFonts w:ascii="Times New Roman" w:hAnsi="Times New Roman"/>
          <w:sz w:val="24"/>
          <w:szCs w:val="24"/>
        </w:rPr>
        <w:t>à Bissau </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Coordinateur du PUSA</w:t>
      </w:r>
      <w:r w:rsidR="004D479B" w:rsidRPr="00A05698">
        <w:rPr>
          <w:rFonts w:ascii="Times New Roman" w:hAnsi="Times New Roman"/>
          <w:sz w:val="24"/>
          <w:szCs w:val="24"/>
        </w:rPr>
        <w:t xml:space="preserve"> en intérim</w:t>
      </w:r>
      <w:r w:rsidR="002465AF" w:rsidRPr="00A05698">
        <w:rPr>
          <w:rFonts w:ascii="Times New Roman" w:hAnsi="Times New Roman"/>
          <w:sz w:val="24"/>
          <w:szCs w:val="24"/>
        </w:rPr>
        <w:t> </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Directeur général de l’</w:t>
      </w:r>
      <w:r w:rsidR="002465AF" w:rsidRPr="00A05698">
        <w:rPr>
          <w:rFonts w:ascii="Times New Roman" w:hAnsi="Times New Roman"/>
          <w:sz w:val="24"/>
          <w:szCs w:val="24"/>
        </w:rPr>
        <w:t>agriculture </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Direct</w:t>
      </w:r>
      <w:r w:rsidR="002465AF" w:rsidRPr="00A05698">
        <w:rPr>
          <w:rFonts w:ascii="Times New Roman" w:hAnsi="Times New Roman"/>
          <w:sz w:val="24"/>
          <w:szCs w:val="24"/>
        </w:rPr>
        <w:t>ion de protection des végétaux </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Direction nationale de statistique agricole</w:t>
      </w:r>
      <w:r w:rsidR="00A94FDC" w:rsidRPr="00A05698">
        <w:rPr>
          <w:rFonts w:ascii="Times New Roman" w:hAnsi="Times New Roman"/>
          <w:sz w:val="24"/>
          <w:szCs w:val="24"/>
        </w:rPr>
        <w:t> </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Autorité d’Evaluation Environnementale Compétente de Bissau (AAAC)</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Institut National de la Statistique de Bissau</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Service National de la Protection Civile de Bissau</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Direction Générale de l’Aménagement du Territoire Bissau</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Direction Générale de la Faune et Flore</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 xml:space="preserve">Ministère de la Santé Publique </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Direction générale du travail</w:t>
      </w:r>
    </w:p>
    <w:p w:rsidR="00F04377"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 xml:space="preserve">Ministère de la femme </w:t>
      </w:r>
    </w:p>
    <w:p w:rsidR="00F04377" w:rsidRPr="00A05698" w:rsidRDefault="00E616E4"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 xml:space="preserve">Programme </w:t>
      </w:r>
      <w:r w:rsidR="004A04FE" w:rsidRPr="00A05698">
        <w:rPr>
          <w:rFonts w:ascii="Times New Roman" w:hAnsi="Times New Roman"/>
          <w:sz w:val="24"/>
          <w:szCs w:val="24"/>
        </w:rPr>
        <w:t>alimentaire mo</w:t>
      </w:r>
      <w:r w:rsidR="002465AF" w:rsidRPr="00A05698">
        <w:rPr>
          <w:rFonts w:ascii="Times New Roman" w:hAnsi="Times New Roman"/>
          <w:sz w:val="24"/>
          <w:szCs w:val="24"/>
        </w:rPr>
        <w:t>ndiale</w:t>
      </w:r>
    </w:p>
    <w:p w:rsidR="00F44306" w:rsidRPr="00A05698" w:rsidRDefault="00F44306"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AN</w:t>
      </w:r>
      <w:r w:rsidR="002E2C37" w:rsidRPr="00A05698">
        <w:rPr>
          <w:rFonts w:ascii="Times New Roman" w:hAnsi="Times New Roman"/>
          <w:sz w:val="24"/>
          <w:szCs w:val="24"/>
        </w:rPr>
        <w:t>CA-GB</w:t>
      </w:r>
    </w:p>
    <w:p w:rsidR="00790E5E" w:rsidRPr="00A05698" w:rsidRDefault="00F04377"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ANAG</w:t>
      </w:r>
    </w:p>
    <w:p w:rsidR="00F04377" w:rsidRPr="00A05698" w:rsidRDefault="00790E5E"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AMAE</w:t>
      </w:r>
    </w:p>
    <w:p w:rsidR="008713B8" w:rsidRPr="00A05698" w:rsidRDefault="005903F2"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Association</w:t>
      </w:r>
      <w:r w:rsidR="005165F9" w:rsidRPr="00A05698">
        <w:rPr>
          <w:rFonts w:ascii="Times New Roman" w:hAnsi="Times New Roman"/>
          <w:sz w:val="24"/>
          <w:szCs w:val="24"/>
        </w:rPr>
        <w:t xml:space="preserve"> </w:t>
      </w:r>
      <w:r w:rsidR="000E1A4B" w:rsidRPr="00A05698">
        <w:rPr>
          <w:rFonts w:ascii="Times New Roman" w:hAnsi="Times New Roman"/>
          <w:sz w:val="24"/>
          <w:szCs w:val="24"/>
        </w:rPr>
        <w:t>d’import/export</w:t>
      </w:r>
      <w:r w:rsidR="00E96A43" w:rsidRPr="00A05698">
        <w:rPr>
          <w:rFonts w:ascii="Times New Roman" w:hAnsi="Times New Roman"/>
          <w:sz w:val="24"/>
          <w:szCs w:val="24"/>
        </w:rPr>
        <w:t xml:space="preserve"> (</w:t>
      </w:r>
      <w:r w:rsidR="00AC0AE9" w:rsidRPr="00A05698">
        <w:rPr>
          <w:rFonts w:ascii="Times New Roman" w:hAnsi="Times New Roman"/>
          <w:sz w:val="24"/>
          <w:szCs w:val="24"/>
        </w:rPr>
        <w:t>InvestCaju.sa)</w:t>
      </w:r>
    </w:p>
    <w:p w:rsidR="003E62CF" w:rsidRPr="00A05698" w:rsidRDefault="003E62CF"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 xml:space="preserve">Association des </w:t>
      </w:r>
      <w:r w:rsidR="00486A5E" w:rsidRPr="00A05698">
        <w:rPr>
          <w:rFonts w:ascii="Times New Roman" w:hAnsi="Times New Roman"/>
          <w:sz w:val="24"/>
          <w:szCs w:val="24"/>
        </w:rPr>
        <w:t>commerçants</w:t>
      </w:r>
    </w:p>
    <w:p w:rsidR="007E3BF7" w:rsidRPr="00A05698" w:rsidRDefault="003E62CF" w:rsidP="005E613E">
      <w:pPr>
        <w:pStyle w:val="PargrafodaLista"/>
        <w:numPr>
          <w:ilvl w:val="0"/>
          <w:numId w:val="31"/>
        </w:numPr>
        <w:spacing w:line="240" w:lineRule="auto"/>
        <w:ind w:left="1276" w:right="-851"/>
        <w:jc w:val="both"/>
        <w:rPr>
          <w:rFonts w:ascii="Times New Roman" w:hAnsi="Times New Roman"/>
          <w:sz w:val="24"/>
          <w:szCs w:val="24"/>
        </w:rPr>
      </w:pPr>
      <w:r w:rsidRPr="00A05698">
        <w:rPr>
          <w:rFonts w:ascii="Times New Roman" w:hAnsi="Times New Roman"/>
          <w:sz w:val="24"/>
          <w:szCs w:val="24"/>
        </w:rPr>
        <w:t>Association des int</w:t>
      </w:r>
      <w:r w:rsidR="0082611E" w:rsidRPr="00A05698">
        <w:rPr>
          <w:rFonts w:ascii="Times New Roman" w:hAnsi="Times New Roman"/>
          <w:sz w:val="24"/>
          <w:szCs w:val="24"/>
        </w:rPr>
        <w:t>ermédiaire</w:t>
      </w:r>
      <w:r w:rsidR="00433C08" w:rsidRPr="00A05698">
        <w:rPr>
          <w:rFonts w:ascii="Times New Roman" w:hAnsi="Times New Roman"/>
          <w:sz w:val="24"/>
          <w:szCs w:val="24"/>
        </w:rPr>
        <w:t>s</w:t>
      </w:r>
      <w:r w:rsidR="0082611E" w:rsidRPr="00A05698">
        <w:rPr>
          <w:rFonts w:ascii="Times New Roman" w:hAnsi="Times New Roman"/>
          <w:sz w:val="24"/>
          <w:szCs w:val="24"/>
        </w:rPr>
        <w:t xml:space="preserve"> </w:t>
      </w:r>
    </w:p>
    <w:p w:rsidR="00F75FAE" w:rsidRPr="00A05698" w:rsidRDefault="00F75FAE" w:rsidP="005E613E">
      <w:pPr>
        <w:pStyle w:val="PargrafodaLista"/>
        <w:spacing w:line="240" w:lineRule="auto"/>
        <w:ind w:left="1276" w:right="-851"/>
        <w:jc w:val="both"/>
      </w:pPr>
    </w:p>
    <w:p w:rsidR="00606D95" w:rsidRPr="00A05698" w:rsidRDefault="00DA2C7C"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47" w:name="_Toc55460146"/>
      <w:bookmarkStart w:id="348" w:name="_Toc55465539"/>
      <w:bookmarkStart w:id="349" w:name="_Toc73459768"/>
      <w:r w:rsidRPr="00A05698">
        <w:rPr>
          <w:rFonts w:ascii="Times New Roman" w:hAnsi="Times New Roman"/>
          <w:b/>
          <w:bCs/>
          <w:sz w:val="24"/>
          <w:szCs w:val="24"/>
        </w:rPr>
        <w:t xml:space="preserve">AVIS ET PERCEPTIONS </w:t>
      </w:r>
      <w:r w:rsidR="00785AE7" w:rsidRPr="00A05698">
        <w:rPr>
          <w:rFonts w:ascii="Times New Roman" w:hAnsi="Times New Roman"/>
          <w:b/>
          <w:bCs/>
          <w:sz w:val="24"/>
          <w:szCs w:val="24"/>
        </w:rPr>
        <w:t>INSTITUTIONNEL</w:t>
      </w:r>
      <w:r w:rsidR="00947A87">
        <w:rPr>
          <w:rFonts w:ascii="Times New Roman" w:hAnsi="Times New Roman"/>
          <w:b/>
          <w:bCs/>
          <w:sz w:val="24"/>
          <w:szCs w:val="24"/>
        </w:rPr>
        <w:t>S</w:t>
      </w:r>
      <w:r w:rsidR="00785AE7" w:rsidRPr="00A05698">
        <w:rPr>
          <w:rFonts w:ascii="Times New Roman" w:hAnsi="Times New Roman"/>
          <w:b/>
          <w:bCs/>
          <w:sz w:val="24"/>
          <w:szCs w:val="24"/>
        </w:rPr>
        <w:t xml:space="preserve"> </w:t>
      </w:r>
      <w:r w:rsidR="00B205E1" w:rsidRPr="00A05698">
        <w:rPr>
          <w:rFonts w:ascii="Times New Roman" w:hAnsi="Times New Roman"/>
          <w:b/>
          <w:bCs/>
          <w:sz w:val="24"/>
          <w:szCs w:val="24"/>
        </w:rPr>
        <w:t>ET SOCI</w:t>
      </w:r>
      <w:r w:rsidR="00947A87">
        <w:rPr>
          <w:rFonts w:ascii="Times New Roman" w:hAnsi="Times New Roman"/>
          <w:b/>
          <w:bCs/>
          <w:sz w:val="24"/>
          <w:szCs w:val="24"/>
        </w:rPr>
        <w:t xml:space="preserve">AUX </w:t>
      </w:r>
      <w:r w:rsidR="00785AE7" w:rsidRPr="00A05698">
        <w:rPr>
          <w:rFonts w:ascii="Times New Roman" w:hAnsi="Times New Roman"/>
          <w:b/>
          <w:bCs/>
          <w:sz w:val="24"/>
          <w:szCs w:val="24"/>
        </w:rPr>
        <w:t>DU PROJET</w:t>
      </w:r>
      <w:bookmarkEnd w:id="347"/>
      <w:bookmarkEnd w:id="348"/>
      <w:bookmarkEnd w:id="349"/>
    </w:p>
    <w:p w:rsidR="000D5378" w:rsidRPr="00A05698" w:rsidRDefault="00B326ED" w:rsidP="005E613E">
      <w:pPr>
        <w:autoSpaceDE w:val="0"/>
        <w:autoSpaceDN w:val="0"/>
        <w:adjustRightInd w:val="0"/>
        <w:ind w:left="142" w:right="-851"/>
        <w:jc w:val="both"/>
      </w:pPr>
      <w:r w:rsidRPr="00A05698">
        <w:t xml:space="preserve">Au </w:t>
      </w:r>
      <w:r w:rsidR="0000442D" w:rsidRPr="00A05698">
        <w:t>cours de ces consultations</w:t>
      </w:r>
      <w:r w:rsidR="00BB2615" w:rsidRPr="00A05698">
        <w:t>,</w:t>
      </w:r>
      <w:r w:rsidR="00785AE7" w:rsidRPr="00A05698">
        <w:t xml:space="preserve"> l’ensemble des acteurs </w:t>
      </w:r>
      <w:bookmarkStart w:id="350" w:name="_Toc55460147"/>
      <w:bookmarkStart w:id="351" w:name="_Toc55465540"/>
      <w:r w:rsidR="007A484C" w:rsidRPr="00A05698">
        <w:t xml:space="preserve">rencontrés </w:t>
      </w:r>
      <w:r w:rsidR="00D0070F" w:rsidRPr="00A05698">
        <w:t>on</w:t>
      </w:r>
      <w:r w:rsidR="009E494C" w:rsidRPr="00A05698">
        <w:t>t</w:t>
      </w:r>
      <w:r w:rsidR="00D0070F" w:rsidRPr="00A05698">
        <w:t xml:space="preserve"> </w:t>
      </w:r>
      <w:r w:rsidR="009E494C" w:rsidRPr="00A05698">
        <w:t xml:space="preserve">exprimés </w:t>
      </w:r>
      <w:r w:rsidR="002C11FA" w:rsidRPr="00A05698">
        <w:t xml:space="preserve">leurs </w:t>
      </w:r>
      <w:r w:rsidR="00C45563" w:rsidRPr="00A05698">
        <w:t>avis</w:t>
      </w:r>
      <w:r w:rsidR="004B5040" w:rsidRPr="00A05698">
        <w:t xml:space="preserve"> et perception</w:t>
      </w:r>
      <w:r w:rsidR="00B43F62" w:rsidRPr="00A05698">
        <w:t>s</w:t>
      </w:r>
      <w:r w:rsidR="004B5040" w:rsidRPr="00A05698">
        <w:t xml:space="preserve"> par</w:t>
      </w:r>
      <w:r w:rsidR="00585DD0" w:rsidRPr="00A05698">
        <w:t xml:space="preserve"> rapport à la mise en</w:t>
      </w:r>
      <w:r w:rsidR="00365901" w:rsidRPr="00A05698">
        <w:t xml:space="preserve"> œuvre </w:t>
      </w:r>
      <w:r w:rsidR="00BF4F49" w:rsidRPr="00A05698">
        <w:t>du pro</w:t>
      </w:r>
      <w:r w:rsidR="0032056D" w:rsidRPr="00A05698">
        <w:t>jet</w:t>
      </w:r>
      <w:r w:rsidR="000037C8" w:rsidRPr="00A05698">
        <w:t xml:space="preserve"> PUSA.</w:t>
      </w:r>
      <w:r w:rsidR="00DE1B3D" w:rsidRPr="00A05698">
        <w:t xml:space="preserve"> L’ensemble de ces </w:t>
      </w:r>
      <w:r w:rsidR="00D577ED" w:rsidRPr="00A05698">
        <w:t>acteurs trouvent que</w:t>
      </w:r>
      <w:r w:rsidR="00ED4749" w:rsidRPr="00A05698">
        <w:t xml:space="preserve"> c’</w:t>
      </w:r>
      <w:r w:rsidR="00F9319A" w:rsidRPr="00A05698">
        <w:t>est un bon</w:t>
      </w:r>
      <w:r w:rsidR="00ED4749" w:rsidRPr="00A05698">
        <w:t xml:space="preserve"> projet qui vi</w:t>
      </w:r>
      <w:r w:rsidR="00F9319A" w:rsidRPr="00A05698">
        <w:t xml:space="preserve">ent à son heure pour soutenir les populations </w:t>
      </w:r>
      <w:r w:rsidR="00F55AB8" w:rsidRPr="00A05698">
        <w:t>en ce</w:t>
      </w:r>
      <w:r w:rsidR="00947A87">
        <w:t>s</w:t>
      </w:r>
      <w:r w:rsidR="00F55AB8" w:rsidRPr="00A05698">
        <w:t xml:space="preserve"> mom</w:t>
      </w:r>
      <w:r w:rsidR="00480DE8" w:rsidRPr="00A05698">
        <w:t>ent</w:t>
      </w:r>
      <w:r w:rsidR="00947A87">
        <w:t>s</w:t>
      </w:r>
      <w:r w:rsidR="00480DE8" w:rsidRPr="00A05698">
        <w:t xml:space="preserve"> </w:t>
      </w:r>
      <w:r w:rsidR="00947A87">
        <w:t>difficiles</w:t>
      </w:r>
      <w:r w:rsidR="00F55AB8" w:rsidRPr="00A05698">
        <w:t xml:space="preserve"> </w:t>
      </w:r>
      <w:r w:rsidR="00947A87">
        <w:t xml:space="preserve">causés </w:t>
      </w:r>
      <w:r w:rsidR="00F55AB8" w:rsidRPr="00A05698">
        <w:t xml:space="preserve">par la </w:t>
      </w:r>
      <w:r w:rsidR="004A18B4" w:rsidRPr="00A05698">
        <w:t>pandémie</w:t>
      </w:r>
      <w:r w:rsidR="00F55AB8" w:rsidRPr="00A05698">
        <w:t xml:space="preserve"> de la Covid 19</w:t>
      </w:r>
      <w:r w:rsidR="00A23C0F" w:rsidRPr="00A05698">
        <w:t xml:space="preserve"> surtout </w:t>
      </w:r>
      <w:r w:rsidR="000363BA" w:rsidRPr="00A05698">
        <w:t>pendant</w:t>
      </w:r>
      <w:r w:rsidR="00623C5C" w:rsidRPr="00A05698">
        <w:t xml:space="preserve"> les </w:t>
      </w:r>
      <w:r w:rsidR="00D1709A" w:rsidRPr="00A05698">
        <w:t>périodes</w:t>
      </w:r>
      <w:r w:rsidR="00623C5C" w:rsidRPr="00A05698">
        <w:t xml:space="preserve"> de confine</w:t>
      </w:r>
      <w:r w:rsidR="00D36234" w:rsidRPr="00A05698">
        <w:t>ment</w:t>
      </w:r>
      <w:r w:rsidR="00947A87">
        <w:t>,</w:t>
      </w:r>
      <w:r w:rsidR="00D36234" w:rsidRPr="00A05698">
        <w:t xml:space="preserve"> </w:t>
      </w:r>
      <w:r w:rsidR="00947A87">
        <w:t>ainsi,</w:t>
      </w:r>
      <w:r w:rsidR="00D36234" w:rsidRPr="00A05698">
        <w:t xml:space="preserve"> les principales activités </w:t>
      </w:r>
      <w:r w:rsidR="00947A87">
        <w:t>qui soutiennent</w:t>
      </w:r>
      <w:r w:rsidR="005F4F35" w:rsidRPr="00A05698">
        <w:t xml:space="preserve"> </w:t>
      </w:r>
      <w:r w:rsidR="00947A87">
        <w:t>l</w:t>
      </w:r>
      <w:r w:rsidR="005F4F35" w:rsidRPr="00A05698">
        <w:t>’</w:t>
      </w:r>
      <w:r w:rsidR="00FD32D0" w:rsidRPr="00A05698">
        <w:t xml:space="preserve">économie du pays </w:t>
      </w:r>
      <w:r w:rsidR="00947A87">
        <w:t>sont</w:t>
      </w:r>
      <w:r w:rsidR="00FD32D0" w:rsidRPr="00A05698">
        <w:t xml:space="preserve"> soit </w:t>
      </w:r>
      <w:r w:rsidR="00947A87">
        <w:t>au</w:t>
      </w:r>
      <w:r w:rsidR="00FD32D0" w:rsidRPr="00A05698">
        <w:t xml:space="preserve"> ralenti ou à l’arrêt</w:t>
      </w:r>
      <w:r w:rsidR="00947A87">
        <w:t>, c’est l’exemple de</w:t>
      </w:r>
      <w:r w:rsidR="00A51B9C" w:rsidRPr="00A05698">
        <w:t xml:space="preserve"> la commercialisation des noix de cajou</w:t>
      </w:r>
      <w:r w:rsidR="003D7FE4" w:rsidRPr="00A05698">
        <w:t xml:space="preserve"> (produit phare de la guin</w:t>
      </w:r>
      <w:r w:rsidR="00A25837" w:rsidRPr="00A05698">
        <w:t>ée Bissau qui constitue</w:t>
      </w:r>
      <w:r w:rsidR="00FF33C1" w:rsidRPr="00A05698">
        <w:t> envoie 80% des sources de revenus de la population</w:t>
      </w:r>
      <w:r w:rsidR="004D4537" w:rsidRPr="00A05698">
        <w:t>).</w:t>
      </w:r>
    </w:p>
    <w:p w:rsidR="00947A87" w:rsidRDefault="000F47B6" w:rsidP="005E613E">
      <w:pPr>
        <w:autoSpaceDE w:val="0"/>
        <w:autoSpaceDN w:val="0"/>
        <w:adjustRightInd w:val="0"/>
        <w:ind w:left="142" w:right="-851"/>
        <w:jc w:val="both"/>
      </w:pPr>
      <w:r w:rsidRPr="00A05698">
        <w:t xml:space="preserve">De plus, </w:t>
      </w:r>
      <w:r w:rsidR="00725B6F" w:rsidRPr="00A05698">
        <w:t xml:space="preserve">c’est un projet qui vient </w:t>
      </w:r>
      <w:r w:rsidR="00162C75" w:rsidRPr="00A05698">
        <w:t xml:space="preserve">à son jour et qui pourrait aider l’Etat à lutter contre cette </w:t>
      </w:r>
      <w:r w:rsidR="00F60972" w:rsidRPr="00A05698">
        <w:t xml:space="preserve">situation </w:t>
      </w:r>
      <w:r w:rsidR="00DE3297">
        <w:t>d’</w:t>
      </w:r>
      <w:r w:rsidR="00F60972" w:rsidRPr="00A05698">
        <w:t xml:space="preserve">insécurité alimentaire </w:t>
      </w:r>
      <w:r w:rsidR="00251EEB" w:rsidRPr="00A05698">
        <w:t>dans le pays en se focalisant da</w:t>
      </w:r>
      <w:r w:rsidR="00F60972" w:rsidRPr="00A05698">
        <w:t xml:space="preserve">ns les autres cultures </w:t>
      </w:r>
      <w:r w:rsidR="006B2185" w:rsidRPr="00A05698">
        <w:t xml:space="preserve">vivrières </w:t>
      </w:r>
      <w:r w:rsidR="00F60972" w:rsidRPr="00A05698">
        <w:t xml:space="preserve">comme la riziculture </w:t>
      </w:r>
      <w:r w:rsidR="00DE3297">
        <w:t>très pratiquées</w:t>
      </w:r>
      <w:r w:rsidR="00267D0E" w:rsidRPr="00A05698">
        <w:t xml:space="preserve"> dans l’intérieur</w:t>
      </w:r>
      <w:r w:rsidR="00251EEB" w:rsidRPr="00A05698">
        <w:t xml:space="preserve"> du pays mais </w:t>
      </w:r>
      <w:r w:rsidR="00DE3297">
        <w:t>marquées</w:t>
      </w:r>
      <w:r w:rsidR="00251EEB" w:rsidRPr="00A05698">
        <w:t xml:space="preserve"> par des inondations </w:t>
      </w:r>
      <w:r w:rsidR="001D6E6B" w:rsidRPr="00A05698">
        <w:t>très</w:t>
      </w:r>
      <w:r w:rsidR="00AE185B" w:rsidRPr="00A05698">
        <w:t xml:space="preserve"> important</w:t>
      </w:r>
      <w:r w:rsidR="00DE3297">
        <w:t>es</w:t>
      </w:r>
      <w:r w:rsidR="00AE185B" w:rsidRPr="00A05698">
        <w:t xml:space="preserve"> au niveau des </w:t>
      </w:r>
      <w:r w:rsidR="001D6E6B" w:rsidRPr="00A05698">
        <w:t>rizières</w:t>
      </w:r>
      <w:r w:rsidR="00B91FB2" w:rsidRPr="00A05698">
        <w:t xml:space="preserve"> </w:t>
      </w:r>
      <w:r w:rsidR="00DE3297">
        <w:t xml:space="preserve">ruinant </w:t>
      </w:r>
      <w:r w:rsidR="00B91FB2" w:rsidRPr="00A05698">
        <w:t>beaucoup d’</w:t>
      </w:r>
      <w:r w:rsidR="00DE3297">
        <w:t>espoirs</w:t>
      </w:r>
      <w:r w:rsidR="00B91FB2" w:rsidRPr="00A05698">
        <w:t xml:space="preserve"> pour la population.</w:t>
      </w:r>
    </w:p>
    <w:p w:rsidR="00C52D9E" w:rsidRDefault="00C52D9E" w:rsidP="005E613E">
      <w:pPr>
        <w:autoSpaceDE w:val="0"/>
        <w:autoSpaceDN w:val="0"/>
        <w:adjustRightInd w:val="0"/>
        <w:ind w:left="142" w:right="-851"/>
        <w:jc w:val="both"/>
      </w:pPr>
      <w:r w:rsidRPr="00A05698">
        <w:t>Les éléments d’analyse des échanges issus des consultations avec les acteurs institutionnels et socia</w:t>
      </w:r>
      <w:r w:rsidR="00DE3297">
        <w:t>ux</w:t>
      </w:r>
      <w:r w:rsidR="004F4487" w:rsidRPr="00A05698">
        <w:t xml:space="preserve"> dans le cadre du</w:t>
      </w:r>
      <w:r w:rsidRPr="00A05698">
        <w:t xml:space="preserve"> projet d’urgence des sécurités alimentaires montrent une forte acceptabilité institutionnelle. Cette acceptabilité démontre aussi une bonne compréhension des enjeux sociaux, environnementaux qu’implique la mise en œuvre des différentes activités pour chaque composante du projet PUSA. </w:t>
      </w:r>
    </w:p>
    <w:p w:rsidR="00B42A09" w:rsidRPr="00A05698" w:rsidRDefault="00785AE7"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52" w:name="_Toc73459769"/>
      <w:r w:rsidRPr="00A05698">
        <w:rPr>
          <w:rFonts w:ascii="Times New Roman" w:hAnsi="Times New Roman"/>
          <w:b/>
          <w:bCs/>
          <w:sz w:val="24"/>
          <w:szCs w:val="24"/>
        </w:rPr>
        <w:t xml:space="preserve">LES PREOCCUPATIONS DES ACTEURS </w:t>
      </w:r>
      <w:r w:rsidR="00B42A09" w:rsidRPr="00A05698">
        <w:rPr>
          <w:rFonts w:ascii="Times New Roman" w:hAnsi="Times New Roman"/>
          <w:b/>
          <w:bCs/>
          <w:sz w:val="24"/>
          <w:szCs w:val="24"/>
        </w:rPr>
        <w:t>RENCONTRES</w:t>
      </w:r>
      <w:bookmarkEnd w:id="352"/>
      <w:r w:rsidR="00B42A09" w:rsidRPr="00A05698">
        <w:rPr>
          <w:rFonts w:ascii="Times New Roman" w:hAnsi="Times New Roman"/>
          <w:b/>
          <w:bCs/>
          <w:sz w:val="24"/>
          <w:szCs w:val="24"/>
        </w:rPr>
        <w:t xml:space="preserve"> </w:t>
      </w:r>
      <w:bookmarkEnd w:id="350"/>
      <w:bookmarkEnd w:id="351"/>
    </w:p>
    <w:p w:rsidR="00785AE7" w:rsidRPr="00A05698" w:rsidRDefault="00785AE7" w:rsidP="005E613E">
      <w:pPr>
        <w:autoSpaceDE w:val="0"/>
        <w:autoSpaceDN w:val="0"/>
        <w:adjustRightInd w:val="0"/>
        <w:ind w:left="142" w:right="-851"/>
        <w:jc w:val="both"/>
      </w:pPr>
      <w:r w:rsidRPr="00A05698">
        <w:t>Il est essentiel de pren</w:t>
      </w:r>
      <w:r w:rsidR="00BF6526">
        <w:t>dre en considération les enjeux</w:t>
      </w:r>
      <w:r w:rsidRPr="00A05698">
        <w:t xml:space="preserve"> qui tourmentent les acteu</w:t>
      </w:r>
      <w:r w:rsidR="003A0816" w:rsidRPr="00A05698">
        <w:t xml:space="preserve">rs institutionnels et </w:t>
      </w:r>
      <w:r w:rsidR="00EC3058" w:rsidRPr="00A05698">
        <w:t>socia</w:t>
      </w:r>
      <w:r w:rsidR="00BF6526">
        <w:t>ux</w:t>
      </w:r>
      <w:r w:rsidRPr="00A05698">
        <w:t xml:space="preserve">. </w:t>
      </w:r>
      <w:r w:rsidR="001A2678" w:rsidRPr="00A05698">
        <w:t xml:space="preserve">Ainsi, </w:t>
      </w:r>
      <w:r w:rsidR="003F454B" w:rsidRPr="00A05698">
        <w:t xml:space="preserve">lors des consultations, les acteurs ont </w:t>
      </w:r>
      <w:r w:rsidR="00DE3297">
        <w:t>soulign</w:t>
      </w:r>
      <w:r w:rsidR="00EC3058" w:rsidRPr="00A05698">
        <w:t>é</w:t>
      </w:r>
      <w:r w:rsidR="007E1A25" w:rsidRPr="00A05698">
        <w:t xml:space="preserve"> </w:t>
      </w:r>
      <w:r w:rsidR="00DE3297">
        <w:t xml:space="preserve">les </w:t>
      </w:r>
      <w:r w:rsidR="00EC3058" w:rsidRPr="00A05698">
        <w:t>préoccupations</w:t>
      </w:r>
      <w:r w:rsidR="002F64E8" w:rsidRPr="00A05698">
        <w:t xml:space="preserve"> ci-dessous </w:t>
      </w:r>
      <w:r w:rsidRPr="00A05698">
        <w:t>:</w:t>
      </w:r>
    </w:p>
    <w:p w:rsidR="000B190C" w:rsidRPr="00EB5EDA" w:rsidRDefault="00482C21"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w:t>
      </w:r>
      <w:r w:rsidR="00DC171C" w:rsidRPr="00EB5EDA">
        <w:rPr>
          <w:rFonts w:ascii="Times New Roman" w:hAnsi="Times New Roman"/>
          <w:sz w:val="22"/>
          <w:szCs w:val="22"/>
        </w:rPr>
        <w:t xml:space="preserve">’augmentation de </w:t>
      </w:r>
      <w:r w:rsidRPr="00EB5EDA">
        <w:rPr>
          <w:rFonts w:ascii="Times New Roman" w:hAnsi="Times New Roman"/>
          <w:sz w:val="22"/>
          <w:szCs w:val="22"/>
        </w:rPr>
        <w:t xml:space="preserve">la perte de qualité des </w:t>
      </w:r>
      <w:r w:rsidR="00485DBD" w:rsidRPr="00EB5EDA">
        <w:rPr>
          <w:rFonts w:ascii="Times New Roman" w:hAnsi="Times New Roman"/>
          <w:sz w:val="22"/>
          <w:szCs w:val="22"/>
        </w:rPr>
        <w:t xml:space="preserve">noix de </w:t>
      </w:r>
      <w:r w:rsidR="00DE3297" w:rsidRPr="00EB5EDA">
        <w:rPr>
          <w:rFonts w:ascii="Times New Roman" w:hAnsi="Times New Roman"/>
          <w:sz w:val="22"/>
          <w:szCs w:val="22"/>
        </w:rPr>
        <w:t>cajous stockés</w:t>
      </w:r>
      <w:r w:rsidR="00EE3ABB" w:rsidRPr="00EB5EDA">
        <w:rPr>
          <w:rFonts w:ascii="Times New Roman" w:hAnsi="Times New Roman"/>
          <w:sz w:val="22"/>
          <w:szCs w:val="22"/>
        </w:rPr>
        <w:t xml:space="preserve"> dans de mau</w:t>
      </w:r>
      <w:r w:rsidR="00DD27AB" w:rsidRPr="00EB5EDA">
        <w:rPr>
          <w:rFonts w:ascii="Times New Roman" w:hAnsi="Times New Roman"/>
          <w:sz w:val="22"/>
          <w:szCs w:val="22"/>
        </w:rPr>
        <w:t xml:space="preserve">vaises </w:t>
      </w:r>
      <w:r w:rsidR="00EE3ABB" w:rsidRPr="00EB5EDA">
        <w:rPr>
          <w:rFonts w:ascii="Times New Roman" w:hAnsi="Times New Roman"/>
          <w:sz w:val="22"/>
          <w:szCs w:val="22"/>
        </w:rPr>
        <w:t>cond</w:t>
      </w:r>
      <w:r w:rsidR="00B80C4C" w:rsidRPr="00EB5EDA">
        <w:rPr>
          <w:rFonts w:ascii="Times New Roman" w:hAnsi="Times New Roman"/>
          <w:sz w:val="22"/>
          <w:szCs w:val="22"/>
        </w:rPr>
        <w:t>it</w:t>
      </w:r>
      <w:r w:rsidR="00AD061E" w:rsidRPr="00EB5EDA">
        <w:rPr>
          <w:rFonts w:ascii="Times New Roman" w:hAnsi="Times New Roman"/>
          <w:sz w:val="22"/>
          <w:szCs w:val="22"/>
        </w:rPr>
        <w:t xml:space="preserve">ions </w:t>
      </w:r>
      <w:r w:rsidR="00CA6DD5" w:rsidRPr="00EB5EDA">
        <w:rPr>
          <w:rFonts w:ascii="Times New Roman" w:hAnsi="Times New Roman"/>
          <w:sz w:val="22"/>
          <w:szCs w:val="22"/>
        </w:rPr>
        <w:t>du</w:t>
      </w:r>
      <w:r w:rsidR="005609AF" w:rsidRPr="00EB5EDA">
        <w:rPr>
          <w:rFonts w:ascii="Times New Roman" w:hAnsi="Times New Roman"/>
          <w:sz w:val="22"/>
          <w:szCs w:val="22"/>
        </w:rPr>
        <w:t>e</w:t>
      </w:r>
      <w:r w:rsidR="00DE3297" w:rsidRPr="00EB5EDA">
        <w:rPr>
          <w:rFonts w:ascii="Times New Roman" w:hAnsi="Times New Roman"/>
          <w:sz w:val="22"/>
          <w:szCs w:val="22"/>
        </w:rPr>
        <w:t>s</w:t>
      </w:r>
      <w:r w:rsidR="005609AF" w:rsidRPr="00EB5EDA">
        <w:rPr>
          <w:rFonts w:ascii="Times New Roman" w:hAnsi="Times New Roman"/>
          <w:sz w:val="22"/>
          <w:szCs w:val="22"/>
        </w:rPr>
        <w:t xml:space="preserve"> au</w:t>
      </w:r>
      <w:r w:rsidR="00AD061E" w:rsidRPr="00EB5EDA">
        <w:rPr>
          <w:rFonts w:ascii="Times New Roman" w:hAnsi="Times New Roman"/>
          <w:sz w:val="22"/>
          <w:szCs w:val="22"/>
        </w:rPr>
        <w:t xml:space="preserve"> </w:t>
      </w:r>
      <w:r w:rsidR="00CA6DD5" w:rsidRPr="00EB5EDA">
        <w:rPr>
          <w:rFonts w:ascii="Times New Roman" w:hAnsi="Times New Roman"/>
          <w:sz w:val="22"/>
          <w:szCs w:val="22"/>
        </w:rPr>
        <w:t>ralentissement</w:t>
      </w:r>
      <w:r w:rsidR="00AD061E" w:rsidRPr="00EB5EDA">
        <w:rPr>
          <w:rFonts w:ascii="Times New Roman" w:hAnsi="Times New Roman"/>
          <w:sz w:val="22"/>
          <w:szCs w:val="22"/>
        </w:rPr>
        <w:t xml:space="preserve"> des ac</w:t>
      </w:r>
      <w:r w:rsidR="00CA6DD5" w:rsidRPr="00EB5EDA">
        <w:rPr>
          <w:rFonts w:ascii="Times New Roman" w:hAnsi="Times New Roman"/>
          <w:sz w:val="22"/>
          <w:szCs w:val="22"/>
        </w:rPr>
        <w:t>tivités de la commercialisation ;</w:t>
      </w:r>
    </w:p>
    <w:p w:rsidR="005609AF" w:rsidRPr="00EB5EDA" w:rsidRDefault="004477EB"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L’a</w:t>
      </w:r>
      <w:r w:rsidR="005609AF" w:rsidRPr="00EB5EDA">
        <w:rPr>
          <w:rFonts w:ascii="Times New Roman" w:hAnsi="Times New Roman"/>
          <w:sz w:val="22"/>
          <w:szCs w:val="22"/>
        </w:rPr>
        <w:t xml:space="preserve">ugmentation des couts de vie </w:t>
      </w:r>
      <w:r w:rsidR="000310B1" w:rsidRPr="00EB5EDA">
        <w:rPr>
          <w:rFonts w:ascii="Times New Roman" w:hAnsi="Times New Roman"/>
          <w:sz w:val="22"/>
          <w:szCs w:val="22"/>
        </w:rPr>
        <w:t>de la population due à l’augmentation des denrées alimentaire</w:t>
      </w:r>
      <w:r w:rsidR="00DE3297" w:rsidRPr="00EB5EDA">
        <w:rPr>
          <w:rFonts w:ascii="Times New Roman" w:hAnsi="Times New Roman"/>
          <w:sz w:val="22"/>
          <w:szCs w:val="22"/>
        </w:rPr>
        <w:t>s</w:t>
      </w:r>
      <w:r w:rsidR="000310B1" w:rsidRPr="00EB5EDA">
        <w:rPr>
          <w:rFonts w:ascii="Times New Roman" w:hAnsi="Times New Roman"/>
          <w:sz w:val="22"/>
          <w:szCs w:val="22"/>
        </w:rPr>
        <w:t> ;</w:t>
      </w:r>
    </w:p>
    <w:p w:rsidR="008D582C" w:rsidRPr="00EB5EDA" w:rsidRDefault="003B2EC9"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Comment l</w:t>
      </w:r>
      <w:r w:rsidR="008D582C" w:rsidRPr="00EB5EDA">
        <w:rPr>
          <w:rFonts w:ascii="Times New Roman" w:hAnsi="Times New Roman"/>
          <w:sz w:val="22"/>
          <w:szCs w:val="22"/>
        </w:rPr>
        <w:t>es</w:t>
      </w:r>
      <w:r w:rsidR="008A6F89" w:rsidRPr="00EB5EDA">
        <w:rPr>
          <w:rFonts w:ascii="Times New Roman" w:hAnsi="Times New Roman"/>
          <w:sz w:val="22"/>
          <w:szCs w:val="22"/>
        </w:rPr>
        <w:t xml:space="preserve"> procédures de ciblages </w:t>
      </w:r>
      <w:r w:rsidRPr="00EB5EDA">
        <w:rPr>
          <w:rFonts w:ascii="Times New Roman" w:hAnsi="Times New Roman"/>
          <w:sz w:val="22"/>
          <w:szCs w:val="22"/>
        </w:rPr>
        <w:t xml:space="preserve">des </w:t>
      </w:r>
      <w:r w:rsidR="008A6F89" w:rsidRPr="00EB5EDA">
        <w:rPr>
          <w:rFonts w:ascii="Times New Roman" w:hAnsi="Times New Roman"/>
          <w:sz w:val="22"/>
          <w:szCs w:val="22"/>
        </w:rPr>
        <w:t xml:space="preserve">bénéficiaires </w:t>
      </w:r>
      <w:r w:rsidR="008D582C" w:rsidRPr="00EB5EDA">
        <w:rPr>
          <w:rFonts w:ascii="Times New Roman" w:hAnsi="Times New Roman"/>
          <w:sz w:val="22"/>
          <w:szCs w:val="22"/>
        </w:rPr>
        <w:t xml:space="preserve">du projet </w:t>
      </w:r>
      <w:r w:rsidRPr="00EB5EDA">
        <w:rPr>
          <w:rFonts w:ascii="Times New Roman" w:hAnsi="Times New Roman"/>
          <w:sz w:val="22"/>
          <w:szCs w:val="22"/>
        </w:rPr>
        <w:t>ont été effectué</w:t>
      </w:r>
      <w:r w:rsidR="004C6281" w:rsidRPr="00EB5EDA">
        <w:rPr>
          <w:rFonts w:ascii="Times New Roman" w:hAnsi="Times New Roman"/>
          <w:sz w:val="22"/>
          <w:szCs w:val="22"/>
        </w:rPr>
        <w:t> ;</w:t>
      </w:r>
    </w:p>
    <w:p w:rsidR="007E4B43" w:rsidRPr="00EB5EDA" w:rsidRDefault="007E4B43"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L’intensification des cultures et l’utilisation intensive des pesticides risquent de polluer les eaux de surface.</w:t>
      </w:r>
    </w:p>
    <w:p w:rsidR="007E4B43" w:rsidRPr="00EB5EDA" w:rsidRDefault="007E4B43"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 xml:space="preserve">Le manque de matériel agricole, de formation et d’encadrement au niveau des producteurs de la zone ; </w:t>
      </w:r>
    </w:p>
    <w:p w:rsidR="007E4B43" w:rsidRPr="00EB5EDA" w:rsidRDefault="007E4B43"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 xml:space="preserve">La mauvaise qualité des semences et des engrais qui fait partie parfois des préoccupations de la population </w:t>
      </w:r>
    </w:p>
    <w:p w:rsidR="007E4B43" w:rsidRPr="00EB5EDA" w:rsidRDefault="007E4B43"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Le manque d’emploi des jeunes dans le pays surtout avec la pandémie de la Covid 19 ;</w:t>
      </w:r>
    </w:p>
    <w:p w:rsidR="007E4B43" w:rsidRPr="00EB5EDA" w:rsidRDefault="007E4B43"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 xml:space="preserve">L’enclavement des villages qui entraine une mobilité réduite des habitants vers les marchés. </w:t>
      </w:r>
    </w:p>
    <w:p w:rsidR="007E4B43" w:rsidRPr="00EB5EDA" w:rsidRDefault="007E4B43"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L’Augmentation des pertes d’emploi et des licenciements des employés dans les usines de transformation des noix de cajou</w:t>
      </w:r>
      <w:r w:rsidR="006260F1" w:rsidRPr="00EB5EDA">
        <w:rPr>
          <w:rFonts w:ascii="Times New Roman" w:hAnsi="Times New Roman"/>
          <w:sz w:val="22"/>
          <w:szCs w:val="22"/>
        </w:rPr>
        <w:t> ;</w:t>
      </w:r>
    </w:p>
    <w:p w:rsidR="00785AE7" w:rsidRPr="00EB5EDA" w:rsidRDefault="003169E1"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L’obtention des produits</w:t>
      </w:r>
      <w:r w:rsidR="00785AE7" w:rsidRPr="00EB5EDA">
        <w:rPr>
          <w:rFonts w:ascii="Times New Roman" w:hAnsi="Times New Roman"/>
          <w:sz w:val="22"/>
          <w:szCs w:val="22"/>
        </w:rPr>
        <w:t xml:space="preserve"> agricole durable de qualité et en quantité pou</w:t>
      </w:r>
      <w:r w:rsidRPr="00EB5EDA">
        <w:rPr>
          <w:rFonts w:ascii="Times New Roman" w:hAnsi="Times New Roman"/>
          <w:sz w:val="22"/>
          <w:szCs w:val="22"/>
        </w:rPr>
        <w:t xml:space="preserve">r assurer l’approvisionnement des marchés </w:t>
      </w:r>
      <w:r w:rsidR="006260F1" w:rsidRPr="00EB5EDA">
        <w:rPr>
          <w:rFonts w:ascii="Times New Roman" w:hAnsi="Times New Roman"/>
          <w:sz w:val="22"/>
          <w:szCs w:val="22"/>
        </w:rPr>
        <w:t xml:space="preserve">locaux </w:t>
      </w:r>
    </w:p>
    <w:p w:rsidR="00785AE7" w:rsidRPr="00EB5EDA"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 xml:space="preserve">Le manque d’information du projet </w:t>
      </w:r>
      <w:r w:rsidR="00770003" w:rsidRPr="00EB5EDA">
        <w:rPr>
          <w:rFonts w:ascii="Times New Roman" w:hAnsi="Times New Roman"/>
          <w:sz w:val="22"/>
          <w:szCs w:val="22"/>
        </w:rPr>
        <w:t>PUSA</w:t>
      </w:r>
      <w:r w:rsidRPr="00EB5EDA">
        <w:rPr>
          <w:rFonts w:ascii="Times New Roman" w:hAnsi="Times New Roman"/>
          <w:sz w:val="22"/>
          <w:szCs w:val="22"/>
        </w:rPr>
        <w:t xml:space="preserve"> au niveau de certa</w:t>
      </w:r>
      <w:r w:rsidR="00CB6617" w:rsidRPr="00EB5EDA">
        <w:rPr>
          <w:rFonts w:ascii="Times New Roman" w:hAnsi="Times New Roman"/>
          <w:sz w:val="22"/>
          <w:szCs w:val="22"/>
        </w:rPr>
        <w:t>ins services et au niveau local</w:t>
      </w:r>
      <w:r w:rsidRPr="00EB5EDA">
        <w:rPr>
          <w:rFonts w:ascii="Times New Roman" w:hAnsi="Times New Roman"/>
          <w:sz w:val="22"/>
          <w:szCs w:val="22"/>
        </w:rPr>
        <w:t xml:space="preserve"> (population) ;</w:t>
      </w:r>
    </w:p>
    <w:p w:rsidR="00785AE7" w:rsidRPr="00EB5EDA"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La disponible nécessaire</w:t>
      </w:r>
      <w:r w:rsidR="00C64236" w:rsidRPr="00EB5EDA">
        <w:rPr>
          <w:rFonts w:ascii="Times New Roman" w:hAnsi="Times New Roman"/>
          <w:sz w:val="22"/>
          <w:szCs w:val="22"/>
        </w:rPr>
        <w:t xml:space="preserve"> au niveau de la </w:t>
      </w:r>
      <w:r w:rsidR="00292F6E" w:rsidRPr="00EB5EDA">
        <w:rPr>
          <w:rFonts w:ascii="Times New Roman" w:hAnsi="Times New Roman"/>
          <w:sz w:val="22"/>
          <w:szCs w:val="22"/>
        </w:rPr>
        <w:t>production du riz</w:t>
      </w:r>
      <w:r w:rsidRPr="00EB5EDA">
        <w:rPr>
          <w:rFonts w:ascii="Times New Roman" w:hAnsi="Times New Roman"/>
          <w:sz w:val="22"/>
          <w:szCs w:val="22"/>
        </w:rPr>
        <w:t xml:space="preserve"> beaucoup plus utilisé pour autoconsommation familiale ;</w:t>
      </w:r>
    </w:p>
    <w:p w:rsidR="00785AE7" w:rsidRPr="00EB5EDA"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 xml:space="preserve">Les risques de dégradation des ressources forestières font parties des préoccupations majeures exprimées par les services des eaux et forêts due à l’extension des terres cultivables </w:t>
      </w:r>
      <w:r w:rsidR="004E5774" w:rsidRPr="00EB5EDA">
        <w:rPr>
          <w:rFonts w:ascii="Times New Roman" w:hAnsi="Times New Roman"/>
          <w:sz w:val="22"/>
          <w:szCs w:val="22"/>
        </w:rPr>
        <w:t xml:space="preserve">surtout </w:t>
      </w:r>
      <w:r w:rsidR="00AA19E2" w:rsidRPr="00EB5EDA">
        <w:rPr>
          <w:rFonts w:ascii="Times New Roman" w:hAnsi="Times New Roman"/>
          <w:sz w:val="22"/>
          <w:szCs w:val="22"/>
        </w:rPr>
        <w:t>l’anacardier ;</w:t>
      </w:r>
    </w:p>
    <w:p w:rsidR="00785AE7"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L’implication des services techniques pour identifier les contraintes propres à chaque localité et la réflexion sur l’ensemble des solutions adaptées ;</w:t>
      </w:r>
    </w:p>
    <w:p w:rsidR="00244A7B" w:rsidRPr="00EB5EDA" w:rsidRDefault="00244A7B"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Pr>
          <w:rFonts w:ascii="Times New Roman" w:hAnsi="Times New Roman"/>
          <w:sz w:val="22"/>
          <w:szCs w:val="22"/>
        </w:rPr>
        <w:t xml:space="preserve">Les </w:t>
      </w:r>
      <w:r w:rsidR="00341AC8">
        <w:rPr>
          <w:rFonts w:ascii="Times New Roman" w:hAnsi="Times New Roman"/>
          <w:sz w:val="22"/>
          <w:szCs w:val="22"/>
        </w:rPr>
        <w:t>problèmes</w:t>
      </w:r>
      <w:r>
        <w:rPr>
          <w:rFonts w:ascii="Times New Roman" w:hAnsi="Times New Roman"/>
          <w:sz w:val="22"/>
          <w:szCs w:val="22"/>
        </w:rPr>
        <w:t xml:space="preserve"> d’abandon </w:t>
      </w:r>
      <w:r w:rsidR="00341AC8">
        <w:rPr>
          <w:rFonts w:ascii="Times New Roman" w:hAnsi="Times New Roman"/>
          <w:sz w:val="22"/>
          <w:szCs w:val="22"/>
        </w:rPr>
        <w:t>des filles à l’école à cause des mariages précoces et forcés ;</w:t>
      </w:r>
    </w:p>
    <w:p w:rsidR="00655356" w:rsidRPr="00EB5EDA" w:rsidRDefault="007E4B43"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 xml:space="preserve">Le </w:t>
      </w:r>
      <w:r w:rsidR="00635C4E" w:rsidRPr="00EB5EDA">
        <w:rPr>
          <w:rFonts w:ascii="Times New Roman" w:hAnsi="Times New Roman"/>
          <w:sz w:val="22"/>
          <w:szCs w:val="22"/>
        </w:rPr>
        <w:t>manque d’Investi</w:t>
      </w:r>
      <w:r w:rsidR="00B02394" w:rsidRPr="00EB5EDA">
        <w:rPr>
          <w:rFonts w:ascii="Times New Roman" w:hAnsi="Times New Roman"/>
          <w:sz w:val="22"/>
          <w:szCs w:val="22"/>
        </w:rPr>
        <w:t>sse</w:t>
      </w:r>
      <w:r w:rsidR="00635C4E" w:rsidRPr="00EB5EDA">
        <w:rPr>
          <w:rFonts w:ascii="Times New Roman" w:hAnsi="Times New Roman"/>
          <w:sz w:val="22"/>
          <w:szCs w:val="22"/>
        </w:rPr>
        <w:t xml:space="preserve">ment dans le secteur de </w:t>
      </w:r>
      <w:r w:rsidR="00B02394" w:rsidRPr="00EB5EDA">
        <w:rPr>
          <w:rFonts w:ascii="Times New Roman" w:hAnsi="Times New Roman"/>
          <w:sz w:val="22"/>
          <w:szCs w:val="22"/>
        </w:rPr>
        <w:t xml:space="preserve">la riziculture pour </w:t>
      </w:r>
      <w:r w:rsidR="00E606F9" w:rsidRPr="00EB5EDA">
        <w:rPr>
          <w:rFonts w:ascii="Times New Roman" w:hAnsi="Times New Roman"/>
          <w:sz w:val="22"/>
          <w:szCs w:val="22"/>
        </w:rPr>
        <w:t>atteindre</w:t>
      </w:r>
      <w:r w:rsidR="00B02394" w:rsidRPr="00EB5EDA">
        <w:rPr>
          <w:rFonts w:ascii="Times New Roman" w:hAnsi="Times New Roman"/>
          <w:sz w:val="22"/>
          <w:szCs w:val="22"/>
        </w:rPr>
        <w:t xml:space="preserve"> l’</w:t>
      </w:r>
      <w:r w:rsidR="00E606F9" w:rsidRPr="00EB5EDA">
        <w:rPr>
          <w:rFonts w:ascii="Times New Roman" w:hAnsi="Times New Roman"/>
          <w:sz w:val="22"/>
          <w:szCs w:val="22"/>
        </w:rPr>
        <w:t>autosuffisance</w:t>
      </w:r>
      <w:r w:rsidR="00B02394" w:rsidRPr="00EB5EDA">
        <w:rPr>
          <w:rFonts w:ascii="Times New Roman" w:hAnsi="Times New Roman"/>
          <w:sz w:val="22"/>
          <w:szCs w:val="22"/>
        </w:rPr>
        <w:t xml:space="preserve"> en riz</w:t>
      </w:r>
      <w:r w:rsidR="00E606F9" w:rsidRPr="00EB5EDA">
        <w:rPr>
          <w:rFonts w:ascii="Times New Roman" w:hAnsi="Times New Roman"/>
          <w:sz w:val="22"/>
          <w:szCs w:val="22"/>
        </w:rPr>
        <w:t>,</w:t>
      </w:r>
    </w:p>
    <w:p w:rsidR="00E606F9" w:rsidRDefault="00E606F9"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Les manques d’aménagement hydro agricoles dans tout le pays ;</w:t>
      </w:r>
    </w:p>
    <w:p w:rsidR="00341AC8" w:rsidRPr="00EB5EDA" w:rsidRDefault="00865FE5"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Pr>
          <w:rFonts w:ascii="Times New Roman" w:hAnsi="Times New Roman"/>
          <w:sz w:val="22"/>
          <w:szCs w:val="22"/>
        </w:rPr>
        <w:t>Les manques de financement en vers les femmes et jeunes filles ;</w:t>
      </w:r>
    </w:p>
    <w:p w:rsidR="00A41BE8" w:rsidRDefault="00FA6CCC"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EB5EDA">
        <w:rPr>
          <w:rFonts w:ascii="Times New Roman" w:hAnsi="Times New Roman"/>
          <w:sz w:val="22"/>
          <w:szCs w:val="22"/>
        </w:rPr>
        <w:t>Le</w:t>
      </w:r>
      <w:r w:rsidR="00E644E8" w:rsidRPr="00EB5EDA">
        <w:rPr>
          <w:rFonts w:ascii="Times New Roman" w:hAnsi="Times New Roman"/>
          <w:sz w:val="22"/>
          <w:szCs w:val="22"/>
        </w:rPr>
        <w:t>s</w:t>
      </w:r>
      <w:r w:rsidRPr="00EB5EDA">
        <w:rPr>
          <w:rFonts w:ascii="Times New Roman" w:hAnsi="Times New Roman"/>
          <w:sz w:val="22"/>
          <w:szCs w:val="22"/>
        </w:rPr>
        <w:t xml:space="preserve"> manques </w:t>
      </w:r>
      <w:r w:rsidR="00E644E8" w:rsidRPr="00EB5EDA">
        <w:rPr>
          <w:rFonts w:ascii="Times New Roman" w:hAnsi="Times New Roman"/>
          <w:sz w:val="22"/>
          <w:szCs w:val="22"/>
        </w:rPr>
        <w:t xml:space="preserve">de </w:t>
      </w:r>
      <w:r w:rsidR="0031700A" w:rsidRPr="00EB5EDA">
        <w:rPr>
          <w:rFonts w:ascii="Times New Roman" w:hAnsi="Times New Roman"/>
          <w:sz w:val="22"/>
          <w:szCs w:val="22"/>
        </w:rPr>
        <w:t>moyen</w:t>
      </w:r>
      <w:r w:rsidR="000459F7" w:rsidRPr="00EB5EDA">
        <w:rPr>
          <w:rFonts w:ascii="Times New Roman" w:hAnsi="Times New Roman"/>
          <w:sz w:val="22"/>
          <w:szCs w:val="22"/>
        </w:rPr>
        <w:t xml:space="preserve">s, </w:t>
      </w:r>
      <w:r w:rsidRPr="00EB5EDA">
        <w:rPr>
          <w:rFonts w:ascii="Times New Roman" w:hAnsi="Times New Roman"/>
          <w:sz w:val="22"/>
          <w:szCs w:val="22"/>
        </w:rPr>
        <w:t>de poste de contrôle</w:t>
      </w:r>
      <w:r w:rsidR="00FE69DD" w:rsidRPr="00EB5EDA">
        <w:rPr>
          <w:rFonts w:ascii="Times New Roman" w:hAnsi="Times New Roman"/>
          <w:sz w:val="22"/>
          <w:szCs w:val="22"/>
        </w:rPr>
        <w:t xml:space="preserve"> et d’appuis au niveau de la </w:t>
      </w:r>
      <w:r w:rsidR="009E31D8" w:rsidRPr="00EB5EDA">
        <w:rPr>
          <w:rFonts w:ascii="Times New Roman" w:hAnsi="Times New Roman"/>
          <w:sz w:val="22"/>
          <w:szCs w:val="22"/>
        </w:rPr>
        <w:t>direction de pro</w:t>
      </w:r>
      <w:r w:rsidR="00CC53A4" w:rsidRPr="00EB5EDA">
        <w:rPr>
          <w:rFonts w:ascii="Times New Roman" w:hAnsi="Times New Roman"/>
          <w:sz w:val="22"/>
          <w:szCs w:val="22"/>
        </w:rPr>
        <w:t xml:space="preserve">tection des </w:t>
      </w:r>
      <w:r w:rsidR="00540463" w:rsidRPr="00EB5EDA">
        <w:rPr>
          <w:rFonts w:ascii="Times New Roman" w:hAnsi="Times New Roman"/>
          <w:sz w:val="22"/>
          <w:szCs w:val="22"/>
        </w:rPr>
        <w:t>végétaux</w:t>
      </w:r>
      <w:r w:rsidR="00CC43B0" w:rsidRPr="00EB5EDA">
        <w:rPr>
          <w:rFonts w:ascii="Times New Roman" w:hAnsi="Times New Roman"/>
          <w:sz w:val="22"/>
          <w:szCs w:val="22"/>
        </w:rPr>
        <w:t> ;</w:t>
      </w:r>
      <w:r w:rsidR="00CC53A4" w:rsidRPr="00EB5EDA">
        <w:rPr>
          <w:rFonts w:ascii="Times New Roman" w:hAnsi="Times New Roman"/>
          <w:sz w:val="22"/>
          <w:szCs w:val="22"/>
        </w:rPr>
        <w:t xml:space="preserve"> </w:t>
      </w:r>
    </w:p>
    <w:p w:rsidR="00687A2E" w:rsidRDefault="00687A2E"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Pr>
          <w:rFonts w:ascii="Times New Roman" w:hAnsi="Times New Roman"/>
          <w:sz w:val="22"/>
          <w:szCs w:val="22"/>
        </w:rPr>
        <w:t>Les difficultés d’</w:t>
      </w:r>
      <w:r w:rsidR="00244A7B">
        <w:rPr>
          <w:rFonts w:ascii="Times New Roman" w:hAnsi="Times New Roman"/>
          <w:sz w:val="22"/>
          <w:szCs w:val="22"/>
        </w:rPr>
        <w:t>accès</w:t>
      </w:r>
      <w:r>
        <w:rPr>
          <w:rFonts w:ascii="Times New Roman" w:hAnsi="Times New Roman"/>
          <w:sz w:val="22"/>
          <w:szCs w:val="22"/>
        </w:rPr>
        <w:t xml:space="preserve"> des terres aux femmes dans certain milieu </w:t>
      </w:r>
      <w:r w:rsidR="00244A7B">
        <w:rPr>
          <w:rFonts w:ascii="Times New Roman" w:hAnsi="Times New Roman"/>
          <w:sz w:val="22"/>
          <w:szCs w:val="22"/>
        </w:rPr>
        <w:t>due à la tradition ancestrale</w:t>
      </w:r>
    </w:p>
    <w:p w:rsidR="00244A7B" w:rsidRPr="00EB5EDA" w:rsidRDefault="00244A7B" w:rsidP="005E613E">
      <w:pPr>
        <w:pStyle w:val="PargrafodaLista"/>
        <w:spacing w:after="0" w:line="240" w:lineRule="auto"/>
        <w:ind w:left="470" w:right="-851"/>
        <w:contextualSpacing w:val="0"/>
        <w:jc w:val="both"/>
        <w:rPr>
          <w:rFonts w:ascii="Times New Roman" w:hAnsi="Times New Roman"/>
          <w:sz w:val="22"/>
          <w:szCs w:val="22"/>
        </w:rPr>
      </w:pPr>
    </w:p>
    <w:p w:rsidR="00DB208C" w:rsidRPr="00A05698" w:rsidRDefault="00785AE7"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53" w:name="_Toc73459770"/>
      <w:bookmarkStart w:id="354" w:name="_Toc55460148"/>
      <w:bookmarkStart w:id="355" w:name="_Toc55465541"/>
      <w:r w:rsidRPr="00A05698">
        <w:rPr>
          <w:rFonts w:ascii="Times New Roman" w:hAnsi="Times New Roman"/>
          <w:b/>
          <w:bCs/>
          <w:sz w:val="24"/>
          <w:szCs w:val="24"/>
        </w:rPr>
        <w:t>LES RECOMMANDATIONS DES ACTEURS</w:t>
      </w:r>
      <w:bookmarkEnd w:id="353"/>
      <w:r w:rsidRPr="00A05698">
        <w:rPr>
          <w:rFonts w:ascii="Times New Roman" w:hAnsi="Times New Roman"/>
          <w:b/>
          <w:bCs/>
          <w:sz w:val="24"/>
          <w:szCs w:val="24"/>
        </w:rPr>
        <w:t xml:space="preserve"> </w:t>
      </w:r>
      <w:bookmarkEnd w:id="354"/>
      <w:bookmarkEnd w:id="355"/>
    </w:p>
    <w:p w:rsidR="00785AE7" w:rsidRPr="00A05698" w:rsidRDefault="008D6B00" w:rsidP="005E613E">
      <w:pPr>
        <w:autoSpaceDE w:val="0"/>
        <w:autoSpaceDN w:val="0"/>
        <w:adjustRightInd w:val="0"/>
        <w:ind w:left="142" w:right="-851"/>
        <w:jc w:val="both"/>
      </w:pPr>
      <w:r w:rsidRPr="00A05698">
        <w:t xml:space="preserve">Ainsi, pour </w:t>
      </w:r>
      <w:r w:rsidR="00C45CB2" w:rsidRPr="00A05698">
        <w:t>atteindre</w:t>
      </w:r>
      <w:r w:rsidRPr="00A05698">
        <w:t xml:space="preserve"> </w:t>
      </w:r>
      <w:r w:rsidR="00C45CB2" w:rsidRPr="00A05698">
        <w:t>les objectifs</w:t>
      </w:r>
      <w:r w:rsidRPr="00A05698">
        <w:t xml:space="preserve"> du projet PUSA, </w:t>
      </w:r>
      <w:r w:rsidR="00C45CB2" w:rsidRPr="00A05698">
        <w:t>l’ensemble des acteurs</w:t>
      </w:r>
      <w:r w:rsidR="00785AE7" w:rsidRPr="00A05698">
        <w:t xml:space="preserve"> en se basant sur les difficultés rencontrées</w:t>
      </w:r>
      <w:r w:rsidR="00912153" w:rsidRPr="00A05698">
        <w:t xml:space="preserve"> et leur expérience,</w:t>
      </w:r>
      <w:r w:rsidR="00785AE7" w:rsidRPr="00A05698">
        <w:t xml:space="preserve"> ont énoncé des </w:t>
      </w:r>
      <w:r w:rsidR="00912153" w:rsidRPr="00A05698">
        <w:t>recommandat</w:t>
      </w:r>
      <w:r w:rsidR="00C2088D" w:rsidRPr="00A05698">
        <w:t>ions</w:t>
      </w:r>
      <w:r w:rsidR="00785AE7" w:rsidRPr="00A05698">
        <w:t xml:space="preserve"> qui portent sur la nécessité de :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Informer et impliq</w:t>
      </w:r>
      <w:r w:rsidR="001436DA" w:rsidRPr="00865FE5">
        <w:rPr>
          <w:rFonts w:ascii="Times New Roman" w:hAnsi="Times New Roman"/>
          <w:sz w:val="22"/>
          <w:szCs w:val="22"/>
        </w:rPr>
        <w:t>uer les services techniques dans la mise œuvre et le suivi des</w:t>
      </w:r>
      <w:r w:rsidRPr="00865FE5">
        <w:rPr>
          <w:rFonts w:ascii="Times New Roman" w:hAnsi="Times New Roman"/>
          <w:sz w:val="22"/>
          <w:szCs w:val="22"/>
        </w:rPr>
        <w:t xml:space="preserve"> réalisation</w:t>
      </w:r>
      <w:r w:rsidR="001436DA" w:rsidRPr="00865FE5">
        <w:rPr>
          <w:rFonts w:ascii="Times New Roman" w:hAnsi="Times New Roman"/>
          <w:sz w:val="22"/>
          <w:szCs w:val="22"/>
        </w:rPr>
        <w:t>s</w:t>
      </w:r>
      <w:r w:rsidRPr="00865FE5">
        <w:rPr>
          <w:rFonts w:ascii="Times New Roman" w:hAnsi="Times New Roman"/>
          <w:sz w:val="22"/>
          <w:szCs w:val="22"/>
        </w:rPr>
        <w:t xml:space="preserve"> des différentes activités du projet ;</w:t>
      </w:r>
    </w:p>
    <w:p w:rsidR="00785AE7" w:rsidRPr="00865FE5" w:rsidRDefault="00CF179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Procéder</w:t>
      </w:r>
      <w:r w:rsidR="006B60FA" w:rsidRPr="00865FE5">
        <w:rPr>
          <w:rFonts w:ascii="Times New Roman" w:hAnsi="Times New Roman"/>
          <w:sz w:val="22"/>
          <w:szCs w:val="22"/>
        </w:rPr>
        <w:t xml:space="preserve"> à</w:t>
      </w:r>
      <w:r w:rsidR="00785AE7" w:rsidRPr="00865FE5">
        <w:rPr>
          <w:rFonts w:ascii="Times New Roman" w:hAnsi="Times New Roman"/>
          <w:sz w:val="22"/>
          <w:szCs w:val="22"/>
        </w:rPr>
        <w:t xml:space="preserve"> un bon ciblage des</w:t>
      </w:r>
      <w:r w:rsidR="006B60FA" w:rsidRPr="00865FE5">
        <w:rPr>
          <w:rFonts w:ascii="Times New Roman" w:hAnsi="Times New Roman"/>
          <w:sz w:val="22"/>
          <w:szCs w:val="22"/>
        </w:rPr>
        <w:t xml:space="preserve"> producteurs, des </w:t>
      </w:r>
      <w:r w:rsidRPr="00865FE5">
        <w:rPr>
          <w:rFonts w:ascii="Times New Roman" w:hAnsi="Times New Roman"/>
          <w:sz w:val="22"/>
          <w:szCs w:val="22"/>
        </w:rPr>
        <w:t>agriculteurs,</w:t>
      </w:r>
      <w:r w:rsidR="006B60FA" w:rsidRPr="00865FE5">
        <w:rPr>
          <w:rFonts w:ascii="Times New Roman" w:hAnsi="Times New Roman"/>
          <w:sz w:val="22"/>
          <w:szCs w:val="22"/>
        </w:rPr>
        <w:t xml:space="preserve"> </w:t>
      </w:r>
      <w:r w:rsidRPr="00865FE5">
        <w:rPr>
          <w:rFonts w:ascii="Times New Roman" w:hAnsi="Times New Roman"/>
          <w:sz w:val="22"/>
          <w:szCs w:val="22"/>
        </w:rPr>
        <w:t>des bén</w:t>
      </w:r>
      <w:r w:rsidR="00496C20" w:rsidRPr="00865FE5">
        <w:rPr>
          <w:rFonts w:ascii="Times New Roman" w:hAnsi="Times New Roman"/>
          <w:sz w:val="22"/>
          <w:szCs w:val="22"/>
        </w:rPr>
        <w:t xml:space="preserve">éficiers en terme général </w:t>
      </w:r>
      <w:r w:rsidR="00785AE7" w:rsidRPr="00865FE5">
        <w:rPr>
          <w:rFonts w:ascii="Times New Roman" w:hAnsi="Times New Roman"/>
          <w:sz w:val="22"/>
          <w:szCs w:val="22"/>
        </w:rPr>
        <w:t>;</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Développer davant</w:t>
      </w:r>
      <w:r w:rsidR="00496C20" w:rsidRPr="00865FE5">
        <w:rPr>
          <w:rFonts w:ascii="Times New Roman" w:hAnsi="Times New Roman"/>
          <w:sz w:val="22"/>
          <w:szCs w:val="22"/>
        </w:rPr>
        <w:t>age les collaborations avec la DGA ET La DPV</w:t>
      </w:r>
      <w:r w:rsidRPr="00865FE5">
        <w:rPr>
          <w:rFonts w:ascii="Times New Roman" w:hAnsi="Times New Roman"/>
          <w:sz w:val="22"/>
          <w:szCs w:val="22"/>
        </w:rPr>
        <w:t xml:space="preserve"> pour la production de semence de qualité</w:t>
      </w:r>
      <w:r w:rsidR="00065F74" w:rsidRPr="00865FE5">
        <w:rPr>
          <w:rFonts w:ascii="Times New Roman" w:hAnsi="Times New Roman"/>
          <w:sz w:val="22"/>
          <w:szCs w:val="22"/>
        </w:rPr>
        <w:t xml:space="preserve"> et en quantité</w:t>
      </w:r>
      <w:r w:rsidRPr="00865FE5">
        <w:rPr>
          <w:rFonts w:ascii="Times New Roman" w:hAnsi="Times New Roman"/>
          <w:sz w:val="22"/>
          <w:szCs w:val="22"/>
        </w:rPr>
        <w:t xml:space="preserve"> ;</w:t>
      </w:r>
    </w:p>
    <w:p w:rsidR="002609FC" w:rsidRPr="00865FE5" w:rsidRDefault="00075DCB"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Evaluer la situation des</w:t>
      </w:r>
      <w:r w:rsidR="002609FC" w:rsidRPr="00865FE5">
        <w:rPr>
          <w:rFonts w:ascii="Times New Roman" w:hAnsi="Times New Roman"/>
          <w:sz w:val="22"/>
          <w:szCs w:val="22"/>
        </w:rPr>
        <w:t xml:space="preserve"> marché</w:t>
      </w:r>
      <w:r w:rsidRPr="00865FE5">
        <w:rPr>
          <w:rFonts w:ascii="Times New Roman" w:hAnsi="Times New Roman"/>
          <w:sz w:val="22"/>
          <w:szCs w:val="22"/>
        </w:rPr>
        <w:t>s</w:t>
      </w:r>
      <w:r w:rsidR="002609FC" w:rsidRPr="00865FE5">
        <w:rPr>
          <w:rFonts w:ascii="Times New Roman" w:hAnsi="Times New Roman"/>
          <w:sz w:val="22"/>
          <w:szCs w:val="22"/>
        </w:rPr>
        <w:t xml:space="preserve"> </w:t>
      </w:r>
      <w:r w:rsidRPr="00865FE5">
        <w:rPr>
          <w:rFonts w:ascii="Times New Roman" w:hAnsi="Times New Roman"/>
          <w:sz w:val="22"/>
          <w:szCs w:val="22"/>
        </w:rPr>
        <w:t>de commercialisation des noix de cajou pour co</w:t>
      </w:r>
      <w:r w:rsidR="00917144" w:rsidRPr="00865FE5">
        <w:rPr>
          <w:rFonts w:ascii="Times New Roman" w:hAnsi="Times New Roman"/>
          <w:sz w:val="22"/>
          <w:szCs w:val="22"/>
        </w:rPr>
        <w:t xml:space="preserve">mprendre la nécessité de démarrer le projet </w:t>
      </w:r>
      <w:r w:rsidR="000B190C" w:rsidRPr="00865FE5">
        <w:rPr>
          <w:rFonts w:ascii="Times New Roman" w:hAnsi="Times New Roman"/>
          <w:sz w:val="22"/>
          <w:szCs w:val="22"/>
        </w:rPr>
        <w:t>PUSA</w:t>
      </w:r>
      <w:r w:rsidR="00917144" w:rsidRPr="00865FE5">
        <w:rPr>
          <w:rFonts w:ascii="Times New Roman" w:hAnsi="Times New Roman"/>
          <w:sz w:val="22"/>
          <w:szCs w:val="22"/>
        </w:rPr>
        <w:t xml:space="preserve"> le plus rapidement ;</w:t>
      </w:r>
    </w:p>
    <w:p w:rsidR="007956A3" w:rsidRPr="00865FE5" w:rsidRDefault="00CB661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 xml:space="preserve">Assurer </w:t>
      </w:r>
      <w:r w:rsidR="00B82B6C" w:rsidRPr="00865FE5">
        <w:rPr>
          <w:rFonts w:ascii="Times New Roman" w:hAnsi="Times New Roman"/>
          <w:sz w:val="22"/>
          <w:szCs w:val="22"/>
        </w:rPr>
        <w:t>des soutiens financiers</w:t>
      </w:r>
      <w:r w:rsidR="00147ACA" w:rsidRPr="00865FE5">
        <w:rPr>
          <w:rFonts w:ascii="Times New Roman" w:hAnsi="Times New Roman"/>
          <w:sz w:val="22"/>
          <w:szCs w:val="22"/>
        </w:rPr>
        <w:t xml:space="preserve"> </w:t>
      </w:r>
      <w:r w:rsidRPr="00865FE5">
        <w:rPr>
          <w:rFonts w:ascii="Times New Roman" w:hAnsi="Times New Roman"/>
          <w:sz w:val="22"/>
          <w:szCs w:val="22"/>
        </w:rPr>
        <w:t>importants</w:t>
      </w:r>
      <w:r w:rsidR="00147ACA" w:rsidRPr="00865FE5">
        <w:rPr>
          <w:rFonts w:ascii="Times New Roman" w:hAnsi="Times New Roman"/>
          <w:sz w:val="22"/>
          <w:szCs w:val="22"/>
        </w:rPr>
        <w:t xml:space="preserve"> aux agriculteurs pour </w:t>
      </w:r>
      <w:r w:rsidR="00494D96" w:rsidRPr="00865FE5">
        <w:rPr>
          <w:rFonts w:ascii="Times New Roman" w:hAnsi="Times New Roman"/>
          <w:sz w:val="22"/>
          <w:szCs w:val="22"/>
        </w:rPr>
        <w:t>maitriser</w:t>
      </w:r>
      <w:r w:rsidR="00B82B6C" w:rsidRPr="00865FE5">
        <w:rPr>
          <w:rFonts w:ascii="Times New Roman" w:hAnsi="Times New Roman"/>
          <w:sz w:val="22"/>
          <w:szCs w:val="22"/>
        </w:rPr>
        <w:t xml:space="preserve"> les besoins notés </w:t>
      </w:r>
      <w:r w:rsidR="00C62D21" w:rsidRPr="00865FE5">
        <w:rPr>
          <w:rFonts w:ascii="Times New Roman" w:hAnsi="Times New Roman"/>
          <w:sz w:val="22"/>
          <w:szCs w:val="22"/>
        </w:rPr>
        <w:t>dans le secteur</w:t>
      </w:r>
      <w:r w:rsidR="002609FC" w:rsidRPr="00865FE5">
        <w:rPr>
          <w:rFonts w:ascii="Times New Roman" w:hAnsi="Times New Roman"/>
          <w:sz w:val="22"/>
          <w:szCs w:val="22"/>
        </w:rPr>
        <w:t> ;</w:t>
      </w:r>
    </w:p>
    <w:p w:rsidR="00D12E55" w:rsidRPr="00865FE5" w:rsidRDefault="00D12E55"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Adopter une approche plus coopérative voire inclusive du projet PUSA dans le secteur de la production et de la commercialisation de la noix cajou surtout pendant cette période marquée par la pandémie de la Covid 19</w:t>
      </w:r>
      <w:r w:rsidR="00B7569C" w:rsidRPr="00865FE5">
        <w:rPr>
          <w:rFonts w:ascii="Times New Roman" w:hAnsi="Times New Roman"/>
          <w:sz w:val="22"/>
          <w:szCs w:val="22"/>
        </w:rPr>
        <w:t xml:space="preserve"> </w:t>
      </w:r>
    </w:p>
    <w:p w:rsidR="004C7042" w:rsidRPr="00865FE5" w:rsidRDefault="004C7042"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Appuyer les producteurs agricoles en équipement et matériel agricole et les former sur les nouvelles techniques et pratiques de l’agriculture ;</w:t>
      </w:r>
    </w:p>
    <w:p w:rsidR="004C7042" w:rsidRPr="00865FE5" w:rsidRDefault="004C7042"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Accompagner les producteurs distingués dans la riziculture pour augmenter la quantité de production du riz dans le pays ce qui pourrait contribuer à lutter contre l’insécurité alimentaire ;</w:t>
      </w:r>
    </w:p>
    <w:p w:rsidR="004C7042" w:rsidRPr="00865FE5" w:rsidRDefault="004C7042"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 xml:space="preserve">Veiller à ne pas politiser la mise en œuvre des activités du projet </w:t>
      </w:r>
      <w:r w:rsidR="00B52324" w:rsidRPr="00865FE5">
        <w:rPr>
          <w:rFonts w:ascii="Times New Roman" w:hAnsi="Times New Roman"/>
          <w:sz w:val="22"/>
          <w:szCs w:val="22"/>
        </w:rPr>
        <w:t>PUSA</w:t>
      </w:r>
      <w:r w:rsidR="00774021" w:rsidRPr="00865FE5">
        <w:rPr>
          <w:rFonts w:ascii="Times New Roman" w:hAnsi="Times New Roman"/>
          <w:sz w:val="22"/>
          <w:szCs w:val="22"/>
        </w:rPr>
        <w:t xml:space="preserve"> surtout pendant </w:t>
      </w:r>
      <w:r w:rsidR="00D8314E" w:rsidRPr="00865FE5">
        <w:rPr>
          <w:rFonts w:ascii="Times New Roman" w:hAnsi="Times New Roman"/>
          <w:sz w:val="22"/>
          <w:szCs w:val="22"/>
        </w:rPr>
        <w:t xml:space="preserve">cette situation de la Covid 19 ou </w:t>
      </w:r>
      <w:r w:rsidR="004E4942" w:rsidRPr="00865FE5">
        <w:rPr>
          <w:rFonts w:ascii="Times New Roman" w:hAnsi="Times New Roman"/>
          <w:sz w:val="22"/>
          <w:szCs w:val="22"/>
        </w:rPr>
        <w:t>les tensions sociales se font ressentir de jour en jour ;</w:t>
      </w:r>
    </w:p>
    <w:p w:rsidR="00F93B4F" w:rsidRPr="00865FE5" w:rsidRDefault="00F93B4F"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Développer des plateformes pour la commercialisation des produits agricoles</w:t>
      </w:r>
      <w:r w:rsidR="004A65BA" w:rsidRPr="00865FE5">
        <w:rPr>
          <w:rFonts w:ascii="Times New Roman" w:hAnsi="Times New Roman"/>
          <w:sz w:val="22"/>
          <w:szCs w:val="22"/>
        </w:rPr>
        <w:t> ;</w:t>
      </w:r>
    </w:p>
    <w:p w:rsidR="00F93B4F" w:rsidRPr="00865FE5" w:rsidRDefault="00F93B4F"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 xml:space="preserve">Veiller à une bonne valorisation </w:t>
      </w:r>
      <w:r w:rsidR="003E7D90" w:rsidRPr="00865FE5">
        <w:rPr>
          <w:rFonts w:ascii="Times New Roman" w:hAnsi="Times New Roman"/>
          <w:sz w:val="22"/>
          <w:szCs w:val="22"/>
        </w:rPr>
        <w:t xml:space="preserve">des cultures vivrières pour lutter contre la malnutrition ; </w:t>
      </w:r>
    </w:p>
    <w:p w:rsidR="00F93B4F" w:rsidRPr="00865FE5" w:rsidRDefault="00F93B4F"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Développer les activités post-récolte</w:t>
      </w:r>
      <w:r w:rsidR="00D42C14" w:rsidRPr="00865FE5">
        <w:rPr>
          <w:rFonts w:ascii="Times New Roman" w:hAnsi="Times New Roman"/>
          <w:sz w:val="22"/>
          <w:szCs w:val="22"/>
        </w:rPr>
        <w:t xml:space="preserve"> de transformation des produits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 xml:space="preserve">Mettre en place un suivi environnemental du projet </w:t>
      </w:r>
      <w:r w:rsidR="00065F74" w:rsidRPr="00865FE5">
        <w:rPr>
          <w:rFonts w:ascii="Times New Roman" w:hAnsi="Times New Roman"/>
          <w:sz w:val="22"/>
          <w:szCs w:val="22"/>
        </w:rPr>
        <w:t xml:space="preserve">PUSA </w:t>
      </w:r>
      <w:r w:rsidRPr="00865FE5">
        <w:rPr>
          <w:rFonts w:ascii="Times New Roman" w:hAnsi="Times New Roman"/>
          <w:sz w:val="22"/>
          <w:szCs w:val="22"/>
        </w:rPr>
        <w:t>en temps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Multiplier les foires</w:t>
      </w:r>
      <w:r w:rsidR="00572E05" w:rsidRPr="00865FE5">
        <w:rPr>
          <w:rFonts w:ascii="Times New Roman" w:hAnsi="Times New Roman"/>
          <w:sz w:val="22"/>
          <w:szCs w:val="22"/>
        </w:rPr>
        <w:t>, les marchés locaux et sous régionaux</w:t>
      </w:r>
      <w:r w:rsidRPr="00865FE5">
        <w:rPr>
          <w:rFonts w:ascii="Times New Roman" w:hAnsi="Times New Roman"/>
          <w:sz w:val="22"/>
          <w:szCs w:val="22"/>
        </w:rPr>
        <w:t xml:space="preserve"> pour la promotion et la commercialisation des produits </w:t>
      </w:r>
      <w:r w:rsidR="00604B5E" w:rsidRPr="00865FE5">
        <w:rPr>
          <w:rFonts w:ascii="Times New Roman" w:hAnsi="Times New Roman"/>
          <w:sz w:val="22"/>
          <w:szCs w:val="22"/>
        </w:rPr>
        <w:t>a</w:t>
      </w:r>
      <w:r w:rsidR="004F2172" w:rsidRPr="00865FE5">
        <w:rPr>
          <w:rFonts w:ascii="Times New Roman" w:hAnsi="Times New Roman"/>
          <w:sz w:val="22"/>
          <w:szCs w:val="22"/>
        </w:rPr>
        <w:t>gricoles</w:t>
      </w:r>
      <w:r w:rsidR="00423041" w:rsidRPr="00865FE5">
        <w:rPr>
          <w:rFonts w:ascii="Times New Roman" w:hAnsi="Times New Roman"/>
          <w:sz w:val="22"/>
          <w:szCs w:val="22"/>
        </w:rPr>
        <w:t>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Multiplier les campagnes de reboisement pour lutter contre les changements climatiques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Veiller à une meilleure prise en compte de l’environnement et de la santé des populations lors du déroulement des activités du projet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 xml:space="preserve">Sensibiliser les populations concernées par le projet pour éviter les problèmes fonciers </w:t>
      </w:r>
      <w:r w:rsidR="00171DED" w:rsidRPr="00865FE5">
        <w:rPr>
          <w:rFonts w:ascii="Times New Roman" w:hAnsi="Times New Roman"/>
          <w:sz w:val="22"/>
          <w:szCs w:val="22"/>
        </w:rPr>
        <w:t xml:space="preserve">pour la réalisation des voies d’accès, des </w:t>
      </w:r>
      <w:r w:rsidR="00D90513" w:rsidRPr="00865FE5">
        <w:rPr>
          <w:rFonts w:ascii="Times New Roman" w:hAnsi="Times New Roman"/>
          <w:sz w:val="22"/>
          <w:szCs w:val="22"/>
        </w:rPr>
        <w:t xml:space="preserve">marchés locaux ou </w:t>
      </w:r>
      <w:r w:rsidR="00085D2A" w:rsidRPr="00865FE5">
        <w:rPr>
          <w:rFonts w:ascii="Times New Roman" w:hAnsi="Times New Roman"/>
          <w:sz w:val="22"/>
          <w:szCs w:val="22"/>
        </w:rPr>
        <w:t>des structures stockages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 xml:space="preserve">Faire beaucoup de sensibilisation pour informer la population concernée sur les objectifs attendus pour chaque </w:t>
      </w:r>
      <w:r w:rsidR="00085D2A" w:rsidRPr="00865FE5">
        <w:rPr>
          <w:rFonts w:ascii="Times New Roman" w:hAnsi="Times New Roman"/>
          <w:sz w:val="22"/>
          <w:szCs w:val="22"/>
        </w:rPr>
        <w:t>composante du PUSA</w:t>
      </w:r>
      <w:r w:rsidRPr="00865FE5">
        <w:rPr>
          <w:rFonts w:ascii="Times New Roman" w:hAnsi="Times New Roman"/>
          <w:sz w:val="22"/>
          <w:szCs w:val="22"/>
        </w:rPr>
        <w:t xml:space="preserve">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Renforcer les moyens de mobilité des services techniques pour un meilleur suivi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Veiller à l’amélioration de la circulation des produits agricoles et stockages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Assurer des formations et sensibilisations en matière de gestion des pesticides pour veiller à une bonne utilisation de ces produits plus particulièrement les intrants chimiques qui peuvent contaminer les eaux des nappes par filtration ;</w:t>
      </w:r>
    </w:p>
    <w:p w:rsidR="00785AE7" w:rsidRPr="00865FE5"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 xml:space="preserve">Veiller à une bonne réalisation des infrastructures </w:t>
      </w:r>
      <w:r w:rsidR="00F81C38" w:rsidRPr="00865FE5">
        <w:rPr>
          <w:rFonts w:ascii="Times New Roman" w:hAnsi="Times New Roman"/>
          <w:sz w:val="22"/>
          <w:szCs w:val="22"/>
        </w:rPr>
        <w:t xml:space="preserve">prévus par le projet </w:t>
      </w:r>
      <w:r w:rsidR="00D95F6D" w:rsidRPr="00865FE5">
        <w:rPr>
          <w:rFonts w:ascii="Times New Roman" w:hAnsi="Times New Roman"/>
          <w:sz w:val="22"/>
          <w:szCs w:val="22"/>
        </w:rPr>
        <w:t>PUSA ;</w:t>
      </w:r>
    </w:p>
    <w:p w:rsidR="00A41BE8" w:rsidRDefault="00785AE7" w:rsidP="005E613E">
      <w:pPr>
        <w:pStyle w:val="PargrafodaLista"/>
        <w:numPr>
          <w:ilvl w:val="0"/>
          <w:numId w:val="93"/>
        </w:numPr>
        <w:spacing w:after="0" w:line="240" w:lineRule="auto"/>
        <w:ind w:left="993" w:right="-851" w:hanging="357"/>
        <w:contextualSpacing w:val="0"/>
        <w:jc w:val="both"/>
        <w:rPr>
          <w:rFonts w:ascii="Times New Roman" w:hAnsi="Times New Roman"/>
          <w:sz w:val="22"/>
          <w:szCs w:val="22"/>
        </w:rPr>
      </w:pPr>
      <w:r w:rsidRPr="00865FE5">
        <w:rPr>
          <w:rFonts w:ascii="Times New Roman" w:hAnsi="Times New Roman"/>
          <w:sz w:val="22"/>
          <w:szCs w:val="22"/>
        </w:rPr>
        <w:t xml:space="preserve">Mener des campagnes </w:t>
      </w:r>
      <w:r w:rsidR="00D95F6D" w:rsidRPr="00865FE5">
        <w:rPr>
          <w:rFonts w:ascii="Times New Roman" w:hAnsi="Times New Roman"/>
          <w:sz w:val="22"/>
          <w:szCs w:val="22"/>
        </w:rPr>
        <w:t>d’IEC</w:t>
      </w:r>
      <w:r w:rsidRPr="00865FE5">
        <w:rPr>
          <w:rFonts w:ascii="Times New Roman" w:hAnsi="Times New Roman"/>
          <w:sz w:val="22"/>
          <w:szCs w:val="22"/>
        </w:rPr>
        <w:t xml:space="preserve"> dans toutes les localités concernées pour l’appropriation du projet </w:t>
      </w:r>
      <w:r w:rsidR="00F736E0" w:rsidRPr="00865FE5">
        <w:rPr>
          <w:rFonts w:ascii="Times New Roman" w:hAnsi="Times New Roman"/>
          <w:sz w:val="22"/>
          <w:szCs w:val="22"/>
        </w:rPr>
        <w:t>PUSA</w:t>
      </w:r>
      <w:r w:rsidR="00423041" w:rsidRPr="00865FE5">
        <w:rPr>
          <w:rFonts w:ascii="Times New Roman" w:hAnsi="Times New Roman"/>
          <w:sz w:val="22"/>
          <w:szCs w:val="22"/>
        </w:rPr>
        <w:t>.</w:t>
      </w:r>
    </w:p>
    <w:p w:rsidR="00865FE5" w:rsidRPr="00865FE5" w:rsidRDefault="00865FE5" w:rsidP="005E613E">
      <w:pPr>
        <w:pStyle w:val="PargrafodaLista"/>
        <w:spacing w:after="0" w:line="240" w:lineRule="auto"/>
        <w:ind w:left="470" w:right="-851"/>
        <w:contextualSpacing w:val="0"/>
        <w:jc w:val="both"/>
        <w:rPr>
          <w:rFonts w:ascii="Times New Roman" w:hAnsi="Times New Roman"/>
          <w:sz w:val="22"/>
          <w:szCs w:val="22"/>
        </w:rPr>
      </w:pPr>
    </w:p>
    <w:p w:rsidR="00785AE7" w:rsidRPr="00A05698" w:rsidRDefault="00785AE7"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56" w:name="_Toc55460149"/>
      <w:bookmarkStart w:id="357" w:name="_Toc55465542"/>
      <w:bookmarkStart w:id="358" w:name="_Toc73459771"/>
      <w:r w:rsidRPr="00A05698">
        <w:rPr>
          <w:rFonts w:ascii="Times New Roman" w:hAnsi="Times New Roman"/>
          <w:b/>
          <w:bCs/>
          <w:sz w:val="24"/>
          <w:szCs w:val="24"/>
        </w:rPr>
        <w:t>Conclusion Des Consultations</w:t>
      </w:r>
      <w:bookmarkEnd w:id="356"/>
      <w:bookmarkEnd w:id="357"/>
      <w:bookmarkEnd w:id="358"/>
    </w:p>
    <w:p w:rsidR="006B4274" w:rsidRPr="00A05698" w:rsidRDefault="00785AE7" w:rsidP="005E613E">
      <w:pPr>
        <w:autoSpaceDE w:val="0"/>
        <w:autoSpaceDN w:val="0"/>
        <w:adjustRightInd w:val="0"/>
        <w:ind w:left="142" w:right="-851"/>
        <w:jc w:val="both"/>
      </w:pPr>
      <w:r w:rsidRPr="00A05698">
        <w:t xml:space="preserve">Vue la situation par rapport à l’évolution de la COVID-19, l’équipe a utilisé des outils comme la consultation individuelle (afin de pouvoir respecter les mesures barrières édictées dans le cadre de la COVID 19). </w:t>
      </w:r>
    </w:p>
    <w:p w:rsidR="009335E9" w:rsidRDefault="00785AE7" w:rsidP="005E613E">
      <w:pPr>
        <w:autoSpaceDE w:val="0"/>
        <w:autoSpaceDN w:val="0"/>
        <w:adjustRightInd w:val="0"/>
        <w:ind w:left="142" w:right="-851"/>
        <w:jc w:val="both"/>
      </w:pPr>
      <w:r w:rsidRPr="00A05698">
        <w:t>Lors des consultations, les services techniques et les</w:t>
      </w:r>
      <w:r w:rsidR="00883D1E" w:rsidRPr="00A05698">
        <w:t xml:space="preserve"> acteurs concernés</w:t>
      </w:r>
      <w:r w:rsidRPr="00A05698">
        <w:t xml:space="preserve"> ont été très ouverts et ravis d’accueillir un projet </w:t>
      </w:r>
      <w:r w:rsidR="00EF316B" w:rsidRPr="00A05698">
        <w:t xml:space="preserve">d’urgence de </w:t>
      </w:r>
      <w:r w:rsidR="00E955C6" w:rsidRPr="00A05698">
        <w:t>sécurité</w:t>
      </w:r>
      <w:r w:rsidR="00EF316B" w:rsidRPr="00A05698">
        <w:t xml:space="preserve"> alimentaire en Guinée Bissau</w:t>
      </w:r>
      <w:r w:rsidR="00494D96">
        <w:t xml:space="preserve"> qui a pour </w:t>
      </w:r>
      <w:r w:rsidR="00F736E0" w:rsidRPr="00A05698">
        <w:t xml:space="preserve">but de </w:t>
      </w:r>
      <w:r w:rsidR="00EF316B" w:rsidRPr="00A05698">
        <w:t>soutenir l’</w:t>
      </w:r>
      <w:r w:rsidR="009663C3" w:rsidRPr="00A05698">
        <w:t xml:space="preserve">Etat, </w:t>
      </w:r>
      <w:r w:rsidR="00E955C6" w:rsidRPr="00A05698">
        <w:t>les agricultures</w:t>
      </w:r>
      <w:r w:rsidR="009663C3" w:rsidRPr="00A05698">
        <w:t xml:space="preserve">, l’ensemble des acteurs </w:t>
      </w:r>
      <w:r w:rsidR="00315E4D" w:rsidRPr="00A05698">
        <w:t xml:space="preserve">qui </w:t>
      </w:r>
      <w:r w:rsidR="009663C3" w:rsidRPr="00A05698">
        <w:t>interv</w:t>
      </w:r>
      <w:r w:rsidR="00315E4D" w:rsidRPr="00A05698">
        <w:t>i</w:t>
      </w:r>
      <w:r w:rsidR="009663C3" w:rsidRPr="00A05698">
        <w:t>en</w:t>
      </w:r>
      <w:r w:rsidR="00315E4D" w:rsidRPr="00A05698">
        <w:t>nent</w:t>
      </w:r>
      <w:r w:rsidR="009663C3" w:rsidRPr="00A05698">
        <w:t xml:space="preserve"> dans la production et la commercialisation des noix </w:t>
      </w:r>
      <w:r w:rsidR="00CB1C71" w:rsidRPr="00A05698">
        <w:t>de cajou</w:t>
      </w:r>
      <w:r w:rsidR="00315E4D" w:rsidRPr="00A05698">
        <w:t xml:space="preserve">. De plus, il </w:t>
      </w:r>
      <w:r w:rsidR="000E1A4B" w:rsidRPr="00A05698">
        <w:t>aide les</w:t>
      </w:r>
      <w:r w:rsidR="00221609" w:rsidRPr="00A05698">
        <w:t xml:space="preserve"> jeunes et femmes sans emplois, la population </w:t>
      </w:r>
      <w:r w:rsidR="00C774AF">
        <w:t>en général à</w:t>
      </w:r>
      <w:r w:rsidR="00221609" w:rsidRPr="00A05698">
        <w:t xml:space="preserve"> </w:t>
      </w:r>
      <w:r w:rsidR="00C1439D" w:rsidRPr="00A05698">
        <w:t xml:space="preserve">faire </w:t>
      </w:r>
      <w:r w:rsidR="00221609" w:rsidRPr="00A05698">
        <w:t xml:space="preserve">face aux </w:t>
      </w:r>
      <w:r w:rsidR="00C1439D" w:rsidRPr="00A05698">
        <w:t>effets négati</w:t>
      </w:r>
      <w:r w:rsidR="00C774AF">
        <w:t>fs sur le plan</w:t>
      </w:r>
      <w:r w:rsidR="00C1439D" w:rsidRPr="00A05698">
        <w:t xml:space="preserve"> </w:t>
      </w:r>
      <w:r w:rsidR="009335E9" w:rsidRPr="00A05698">
        <w:t>économique</w:t>
      </w:r>
      <w:r w:rsidR="00C1439D" w:rsidRPr="00A05698">
        <w:t xml:space="preserve"> </w:t>
      </w:r>
      <w:r w:rsidR="008B613F" w:rsidRPr="00A05698">
        <w:t xml:space="preserve">et social </w:t>
      </w:r>
      <w:r w:rsidR="00C774AF">
        <w:t xml:space="preserve">et </w:t>
      </w:r>
      <w:r w:rsidR="008B613F" w:rsidRPr="00A05698">
        <w:t>qui risque</w:t>
      </w:r>
      <w:r w:rsidR="00315E4D" w:rsidRPr="00A05698">
        <w:t>nt</w:t>
      </w:r>
      <w:r w:rsidR="008B613F" w:rsidRPr="00A05698">
        <w:t xml:space="preserve"> de conduire la Guinée Bissau</w:t>
      </w:r>
      <w:r w:rsidR="00456121" w:rsidRPr="00A05698">
        <w:t xml:space="preserve"> dans une situation d’instabilité </w:t>
      </w:r>
      <w:r w:rsidR="009335E9" w:rsidRPr="00A05698">
        <w:t>et d’</w:t>
      </w:r>
      <w:r w:rsidR="00C97C5C" w:rsidRPr="00A05698">
        <w:t>insécurité alimentaire majeure.</w:t>
      </w:r>
      <w:r w:rsidR="00E955C6" w:rsidRPr="00A05698">
        <w:t xml:space="preserve"> </w:t>
      </w:r>
      <w:r w:rsidRPr="00A05698">
        <w:t xml:space="preserve"> </w:t>
      </w:r>
    </w:p>
    <w:p w:rsidR="00967003" w:rsidRPr="00A05698" w:rsidRDefault="00967003" w:rsidP="005E613E">
      <w:pPr>
        <w:autoSpaceDE w:val="0"/>
        <w:autoSpaceDN w:val="0"/>
        <w:adjustRightInd w:val="0"/>
        <w:ind w:left="142" w:right="-851"/>
        <w:jc w:val="both"/>
      </w:pPr>
    </w:p>
    <w:p w:rsidR="004F4E52" w:rsidRPr="00C96C16" w:rsidRDefault="00C97C5C" w:rsidP="005E613E">
      <w:pPr>
        <w:autoSpaceDE w:val="0"/>
        <w:autoSpaceDN w:val="0"/>
        <w:adjustRightInd w:val="0"/>
        <w:ind w:left="142" w:right="-851"/>
        <w:jc w:val="both"/>
      </w:pPr>
      <w:r w:rsidRPr="00A05698">
        <w:t>L’ensemble des acteurs consulté</w:t>
      </w:r>
      <w:r w:rsidR="00DC2BC8" w:rsidRPr="00A05698">
        <w:t xml:space="preserve">s ont </w:t>
      </w:r>
      <w:r w:rsidR="000E1A4B">
        <w:t>manifesté</w:t>
      </w:r>
      <w:r w:rsidR="00494D96">
        <w:t xml:space="preserve"> leur </w:t>
      </w:r>
      <w:r w:rsidR="00DC2BC8" w:rsidRPr="00A05698">
        <w:t>e</w:t>
      </w:r>
      <w:r w:rsidR="00315E4D" w:rsidRPr="00A05698">
        <w:t>spoir</w:t>
      </w:r>
      <w:r w:rsidR="00DC2BC8" w:rsidRPr="00A05698">
        <w:t xml:space="preserve"> </w:t>
      </w:r>
      <w:r w:rsidR="00494D96">
        <w:t xml:space="preserve">pour </w:t>
      </w:r>
      <w:r w:rsidR="003447F9" w:rsidRPr="00A05698">
        <w:t xml:space="preserve">ce projet PUSA </w:t>
      </w:r>
      <w:r w:rsidR="004F4E52" w:rsidRPr="00A05698">
        <w:t>car</w:t>
      </w:r>
      <w:r w:rsidR="00C774AF">
        <w:t>,</w:t>
      </w:r>
      <w:r w:rsidR="004F4E52" w:rsidRPr="00A05698">
        <w:t xml:space="preserve"> il</w:t>
      </w:r>
      <w:r w:rsidR="00785AE7" w:rsidRPr="00A05698">
        <w:t xml:space="preserve"> apportera des améliorations dans leur condition de vie quotidienne</w:t>
      </w:r>
      <w:r w:rsidR="00A5680C" w:rsidRPr="00A05698">
        <w:t>, augmenter</w:t>
      </w:r>
      <w:r w:rsidR="00C774AF">
        <w:t>a</w:t>
      </w:r>
      <w:r w:rsidR="00A5680C" w:rsidRPr="00A05698">
        <w:t xml:space="preserve"> l</w:t>
      </w:r>
      <w:r w:rsidR="00905B2E">
        <w:t xml:space="preserve">es </w:t>
      </w:r>
      <w:r w:rsidR="00A5680C" w:rsidRPr="00A05698">
        <w:t>emplois et les revenus</w:t>
      </w:r>
      <w:r w:rsidR="00C774AF">
        <w:t xml:space="preserve"> et </w:t>
      </w:r>
      <w:r w:rsidR="000E1A4B">
        <w:t>améliorera</w:t>
      </w:r>
      <w:r w:rsidR="00785AE7" w:rsidRPr="00A05698">
        <w:t xml:space="preserve"> le développement de l’agriculture</w:t>
      </w:r>
      <w:r w:rsidR="00315E4D" w:rsidRPr="00A05698">
        <w:t>. Le projet</w:t>
      </w:r>
      <w:r w:rsidR="00785AE7" w:rsidRPr="00A05698">
        <w:t xml:space="preserve"> contribuera au r</w:t>
      </w:r>
      <w:r w:rsidR="00785AE7" w:rsidRPr="00C96C16">
        <w:t xml:space="preserve">enforcement de la valeur ajoutée des produits agricoles </w:t>
      </w:r>
      <w:r w:rsidR="00A02248" w:rsidRPr="00C96C16">
        <w:t xml:space="preserve">et de la noix de cajou, </w:t>
      </w:r>
      <w:r w:rsidR="00C774AF">
        <w:t>à la</w:t>
      </w:r>
      <w:r w:rsidR="00785AE7" w:rsidRPr="00A05698">
        <w:t xml:space="preserve"> rédu</w:t>
      </w:r>
      <w:r w:rsidR="00C774AF">
        <w:t>ction de</w:t>
      </w:r>
      <w:r w:rsidR="00785AE7" w:rsidRPr="00A05698">
        <w:t xml:space="preserve"> </w:t>
      </w:r>
      <w:r w:rsidR="00785AE7" w:rsidRPr="00C96C16">
        <w:t>la dé</w:t>
      </w:r>
      <w:r w:rsidR="00785AE7" w:rsidRPr="00A05698">
        <w:t xml:space="preserve">pendance aux </w:t>
      </w:r>
      <w:r w:rsidR="00785AE7" w:rsidRPr="00C96C16">
        <w:t>importations de produits agroalimentaires</w:t>
      </w:r>
      <w:r w:rsidR="003447F9" w:rsidRPr="00C96C16">
        <w:t xml:space="preserve">, </w:t>
      </w:r>
      <w:r w:rsidR="00C774AF" w:rsidRPr="00C96C16">
        <w:t>à la</w:t>
      </w:r>
      <w:r w:rsidR="00905B2E" w:rsidRPr="00C96C16">
        <w:t xml:space="preserve"> lutte contre l’</w:t>
      </w:r>
      <w:r w:rsidR="003447F9" w:rsidRPr="00C96C16">
        <w:t>insécurité alimentaire</w:t>
      </w:r>
      <w:r w:rsidR="00770E17" w:rsidRPr="00C96C16">
        <w:t> et la malnutrition des enfants</w:t>
      </w:r>
      <w:r w:rsidR="00905B2E" w:rsidRPr="00C96C16">
        <w:t>.</w:t>
      </w:r>
      <w:r w:rsidR="004F4E52" w:rsidRPr="00C96C16">
        <w:tab/>
      </w:r>
    </w:p>
    <w:p w:rsidR="00816DE9" w:rsidRDefault="00C774AF" w:rsidP="005E613E">
      <w:pPr>
        <w:autoSpaceDE w:val="0"/>
        <w:autoSpaceDN w:val="0"/>
        <w:adjustRightInd w:val="0"/>
        <w:ind w:left="142" w:right="-851"/>
        <w:jc w:val="both"/>
      </w:pPr>
      <w:r>
        <w:t>Toutefois,</w:t>
      </w:r>
      <w:r w:rsidR="005D554F" w:rsidRPr="00A05698">
        <w:t xml:space="preserve"> </w:t>
      </w:r>
      <w:r w:rsidR="00D57DE3" w:rsidRPr="00A05698">
        <w:t xml:space="preserve">des préoccupations majeures </w:t>
      </w:r>
      <w:r w:rsidR="00A0254A" w:rsidRPr="00A05698">
        <w:t xml:space="preserve">et des recommandations </w:t>
      </w:r>
      <w:r w:rsidR="00D57DE3" w:rsidRPr="00A05698">
        <w:t xml:space="preserve">ont été </w:t>
      </w:r>
      <w:r w:rsidR="001A5CAB" w:rsidRPr="00A05698">
        <w:t>soulevées</w:t>
      </w:r>
      <w:r w:rsidR="00D57DE3" w:rsidRPr="00A05698">
        <w:t xml:space="preserve"> par les </w:t>
      </w:r>
      <w:r w:rsidR="001A5CAB" w:rsidRPr="00A05698">
        <w:t>différents</w:t>
      </w:r>
      <w:r w:rsidR="00D57DE3" w:rsidRPr="00A05698">
        <w:t xml:space="preserve"> </w:t>
      </w:r>
      <w:r w:rsidR="00501932" w:rsidRPr="00A05698">
        <w:t>services ou</w:t>
      </w:r>
      <w:r w:rsidR="001A5CAB" w:rsidRPr="00A05698">
        <w:t xml:space="preserve"> directions </w:t>
      </w:r>
      <w:r w:rsidR="00FA6CCC" w:rsidRPr="00A05698">
        <w:t>techniques</w:t>
      </w:r>
      <w:r w:rsidR="00501932" w:rsidRPr="00A05698">
        <w:t xml:space="preserve"> et acteur</w:t>
      </w:r>
      <w:r w:rsidR="00053C11" w:rsidRPr="00A05698">
        <w:t>s</w:t>
      </w:r>
      <w:r w:rsidR="00905B2E">
        <w:t xml:space="preserve"> concernés. C</w:t>
      </w:r>
      <w:r w:rsidR="00E7599D" w:rsidRPr="00A05698">
        <w:t>es préoccupations</w:t>
      </w:r>
      <w:r w:rsidR="009619EB" w:rsidRPr="00A05698">
        <w:t xml:space="preserve"> et recommandations</w:t>
      </w:r>
      <w:r w:rsidR="00E7599D" w:rsidRPr="00A05698">
        <w:t xml:space="preserve"> </w:t>
      </w:r>
      <w:r w:rsidR="00BC5110" w:rsidRPr="00A05698">
        <w:t xml:space="preserve">doivent </w:t>
      </w:r>
      <w:r w:rsidR="00EF46C4" w:rsidRPr="00A05698">
        <w:t>être</w:t>
      </w:r>
      <w:r w:rsidR="004B1641" w:rsidRPr="00A05698">
        <w:t xml:space="preserve"> prise</w:t>
      </w:r>
      <w:r w:rsidR="00EF46C4" w:rsidRPr="00A05698">
        <w:t xml:space="preserve">s en compte </w:t>
      </w:r>
      <w:r w:rsidR="00C36EB6" w:rsidRPr="00A05698">
        <w:t xml:space="preserve">avant, pendant et </w:t>
      </w:r>
      <w:r w:rsidR="00AA3C90" w:rsidRPr="00A05698">
        <w:t>après</w:t>
      </w:r>
      <w:r w:rsidR="00C36EB6" w:rsidRPr="00A05698">
        <w:t xml:space="preserve"> la mise en œuvre </w:t>
      </w:r>
      <w:r w:rsidR="00EF46C4" w:rsidRPr="00A05698">
        <w:t xml:space="preserve">pour </w:t>
      </w:r>
      <w:r w:rsidR="00A0254A" w:rsidRPr="00A05698">
        <w:t xml:space="preserve">atteindre les </w:t>
      </w:r>
      <w:r w:rsidR="00AA3C90" w:rsidRPr="00A05698">
        <w:t>objectifs du projet PUSA.</w:t>
      </w:r>
    </w:p>
    <w:p w:rsidR="00967003" w:rsidRDefault="00967003" w:rsidP="005E613E">
      <w:pPr>
        <w:autoSpaceDE w:val="0"/>
        <w:autoSpaceDN w:val="0"/>
        <w:adjustRightInd w:val="0"/>
        <w:ind w:left="142" w:right="-851"/>
        <w:jc w:val="both"/>
      </w:pPr>
    </w:p>
    <w:p w:rsidR="00BB403F" w:rsidRPr="008450CC" w:rsidRDefault="00BB403F" w:rsidP="005E613E">
      <w:pPr>
        <w:autoSpaceDE w:val="0"/>
        <w:autoSpaceDN w:val="0"/>
        <w:adjustRightInd w:val="0"/>
        <w:ind w:left="142" w:right="-851"/>
        <w:jc w:val="both"/>
      </w:pPr>
      <w:r>
        <w:t xml:space="preserve">De plus, il est bien de prendre en compte lors du déroulement du projet, les inquiétudes des femmes et jeunes filles </w:t>
      </w:r>
      <w:r w:rsidRPr="008450CC">
        <w:t>pour lutter contre</w:t>
      </w:r>
      <w:r>
        <w:t xml:space="preserve"> les mariages précoces et forcés,</w:t>
      </w:r>
      <w:r w:rsidRPr="008450CC">
        <w:t xml:space="preserve"> l’Exploitation et les </w:t>
      </w:r>
      <w:r>
        <w:t>abus</w:t>
      </w:r>
      <w:r w:rsidRPr="008450CC">
        <w:t xml:space="preserve"> Sexuel</w:t>
      </w:r>
      <w:r>
        <w:t>s</w:t>
      </w:r>
      <w:r w:rsidRPr="008450CC">
        <w:t xml:space="preserve">, et le Harcèlement sexuel </w:t>
      </w:r>
      <w:r>
        <w:t xml:space="preserve">(EAS/HS) </w:t>
      </w:r>
      <w:r w:rsidRPr="008450CC">
        <w:t xml:space="preserve">dans le cadre </w:t>
      </w:r>
      <w:r>
        <w:t>des activités du projet. Mais aussi au respect des lois pour permettre à la femme de pouvoir accéder à la terre sans discrétion et de violence ou conflit familiale.</w:t>
      </w:r>
    </w:p>
    <w:p w:rsidR="00816DE9" w:rsidRPr="00A05698" w:rsidRDefault="00816DE9" w:rsidP="005E613E">
      <w:pPr>
        <w:ind w:right="-851"/>
        <w:jc w:val="both"/>
      </w:pPr>
    </w:p>
    <w:p w:rsidR="00120DD7" w:rsidRPr="00A05698" w:rsidRDefault="00DB1189" w:rsidP="00045EAE">
      <w:pPr>
        <w:pStyle w:val="PargrafodaLista"/>
        <w:numPr>
          <w:ilvl w:val="1"/>
          <w:numId w:val="198"/>
        </w:numPr>
        <w:spacing w:after="120" w:line="240" w:lineRule="auto"/>
        <w:ind w:right="-851"/>
        <w:outlineLvl w:val="1"/>
        <w:rPr>
          <w:rFonts w:ascii="Times New Roman" w:hAnsi="Times New Roman"/>
          <w:b/>
          <w:bCs/>
          <w:sz w:val="24"/>
          <w:szCs w:val="24"/>
        </w:rPr>
      </w:pPr>
      <w:bookmarkStart w:id="359" w:name="_Toc73459772"/>
      <w:bookmarkStart w:id="360" w:name="_Toc11158399"/>
      <w:bookmarkStart w:id="361" w:name="_Toc51072619"/>
      <w:r w:rsidRPr="00A05698">
        <w:rPr>
          <w:rFonts w:ascii="Times New Roman" w:hAnsi="Times New Roman"/>
          <w:b/>
          <w:bCs/>
          <w:sz w:val="24"/>
          <w:szCs w:val="24"/>
        </w:rPr>
        <w:t>Plan de Mobilisation des Parties Prenantes (PMPP)</w:t>
      </w:r>
      <w:bookmarkEnd w:id="359"/>
    </w:p>
    <w:p w:rsidR="00673426" w:rsidRPr="00C96C16" w:rsidRDefault="00673426" w:rsidP="005E613E">
      <w:pPr>
        <w:autoSpaceDE w:val="0"/>
        <w:autoSpaceDN w:val="0"/>
        <w:adjustRightInd w:val="0"/>
        <w:ind w:left="142" w:right="-851"/>
        <w:jc w:val="both"/>
      </w:pPr>
      <w:r w:rsidRPr="00C96C16">
        <w:t xml:space="preserve">Le projet de sécurité alimentaire d'urgence en Guinée-Bissau </w:t>
      </w:r>
      <w:r w:rsidR="0090603F">
        <w:t xml:space="preserve">qui est déjà préparé </w:t>
      </w:r>
      <w:r w:rsidRPr="00C96C16">
        <w:t>dans le cadre du Cadre environnemental et social (FSE) de la Banque mondiale. Conformément à la norme</w:t>
      </w:r>
      <w:r w:rsidR="000D349B" w:rsidRPr="00C96C16">
        <w:t xml:space="preserve"> environnementale et sociale </w:t>
      </w:r>
      <w:r w:rsidR="002E2294" w:rsidRPr="00C96C16">
        <w:t>NES N°10 e</w:t>
      </w:r>
      <w:r w:rsidRPr="00C96C16">
        <w:t>ngagement des parties prenantes et divulgation d'informations, les agences de mise en œuvre devraient fournir aux parties prenantes des informations opportunes, pertinentes, compréhensibles et accessibles, et les consulter d'une manière culturellement appropriée, sans manipulat</w:t>
      </w:r>
      <w:r w:rsidR="00967003">
        <w:t>ion, interférence, coercition,</w:t>
      </w:r>
      <w:r w:rsidRPr="00C96C16">
        <w:t xml:space="preserve"> discrimination et intimidation.</w:t>
      </w:r>
    </w:p>
    <w:p w:rsidR="00673426" w:rsidRPr="00C96C16" w:rsidRDefault="00673426" w:rsidP="005E613E">
      <w:pPr>
        <w:autoSpaceDE w:val="0"/>
        <w:autoSpaceDN w:val="0"/>
        <w:adjustRightInd w:val="0"/>
        <w:ind w:left="142" w:right="-851"/>
        <w:jc w:val="both"/>
      </w:pPr>
    </w:p>
    <w:p w:rsidR="00FB0FD6" w:rsidRPr="00C96C16" w:rsidRDefault="00673426" w:rsidP="005E613E">
      <w:pPr>
        <w:autoSpaceDE w:val="0"/>
        <w:autoSpaceDN w:val="0"/>
        <w:adjustRightInd w:val="0"/>
        <w:ind w:left="142" w:right="-851"/>
        <w:jc w:val="both"/>
      </w:pPr>
      <w:r w:rsidRPr="00C96C16">
        <w:t>L'objectif</w:t>
      </w:r>
      <w:r w:rsidR="008553E7" w:rsidRPr="00C96C16">
        <w:t xml:space="preserve"> général de ce plan de mobilisation</w:t>
      </w:r>
      <w:r w:rsidR="00FA5C20" w:rsidRPr="00C96C16">
        <w:t xml:space="preserve"> des parties prenantes (PMPP</w:t>
      </w:r>
      <w:r w:rsidRPr="00C96C16">
        <w:t>) est de définir un programme d'engagement des parties prenantes, y compris la divulgation d'informations publiques et la consultation, tout au</w:t>
      </w:r>
      <w:r w:rsidR="00536536" w:rsidRPr="00C96C16">
        <w:t xml:space="preserve"> long du cycle du projet. Le PMPP</w:t>
      </w:r>
      <w:r w:rsidRPr="00C96C16">
        <w:t xml:space="preserve"> décrit les moyens par lesquels l'équipe de projet communiquera avec les parties prenantes et comprend un mécanisme par lequel les personnes peuvent soulever des préoccupations, fournir des commentaires ou déposer des plaintes concernant le projet et toute activité liée au projet. </w:t>
      </w:r>
    </w:p>
    <w:p w:rsidR="00673426" w:rsidRPr="00C96C16" w:rsidRDefault="00673426" w:rsidP="005E613E">
      <w:pPr>
        <w:autoSpaceDE w:val="0"/>
        <w:autoSpaceDN w:val="0"/>
        <w:adjustRightInd w:val="0"/>
        <w:ind w:left="142" w:right="-851"/>
        <w:jc w:val="both"/>
      </w:pPr>
      <w:r w:rsidRPr="00C96C16">
        <w:t>L'implication de la population locale est essentielle à la réussite du projet afin d'assurer une collaboration harmonieuse entre le personnel du projet et les communautés locales et pour minimiser et atténuer les risques environnementaux et sociaux liés aux activités du projet proposé. Dans le contexte des maladies infectieuses, large, culturellement approprié,</w:t>
      </w:r>
      <w:bookmarkStart w:id="362" w:name="_Hlk25743274"/>
      <w:bookmarkEnd w:id="362"/>
    </w:p>
    <w:p w:rsidR="009844C2" w:rsidRPr="00865FE5" w:rsidRDefault="00120DD7" w:rsidP="005E613E">
      <w:pPr>
        <w:autoSpaceDE w:val="0"/>
        <w:autoSpaceDN w:val="0"/>
        <w:adjustRightInd w:val="0"/>
        <w:ind w:left="142" w:right="-851"/>
        <w:jc w:val="both"/>
      </w:pPr>
      <w:r w:rsidRPr="00A05698">
        <w:t xml:space="preserve"> </w:t>
      </w:r>
    </w:p>
    <w:p w:rsidR="009844C2" w:rsidRPr="00A05698" w:rsidRDefault="00B13D73"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63" w:name="_Toc73459773"/>
      <w:r w:rsidRPr="00A05698">
        <w:rPr>
          <w:rFonts w:ascii="Times New Roman" w:hAnsi="Times New Roman"/>
          <w:b/>
          <w:bCs/>
          <w:sz w:val="24"/>
          <w:szCs w:val="24"/>
        </w:rPr>
        <w:t xml:space="preserve">Identification </w:t>
      </w:r>
      <w:r w:rsidR="00EA0802">
        <w:rPr>
          <w:rFonts w:ascii="Times New Roman" w:hAnsi="Times New Roman"/>
          <w:b/>
          <w:bCs/>
          <w:sz w:val="24"/>
          <w:szCs w:val="24"/>
        </w:rPr>
        <w:t xml:space="preserve">et analyse </w:t>
      </w:r>
      <w:r w:rsidRPr="00A05698">
        <w:rPr>
          <w:rFonts w:ascii="Times New Roman" w:hAnsi="Times New Roman"/>
          <w:b/>
          <w:bCs/>
          <w:sz w:val="24"/>
          <w:szCs w:val="24"/>
        </w:rPr>
        <w:t>des Parties Prenantes</w:t>
      </w:r>
      <w:bookmarkEnd w:id="363"/>
    </w:p>
    <w:p w:rsidR="00883D59" w:rsidRPr="00C96C16" w:rsidRDefault="00E75EAF" w:rsidP="005E613E">
      <w:pPr>
        <w:autoSpaceDE w:val="0"/>
        <w:autoSpaceDN w:val="0"/>
        <w:adjustRightInd w:val="0"/>
        <w:ind w:left="142" w:right="-851"/>
        <w:jc w:val="both"/>
      </w:pPr>
      <w:r w:rsidRPr="00C96C16">
        <w:t>Les parties prenantes du projet sont définies comme des individus, des groupes ou d'autres entités qui:</w:t>
      </w:r>
    </w:p>
    <w:p w:rsidR="00E75EAF" w:rsidRPr="00865FE5" w:rsidRDefault="00E75EAF" w:rsidP="005E613E">
      <w:pPr>
        <w:numPr>
          <w:ilvl w:val="0"/>
          <w:numId w:val="145"/>
        </w:numPr>
        <w:ind w:left="993" w:right="-851" w:hanging="426"/>
        <w:contextualSpacing/>
        <w:rPr>
          <w:bCs/>
          <w:sz w:val="22"/>
          <w:szCs w:val="22"/>
        </w:rPr>
      </w:pPr>
      <w:r w:rsidRPr="00865FE5">
        <w:rPr>
          <w:bCs/>
          <w:sz w:val="22"/>
          <w:szCs w:val="22"/>
        </w:rPr>
        <w:t>sont impactés ou susceptibles d'être impactés directement ou indirectement, positivement ou négativement par le projet (également appelés «parties affectées»); et</w:t>
      </w:r>
    </w:p>
    <w:p w:rsidR="00E75EAF" w:rsidRPr="00865FE5" w:rsidRDefault="00E75EAF" w:rsidP="005E613E">
      <w:pPr>
        <w:numPr>
          <w:ilvl w:val="0"/>
          <w:numId w:val="145"/>
        </w:numPr>
        <w:ind w:left="993" w:right="-851" w:hanging="426"/>
        <w:contextualSpacing/>
        <w:rPr>
          <w:bCs/>
          <w:sz w:val="22"/>
          <w:szCs w:val="22"/>
        </w:rPr>
      </w:pPr>
      <w:r w:rsidRPr="00865FE5">
        <w:rPr>
          <w:bCs/>
          <w:sz w:val="22"/>
          <w:szCs w:val="22"/>
        </w:rPr>
        <w:t>peuvent avoir un intérêt dans le projet («parties intéressées»). Ils incluent des individus ou des groupes dont les intérêts peuvent être affectés par le projet et qui ont le potentiel d'influencer les résultats du projet de quelque manière que ce soit.</w:t>
      </w:r>
    </w:p>
    <w:p w:rsidR="00E75EAF" w:rsidRPr="00865FE5" w:rsidRDefault="00E75EAF" w:rsidP="005E613E">
      <w:pPr>
        <w:autoSpaceDE w:val="0"/>
        <w:autoSpaceDN w:val="0"/>
        <w:adjustRightInd w:val="0"/>
        <w:ind w:left="142" w:right="-851"/>
        <w:jc w:val="both"/>
      </w:pPr>
      <w:r w:rsidRPr="00865FE5">
        <w:rPr>
          <w:bCs/>
        </w:rPr>
        <w:br/>
      </w:r>
      <w:r w:rsidRPr="00865FE5">
        <w:t xml:space="preserve">Aux fins d'un engagement efficace et personnalisé, les parties prenantes du ou des projets proposés peuvent être divisées dans les catégories principales </w:t>
      </w:r>
      <w:r w:rsidR="004518BE" w:rsidRPr="00865FE5">
        <w:t>suivantes :</w:t>
      </w:r>
    </w:p>
    <w:p w:rsidR="00A770F3" w:rsidRPr="00865FE5" w:rsidRDefault="00A770F3" w:rsidP="005E613E">
      <w:pPr>
        <w:ind w:left="-284" w:right="-851"/>
        <w:jc w:val="both"/>
      </w:pPr>
    </w:p>
    <w:p w:rsidR="000B392E" w:rsidRPr="00865FE5" w:rsidRDefault="00B13D73" w:rsidP="005E613E">
      <w:pPr>
        <w:autoSpaceDE w:val="0"/>
        <w:autoSpaceDN w:val="0"/>
        <w:adjustRightInd w:val="0"/>
        <w:ind w:left="142" w:right="-851"/>
        <w:jc w:val="both"/>
      </w:pPr>
      <w:r w:rsidRPr="00C96C16">
        <w:t xml:space="preserve">Les parties directement affectées par le projet </w:t>
      </w:r>
      <w:r w:rsidR="00AF35F1" w:rsidRPr="00C96C16">
        <w:t>PUSA</w:t>
      </w:r>
      <w:r w:rsidR="00AF35F1" w:rsidRPr="00865FE5">
        <w:t xml:space="preserve"> </w:t>
      </w:r>
      <w:r w:rsidRPr="00865FE5">
        <w:t>sont :</w:t>
      </w:r>
      <w:r w:rsidR="00BD59AE" w:rsidRPr="00865FE5">
        <w:t xml:space="preserve"> Les agriculteurs</w:t>
      </w:r>
      <w:r w:rsidR="0015765A" w:rsidRPr="00865FE5">
        <w:t xml:space="preserve"> </w:t>
      </w:r>
      <w:r w:rsidR="008818C0" w:rsidRPr="00865FE5">
        <w:t xml:space="preserve">(les femmes agricultrices) </w:t>
      </w:r>
      <w:r w:rsidR="0015765A" w:rsidRPr="00865FE5">
        <w:t>en général, les producteurs</w:t>
      </w:r>
      <w:r w:rsidR="00BD59AE" w:rsidRPr="00865FE5">
        <w:t xml:space="preserve"> d’anacardier et de culture vivrières,</w:t>
      </w:r>
      <w:r w:rsidR="006C36B4" w:rsidRPr="00865FE5">
        <w:t xml:space="preserve"> les personnes intervenant dans la chaine de commercialisation</w:t>
      </w:r>
      <w:r w:rsidR="00BD59AE" w:rsidRPr="00865FE5">
        <w:t xml:space="preserve"> de</w:t>
      </w:r>
      <w:r w:rsidR="00D66567" w:rsidRPr="00865FE5">
        <w:t>s</w:t>
      </w:r>
      <w:r w:rsidR="00BD59AE" w:rsidRPr="00865FE5">
        <w:t xml:space="preserve"> noix de cajou</w:t>
      </w:r>
      <w:r w:rsidR="00D66567" w:rsidRPr="00865FE5">
        <w:t xml:space="preserve"> et d’autre produit agricole</w:t>
      </w:r>
      <w:r w:rsidR="00FF02A2" w:rsidRPr="00865FE5">
        <w:t xml:space="preserve">, les transformateurs de </w:t>
      </w:r>
      <w:r w:rsidR="001C30E0" w:rsidRPr="00865FE5">
        <w:t>produits agro-alimentaires</w:t>
      </w:r>
      <w:r w:rsidR="00BD59AE" w:rsidRPr="00865FE5">
        <w:t>, les</w:t>
      </w:r>
      <w:r w:rsidR="006468D5" w:rsidRPr="00865FE5">
        <w:t xml:space="preserve"> jeunes et femmes dans les </w:t>
      </w:r>
      <w:r w:rsidR="00F17CEE" w:rsidRPr="00865FE5">
        <w:t>localités, la population</w:t>
      </w:r>
      <w:r w:rsidR="002F4498" w:rsidRPr="00865FE5">
        <w:t xml:space="preserve">, </w:t>
      </w:r>
      <w:r w:rsidR="00901890" w:rsidRPr="00865FE5">
        <w:t xml:space="preserve">les groupes vulnérables (Personnes âgées et jeunes, Personnes handicapées, Ménages dirigés par des femmes ou mères célibataires avec enfants mineurs) </w:t>
      </w:r>
      <w:r w:rsidR="002F4498" w:rsidRPr="00865FE5">
        <w:t xml:space="preserve">etc. </w:t>
      </w:r>
      <w:r w:rsidRPr="00865FE5">
        <w:t>Pour ces groupes, des mesures spécifiques seront prises afin de faciliter leur</w:t>
      </w:r>
      <w:r w:rsidR="00D66567" w:rsidRPr="00865FE5">
        <w:t xml:space="preserve"> accès aux bénéfices du projet PUSA.</w:t>
      </w:r>
    </w:p>
    <w:p w:rsidR="00035613" w:rsidRPr="00865FE5" w:rsidRDefault="00035613" w:rsidP="005E613E">
      <w:pPr>
        <w:autoSpaceDE w:val="0"/>
        <w:autoSpaceDN w:val="0"/>
        <w:adjustRightInd w:val="0"/>
        <w:ind w:left="142" w:right="-851"/>
        <w:jc w:val="both"/>
      </w:pPr>
    </w:p>
    <w:p w:rsidR="00804B69" w:rsidRPr="00865FE5" w:rsidRDefault="00B13D73" w:rsidP="005E613E">
      <w:pPr>
        <w:autoSpaceDE w:val="0"/>
        <w:autoSpaceDN w:val="0"/>
        <w:adjustRightInd w:val="0"/>
        <w:ind w:left="142" w:right="-851"/>
        <w:jc w:val="both"/>
      </w:pPr>
      <w:r w:rsidRPr="00C96C16">
        <w:t>Les autres parties intér</w:t>
      </w:r>
      <w:r w:rsidR="002F4498" w:rsidRPr="00C96C16">
        <w:t>essées par le projet</w:t>
      </w:r>
      <w:r w:rsidR="002F4498" w:rsidRPr="00865FE5">
        <w:t xml:space="preserve"> sont : le ministère de l'agriculture et du développement rural développement et ses services et des directions régionales et nationale</w:t>
      </w:r>
      <w:r w:rsidRPr="00865FE5">
        <w:t xml:space="preserve">, les représentants des communautés locales : les autorités traditionnelles, les autorités locales (Mairies), les leaders religieux, </w:t>
      </w:r>
      <w:r w:rsidR="000D587E" w:rsidRPr="00865FE5">
        <w:t>les association</w:t>
      </w:r>
      <w:r w:rsidR="00D84E2A" w:rsidRPr="00865FE5">
        <w:t>s</w:t>
      </w:r>
      <w:r w:rsidR="000D587E" w:rsidRPr="00865FE5">
        <w:t xml:space="preserve"> des </w:t>
      </w:r>
      <w:r w:rsidR="00D84E2A" w:rsidRPr="00865FE5">
        <w:t>agriculteurs,</w:t>
      </w:r>
      <w:r w:rsidR="00310FE4" w:rsidRPr="00865FE5">
        <w:t xml:space="preserve"> </w:t>
      </w:r>
      <w:r w:rsidRPr="00865FE5">
        <w:t xml:space="preserve">les </w:t>
      </w:r>
      <w:r w:rsidR="00DF0C58" w:rsidRPr="00865FE5">
        <w:t>asso</w:t>
      </w:r>
      <w:r w:rsidR="000D587E" w:rsidRPr="00865FE5">
        <w:t xml:space="preserve">ciations </w:t>
      </w:r>
      <w:r w:rsidRPr="00865FE5">
        <w:t>des Jeunes et des Femmes, la société civiles (ONGs locales)</w:t>
      </w:r>
      <w:r w:rsidR="00516BF4" w:rsidRPr="00865FE5">
        <w:t xml:space="preserve">, </w:t>
      </w:r>
      <w:r w:rsidR="00C66FC8" w:rsidRPr="00865FE5">
        <w:t>les m</w:t>
      </w:r>
      <w:r w:rsidR="00516BF4" w:rsidRPr="00865FE5">
        <w:t>édias traditionnels et sociaux</w:t>
      </w:r>
      <w:r w:rsidR="00C66FC8" w:rsidRPr="00865FE5">
        <w:t>, les p</w:t>
      </w:r>
      <w:r w:rsidR="00986C80" w:rsidRPr="00865FE5">
        <w:t>artenaires de développement, les entreprises de cajou</w:t>
      </w:r>
      <w:r w:rsidR="00301F17" w:rsidRPr="00865FE5">
        <w:t xml:space="preserve">, </w:t>
      </w:r>
      <w:r w:rsidR="00653900" w:rsidRPr="00865FE5">
        <w:t>etc.</w:t>
      </w:r>
      <w:r w:rsidR="00301F17" w:rsidRPr="00865FE5">
        <w:t>.</w:t>
      </w:r>
      <w:r w:rsidRPr="00865FE5">
        <w:t xml:space="preserve">. Ces parties, particulièrement les représentants des communautés joueront un important rôle dans la sensibilisation et la mobilisation des communautés locales. Ces parties seront identifiées et impliquées dans le projet </w:t>
      </w:r>
      <w:r w:rsidR="00D84E2A" w:rsidRPr="00865FE5">
        <w:t xml:space="preserve">PUSA </w:t>
      </w:r>
      <w:r w:rsidRPr="00865FE5">
        <w:t xml:space="preserve">aussi à la phase de préparation que de mise en œuvre. </w:t>
      </w:r>
      <w:r w:rsidR="00D2032C" w:rsidRPr="00865FE5">
        <w:t>L’UC</w:t>
      </w:r>
      <w:r w:rsidR="00AE1883" w:rsidRPr="00865FE5">
        <w:t xml:space="preserve">P du Projet PUSA </w:t>
      </w:r>
      <w:r w:rsidRPr="00865FE5">
        <w:t xml:space="preserve">travaillera en étroite collaboration avec ces parties intéressées du projet. </w:t>
      </w:r>
    </w:p>
    <w:p w:rsidR="00804B69" w:rsidRPr="00865FE5" w:rsidRDefault="00804B69" w:rsidP="005E613E">
      <w:pPr>
        <w:autoSpaceDE w:val="0"/>
        <w:autoSpaceDN w:val="0"/>
        <w:adjustRightInd w:val="0"/>
        <w:ind w:left="142" w:right="-851"/>
        <w:jc w:val="both"/>
      </w:pPr>
    </w:p>
    <w:p w:rsidR="002E49EB" w:rsidRPr="00865FE5" w:rsidRDefault="00B13D73" w:rsidP="005E613E">
      <w:pPr>
        <w:autoSpaceDE w:val="0"/>
        <w:autoSpaceDN w:val="0"/>
        <w:adjustRightInd w:val="0"/>
        <w:ind w:left="142" w:right="-851"/>
        <w:jc w:val="both"/>
      </w:pPr>
      <w:r w:rsidRPr="00C96C16">
        <w:t>Méthodologie</w:t>
      </w:r>
      <w:r w:rsidRPr="00865FE5">
        <w:t xml:space="preserve"> : Pour une meilleure approche de bonne pratique dans le cadre de la mobilisation des parties prenantes le projet adoptera les principes suivants : </w:t>
      </w:r>
    </w:p>
    <w:p w:rsidR="002E49EB" w:rsidRPr="00865FE5" w:rsidRDefault="002E49EB" w:rsidP="005E613E">
      <w:pPr>
        <w:autoSpaceDE w:val="0"/>
        <w:autoSpaceDN w:val="0"/>
        <w:adjustRightInd w:val="0"/>
        <w:ind w:left="142" w:right="-851"/>
        <w:jc w:val="both"/>
      </w:pPr>
    </w:p>
    <w:p w:rsidR="0009648C" w:rsidRPr="00C96C16" w:rsidRDefault="00B13D73" w:rsidP="005E613E">
      <w:pPr>
        <w:autoSpaceDE w:val="0"/>
        <w:autoSpaceDN w:val="0"/>
        <w:adjustRightInd w:val="0"/>
        <w:ind w:left="142" w:right="-851"/>
        <w:jc w:val="both"/>
      </w:pPr>
      <w:r w:rsidRPr="00C96C16">
        <w:t xml:space="preserve">Organisation de consultations publiques ouvertes à toutes les communautés de la zone de mise en œuvre du projet permettant leur participation active et sans intimidation ou coercition. Des </w:t>
      </w:r>
      <w:r w:rsidR="002E2A3B" w:rsidRPr="00C96C16">
        <w:t>mesures</w:t>
      </w:r>
      <w:r w:rsidRPr="00C96C16">
        <w:t xml:space="preserve"> seront </w:t>
      </w:r>
      <w:r w:rsidR="00917124" w:rsidRPr="00C96C16">
        <w:t>fournies</w:t>
      </w:r>
      <w:r w:rsidRPr="00C96C16">
        <w:t xml:space="preserve"> concernant les protocoles </w:t>
      </w:r>
      <w:r w:rsidR="00C2293E" w:rsidRPr="00C96C16">
        <w:t xml:space="preserve">de sécurité pour </w:t>
      </w:r>
      <w:r w:rsidR="0009648C" w:rsidRPr="00C96C16">
        <w:t xml:space="preserve">éviter la propagation de la pandémie de la Covid 19 pendant ces </w:t>
      </w:r>
      <w:r w:rsidRPr="00C96C16">
        <w:t xml:space="preserve">consultations publiques. </w:t>
      </w:r>
    </w:p>
    <w:p w:rsidR="00272D94" w:rsidRPr="00C96C16" w:rsidRDefault="00B13D73" w:rsidP="005E613E">
      <w:pPr>
        <w:autoSpaceDE w:val="0"/>
        <w:autoSpaceDN w:val="0"/>
        <w:adjustRightInd w:val="0"/>
        <w:ind w:left="142" w:right="-851"/>
        <w:jc w:val="both"/>
      </w:pPr>
      <w:r w:rsidRPr="00C96C16">
        <w:t>Large diffusion de l’information et opportunités pour permettre à diverses parties prenantes d’émettre des avis, de soulever des problèmes dont une analyse de solution est menée avec elles. La diffusion de l’information devrait permettre également d’établir des relations positives entre les comm</w:t>
      </w:r>
      <w:r w:rsidR="00245445" w:rsidRPr="00C96C16">
        <w:t xml:space="preserve">unautés locales et le projet. </w:t>
      </w:r>
    </w:p>
    <w:p w:rsidR="00F40D7E" w:rsidRPr="00865FE5" w:rsidRDefault="00796002" w:rsidP="005E613E">
      <w:pPr>
        <w:autoSpaceDE w:val="0"/>
        <w:autoSpaceDN w:val="0"/>
        <w:adjustRightInd w:val="0"/>
        <w:ind w:left="142" w:right="-851"/>
        <w:jc w:val="both"/>
      </w:pPr>
      <w:r w:rsidRPr="00865FE5">
        <w:t xml:space="preserve">Pour </w:t>
      </w:r>
      <w:r w:rsidR="00027D08" w:rsidRPr="00865FE5">
        <w:t>réussir</w:t>
      </w:r>
      <w:r w:rsidRPr="00865FE5">
        <w:t xml:space="preserve"> une bonne mise en œuvre</w:t>
      </w:r>
      <w:r w:rsidR="00027D08" w:rsidRPr="00865FE5">
        <w:t xml:space="preserve"> du projet</w:t>
      </w:r>
      <w:r w:rsidRPr="00865FE5">
        <w:t xml:space="preserve">, il est </w:t>
      </w:r>
      <w:r w:rsidR="00027D08" w:rsidRPr="00865FE5">
        <w:t>nécessaire</w:t>
      </w:r>
      <w:r w:rsidRPr="00865FE5">
        <w:t xml:space="preserve"> de </w:t>
      </w:r>
      <w:r w:rsidR="00027D08" w:rsidRPr="00865FE5">
        <w:t>privilégier</w:t>
      </w:r>
      <w:r w:rsidRPr="00865FE5">
        <w:t xml:space="preserve"> une</w:t>
      </w:r>
      <w:r w:rsidR="00B13D73" w:rsidRPr="00865FE5">
        <w:t xml:space="preserve"> participation inclusive </w:t>
      </w:r>
      <w:r w:rsidR="00917124" w:rsidRPr="00865FE5">
        <w:t xml:space="preserve">tout en se </w:t>
      </w:r>
      <w:r w:rsidR="00B13D73" w:rsidRPr="00865FE5">
        <w:t>bas</w:t>
      </w:r>
      <w:r w:rsidR="00917124" w:rsidRPr="00865FE5">
        <w:t>ant</w:t>
      </w:r>
      <w:r w:rsidR="00B13D73" w:rsidRPr="00865FE5">
        <w:t xml:space="preserve"> sur l’accès égalitaire à l’information, avec une attention particulière aux groupes vulnérables</w:t>
      </w:r>
      <w:r w:rsidR="00917124" w:rsidRPr="00865FE5">
        <w:t xml:space="preserve">. </w:t>
      </w:r>
      <w:r w:rsidR="00027D08" w:rsidRPr="00865FE5">
        <w:t>L</w:t>
      </w:r>
      <w:r w:rsidR="00B13D73" w:rsidRPr="00865FE5">
        <w:t>a prise en compte des besoins s</w:t>
      </w:r>
      <w:r w:rsidR="00272D94" w:rsidRPr="00865FE5">
        <w:t xml:space="preserve">pécifiques de mobilisation et </w:t>
      </w:r>
      <w:r w:rsidR="00B13D73" w:rsidRPr="00865FE5">
        <w:t>de participation de chaque partie prenante</w:t>
      </w:r>
      <w:r w:rsidR="00917124" w:rsidRPr="00865FE5">
        <w:t xml:space="preserve"> est primordial</w:t>
      </w:r>
      <w:r w:rsidR="00027D08" w:rsidRPr="00865FE5">
        <w:t>e et</w:t>
      </w:r>
      <w:r w:rsidR="00B13D73" w:rsidRPr="00865FE5">
        <w:t xml:space="preserve"> particulièrement </w:t>
      </w:r>
      <w:r w:rsidR="00027D08" w:rsidRPr="00865FE5">
        <w:t xml:space="preserve">concernant </w:t>
      </w:r>
      <w:r w:rsidR="00B13D73" w:rsidRPr="00865FE5">
        <w:t xml:space="preserve">les femmes, les jeunes, les personnes âgées ainsi que la prise en compte de la spécificité culturelle des divers groupes ethniques. </w:t>
      </w:r>
    </w:p>
    <w:p w:rsidR="00F40D7E" w:rsidRPr="00865FE5" w:rsidRDefault="00F40D7E" w:rsidP="005E613E">
      <w:pPr>
        <w:autoSpaceDE w:val="0"/>
        <w:autoSpaceDN w:val="0"/>
        <w:adjustRightInd w:val="0"/>
        <w:ind w:left="142" w:right="-851"/>
        <w:jc w:val="both"/>
      </w:pPr>
    </w:p>
    <w:p w:rsidR="00F40D7E" w:rsidRPr="00865FE5" w:rsidRDefault="00B13D73" w:rsidP="005E613E">
      <w:pPr>
        <w:autoSpaceDE w:val="0"/>
        <w:autoSpaceDN w:val="0"/>
        <w:adjustRightInd w:val="0"/>
        <w:ind w:left="142" w:right="-851"/>
        <w:jc w:val="both"/>
      </w:pPr>
      <w:r w:rsidRPr="00865FE5">
        <w:t xml:space="preserve">Pour plus d’efficacité et de mobilisation adaptée aux différentes parties prenantes, celles-ci peuvent être divisées en catégories principales suivantes : </w:t>
      </w:r>
    </w:p>
    <w:p w:rsidR="00F40D7E" w:rsidRPr="00865FE5" w:rsidRDefault="00F40D7E" w:rsidP="005E613E">
      <w:pPr>
        <w:ind w:right="-851"/>
        <w:rPr>
          <w:rFonts w:eastAsia="Times New Roman"/>
        </w:rPr>
      </w:pPr>
    </w:p>
    <w:p w:rsidR="00F40D7E" w:rsidRPr="00865FE5" w:rsidRDefault="00B13D73" w:rsidP="005E613E">
      <w:pPr>
        <w:pStyle w:val="PargrafodaLista"/>
        <w:numPr>
          <w:ilvl w:val="1"/>
          <w:numId w:val="115"/>
        </w:numPr>
        <w:ind w:left="993" w:right="-851"/>
        <w:jc w:val="both"/>
        <w:rPr>
          <w:rFonts w:ascii="Times New Roman" w:eastAsia="Times New Roman" w:hAnsi="Times New Roman"/>
          <w:sz w:val="22"/>
          <w:szCs w:val="22"/>
        </w:rPr>
      </w:pPr>
      <w:r w:rsidRPr="00865FE5">
        <w:rPr>
          <w:rFonts w:ascii="Times New Roman" w:eastAsia="Times New Roman" w:hAnsi="Times New Roman"/>
          <w:sz w:val="22"/>
          <w:szCs w:val="22"/>
        </w:rPr>
        <w:t xml:space="preserve">Parties affectées : individus ou groupes d’individus se retrouvant dans la zone d’influence du projet </w:t>
      </w:r>
      <w:r w:rsidR="00F40D7E" w:rsidRPr="00865FE5">
        <w:rPr>
          <w:rFonts w:ascii="Times New Roman" w:eastAsia="Times New Roman" w:hAnsi="Times New Roman"/>
          <w:sz w:val="22"/>
          <w:szCs w:val="22"/>
        </w:rPr>
        <w:t xml:space="preserve">PUSA </w:t>
      </w:r>
      <w:r w:rsidRPr="00865FE5">
        <w:rPr>
          <w:rFonts w:ascii="Times New Roman" w:eastAsia="Times New Roman" w:hAnsi="Times New Roman"/>
          <w:sz w:val="22"/>
          <w:szCs w:val="22"/>
        </w:rPr>
        <w:t xml:space="preserve">qui pourraient être l’objet de mesures spécifiques pour leur mobilisation et la mitigation des risques du projet sur elles ; </w:t>
      </w:r>
    </w:p>
    <w:p w:rsidR="00F40D7E" w:rsidRPr="00865FE5" w:rsidRDefault="00B13D73" w:rsidP="005E613E">
      <w:pPr>
        <w:pStyle w:val="PargrafodaLista"/>
        <w:numPr>
          <w:ilvl w:val="1"/>
          <w:numId w:val="115"/>
        </w:numPr>
        <w:ind w:left="993" w:right="-851"/>
        <w:jc w:val="both"/>
        <w:rPr>
          <w:rFonts w:ascii="Times New Roman" w:eastAsia="Times New Roman" w:hAnsi="Times New Roman"/>
          <w:sz w:val="22"/>
          <w:szCs w:val="22"/>
        </w:rPr>
      </w:pPr>
      <w:r w:rsidRPr="00865FE5">
        <w:rPr>
          <w:rFonts w:ascii="Times New Roman" w:eastAsia="Times New Roman" w:hAnsi="Times New Roman"/>
          <w:sz w:val="22"/>
          <w:szCs w:val="22"/>
        </w:rPr>
        <w:t xml:space="preserve">Parties intéressées : individus, groupes ou entités qui ne sont pas directement affectés par le projet mais dont les intérêts peuvent être touchés par le projet ou qu’elles-mêmes peuvent constituer un frein dans le processus de mise en œuvre du projet. </w:t>
      </w:r>
    </w:p>
    <w:p w:rsidR="00DC4A5A" w:rsidRPr="00865FE5" w:rsidRDefault="00B13D73" w:rsidP="005E613E">
      <w:pPr>
        <w:pStyle w:val="PargrafodaLista"/>
        <w:numPr>
          <w:ilvl w:val="1"/>
          <w:numId w:val="115"/>
        </w:numPr>
        <w:ind w:left="993" w:right="-851"/>
        <w:jc w:val="both"/>
        <w:rPr>
          <w:rFonts w:ascii="Times New Roman" w:eastAsia="Times New Roman" w:hAnsi="Times New Roman"/>
          <w:sz w:val="22"/>
          <w:szCs w:val="22"/>
        </w:rPr>
      </w:pPr>
      <w:r w:rsidRPr="00865FE5">
        <w:rPr>
          <w:rFonts w:ascii="Times New Roman" w:eastAsia="Times New Roman" w:hAnsi="Times New Roman"/>
          <w:sz w:val="22"/>
          <w:szCs w:val="22"/>
        </w:rPr>
        <w:t xml:space="preserve">Les </w:t>
      </w:r>
      <w:r w:rsidR="00E04182">
        <w:rPr>
          <w:rFonts w:ascii="Times New Roman" w:eastAsia="Times New Roman" w:hAnsi="Times New Roman"/>
          <w:sz w:val="22"/>
          <w:szCs w:val="22"/>
        </w:rPr>
        <w:t>g</w:t>
      </w:r>
      <w:r w:rsidRPr="00865FE5">
        <w:rPr>
          <w:rFonts w:ascii="Times New Roman" w:eastAsia="Times New Roman" w:hAnsi="Times New Roman"/>
          <w:sz w:val="22"/>
          <w:szCs w:val="22"/>
        </w:rPr>
        <w:t xml:space="preserve">roupes vulnérables sont des personnes qui pourraient être disproportionnellement impactées par le projet en comparaison avec les autres groupes de personnes qui sont également affectées. Ceci exigera du projet </w:t>
      </w:r>
      <w:r w:rsidR="00DC4A5A" w:rsidRPr="00865FE5">
        <w:rPr>
          <w:rFonts w:ascii="Times New Roman" w:eastAsia="Times New Roman" w:hAnsi="Times New Roman"/>
          <w:sz w:val="22"/>
          <w:szCs w:val="22"/>
        </w:rPr>
        <w:t xml:space="preserve">PUSA </w:t>
      </w:r>
      <w:r w:rsidRPr="00865FE5">
        <w:rPr>
          <w:rFonts w:ascii="Times New Roman" w:eastAsia="Times New Roman" w:hAnsi="Times New Roman"/>
          <w:sz w:val="22"/>
          <w:szCs w:val="22"/>
        </w:rPr>
        <w:t xml:space="preserve">une prise en compte particulière de ces personnes durant les consultations et la participation aux activités du projet. </w:t>
      </w:r>
    </w:p>
    <w:p w:rsidR="00BC3D4C" w:rsidRPr="00865FE5" w:rsidRDefault="00BC3D4C" w:rsidP="005E613E">
      <w:pPr>
        <w:pStyle w:val="PargrafodaLista"/>
        <w:ind w:left="567" w:right="-851"/>
        <w:jc w:val="both"/>
        <w:rPr>
          <w:rFonts w:ascii="Times New Roman" w:eastAsia="Times New Roman" w:hAnsi="Times New Roman"/>
          <w:sz w:val="22"/>
          <w:szCs w:val="22"/>
        </w:rPr>
      </w:pPr>
    </w:p>
    <w:p w:rsidR="00DC4A5A" w:rsidRPr="00865FE5" w:rsidRDefault="00B13D73"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64" w:name="_Toc73459774"/>
      <w:r w:rsidRPr="00865FE5">
        <w:rPr>
          <w:rFonts w:ascii="Times New Roman" w:hAnsi="Times New Roman"/>
          <w:b/>
          <w:bCs/>
          <w:sz w:val="24"/>
          <w:szCs w:val="24"/>
        </w:rPr>
        <w:t>Programme de mobilisation des parties prenantes</w:t>
      </w:r>
      <w:bookmarkEnd w:id="364"/>
      <w:r w:rsidRPr="00865FE5">
        <w:rPr>
          <w:rFonts w:ascii="Times New Roman" w:hAnsi="Times New Roman"/>
          <w:b/>
          <w:bCs/>
          <w:sz w:val="24"/>
          <w:szCs w:val="24"/>
        </w:rPr>
        <w:t xml:space="preserve"> </w:t>
      </w:r>
    </w:p>
    <w:p w:rsidR="00077477" w:rsidRPr="00865FE5" w:rsidRDefault="00B13D73" w:rsidP="005E613E">
      <w:pPr>
        <w:autoSpaceDE w:val="0"/>
        <w:autoSpaceDN w:val="0"/>
        <w:adjustRightInd w:val="0"/>
        <w:ind w:left="142" w:right="-851"/>
        <w:jc w:val="both"/>
      </w:pPr>
      <w:r w:rsidRPr="00865FE5">
        <w:t>L’engagement des parties prenantes sera un processus continu et dynamique qui s’étendra sur la durée de vie du projet</w:t>
      </w:r>
      <w:r w:rsidR="00DC4A5A" w:rsidRPr="00865FE5">
        <w:t xml:space="preserve"> PUSA</w:t>
      </w:r>
      <w:r w:rsidRPr="00865FE5">
        <w:t xml:space="preserve">. Ce chapitre vise à décrire les types d’informations qui seront divulgués et leurs formats respectifs. Il s’agit également de déterminer les </w:t>
      </w:r>
      <w:r w:rsidR="00135C9A" w:rsidRPr="00865FE5">
        <w:t xml:space="preserve">meilleures </w:t>
      </w:r>
      <w:r w:rsidRPr="00865FE5">
        <w:t>méthodes qui seront utilisées pour véhiculer les informations, et surtout celles spécifiques qui seront utilisées à l’intention de chaque groupe identifié dans les sections précédentes.</w:t>
      </w:r>
    </w:p>
    <w:p w:rsidR="00B15370" w:rsidRPr="00865FE5" w:rsidRDefault="00B15370" w:rsidP="005E613E">
      <w:pPr>
        <w:autoSpaceDE w:val="0"/>
        <w:autoSpaceDN w:val="0"/>
        <w:adjustRightInd w:val="0"/>
        <w:ind w:left="142" w:right="-851"/>
        <w:jc w:val="both"/>
      </w:pPr>
      <w:bookmarkStart w:id="365" w:name="OLE_LINK5"/>
      <w:bookmarkStart w:id="366" w:name="OLE_LINK6"/>
      <w:r w:rsidRPr="00865FE5">
        <w:t>Dans toutes les stratégies de communication du projet PUSA, les questions relatives à l'impact des activités du projet sur les filles et les femmes seront abordées et en particulier sur les risques d'exploitation et d'abus sexuels ou de harcèlement sexuel (EAS/HS). Les filles et les femmes seront également informées du contenu du code de conduite et consultées sur les moyens sûrs et accessibles par lesquels les survivantes d'EAS/HS pourraient signaler une mauvaise conduite du personnel du projet, elles seront également informées des services disponibles pour les survivantes de la VBG dans leurs communautés. Veuillez noter que ces consultations NE DEVRAIENT JAMAIS essayer d'identifier les survivant(e)s de la violence, mais ils devraient viser à identifier les tendances et les défis généraux. Si une personne, pendant ou après la réunion de consultation, révèle la violence dont elle est victime, le facilitateur doit l’orienter vers le fournisseur de services de VBG le plus proche (les informations sur les services disponibles localement doivent être recueillies avant consultations).</w:t>
      </w:r>
      <w:bookmarkEnd w:id="365"/>
      <w:bookmarkEnd w:id="366"/>
    </w:p>
    <w:p w:rsidR="001F0D60" w:rsidRPr="00865FE5" w:rsidRDefault="001F0D60" w:rsidP="005E613E">
      <w:pPr>
        <w:ind w:left="-284" w:right="-851"/>
        <w:jc w:val="both"/>
      </w:pPr>
    </w:p>
    <w:p w:rsidR="00526E81" w:rsidRPr="00EB4634" w:rsidRDefault="00526E81" w:rsidP="00045EAE">
      <w:pPr>
        <w:pStyle w:val="PargrafodaLista"/>
        <w:numPr>
          <w:ilvl w:val="3"/>
          <w:numId w:val="198"/>
        </w:numPr>
        <w:spacing w:after="120" w:line="240" w:lineRule="auto"/>
        <w:ind w:left="2835" w:right="-851"/>
        <w:outlineLvl w:val="1"/>
        <w:rPr>
          <w:rFonts w:ascii="Times New Roman" w:hAnsi="Times New Roman"/>
          <w:sz w:val="24"/>
          <w:szCs w:val="24"/>
        </w:rPr>
      </w:pPr>
      <w:bookmarkStart w:id="367" w:name="_Toc73459775"/>
      <w:r w:rsidRPr="00865FE5">
        <w:rPr>
          <w:rFonts w:ascii="Times New Roman" w:hAnsi="Times New Roman"/>
          <w:b/>
          <w:bCs/>
          <w:sz w:val="24"/>
          <w:szCs w:val="24"/>
        </w:rPr>
        <w:t>Les besoins et méthodes, outils et techniques des parties prenantes du projet pour l'engagement des parties prenantes</w:t>
      </w:r>
      <w:bookmarkEnd w:id="367"/>
    </w:p>
    <w:p w:rsidR="00526E81" w:rsidRDefault="00526E81" w:rsidP="005E613E">
      <w:pPr>
        <w:autoSpaceDE w:val="0"/>
        <w:autoSpaceDN w:val="0"/>
        <w:adjustRightInd w:val="0"/>
        <w:ind w:left="142" w:right="-851"/>
        <w:jc w:val="both"/>
      </w:pPr>
      <w:r w:rsidRPr="00C96C16">
        <w:t>Le projet</w:t>
      </w:r>
      <w:r w:rsidR="00CD646A" w:rsidRPr="00C96C16">
        <w:t xml:space="preserve"> PUSA</w:t>
      </w:r>
      <w:r w:rsidRPr="00C96C16">
        <w:t xml:space="preserve"> soutiendra une campagne de communication, de mobilisation et d'engagement communautaire pour sensibiliser le public et sensibiliser le public à la prévention et au contrôle du COVID-19 au sein de la population générale. Il contribuera au renforcement des capacités des structures communautaires dans la promotion des messages de prévention des coronavirus. Le projet coordonnera et surveillera toutes les interventions de communication et le développement du matériel aux niveaux national et régional pendant la mise en œuvre.</w:t>
      </w:r>
    </w:p>
    <w:p w:rsidR="00045EAE" w:rsidRPr="00865FE5" w:rsidRDefault="00045EAE" w:rsidP="005E613E">
      <w:pPr>
        <w:autoSpaceDE w:val="0"/>
        <w:autoSpaceDN w:val="0"/>
        <w:adjustRightInd w:val="0"/>
        <w:ind w:left="142" w:right="-851"/>
        <w:jc w:val="both"/>
      </w:pPr>
    </w:p>
    <w:p w:rsidR="00526E81" w:rsidRPr="00865FE5" w:rsidRDefault="00526E81" w:rsidP="00045EAE">
      <w:pPr>
        <w:pStyle w:val="PargrafodaLista"/>
        <w:numPr>
          <w:ilvl w:val="3"/>
          <w:numId w:val="198"/>
        </w:numPr>
        <w:spacing w:after="120" w:line="240" w:lineRule="auto"/>
        <w:ind w:left="2835" w:right="-851"/>
        <w:outlineLvl w:val="1"/>
        <w:rPr>
          <w:rFonts w:ascii="Times New Roman" w:hAnsi="Times New Roman"/>
          <w:sz w:val="24"/>
          <w:szCs w:val="24"/>
        </w:rPr>
      </w:pPr>
      <w:bookmarkStart w:id="368" w:name="_Toc73459776"/>
      <w:r w:rsidRPr="00865FE5">
        <w:rPr>
          <w:rFonts w:ascii="Times New Roman" w:hAnsi="Times New Roman"/>
          <w:b/>
          <w:bCs/>
          <w:sz w:val="24"/>
          <w:szCs w:val="24"/>
        </w:rPr>
        <w:t>Proposition de stratégie de consultation</w:t>
      </w:r>
      <w:bookmarkEnd w:id="368"/>
    </w:p>
    <w:p w:rsidR="00526E81" w:rsidRPr="009C1D9E" w:rsidRDefault="00526E81" w:rsidP="005E613E">
      <w:pPr>
        <w:autoSpaceDE w:val="0"/>
        <w:autoSpaceDN w:val="0"/>
        <w:adjustRightInd w:val="0"/>
        <w:ind w:left="142" w:right="-851"/>
        <w:jc w:val="both"/>
      </w:pPr>
      <w:r w:rsidRPr="009C1D9E">
        <w:t xml:space="preserve">Le projet </w:t>
      </w:r>
      <w:r w:rsidR="00B262DB" w:rsidRPr="009C1D9E">
        <w:t xml:space="preserve">PUSA </w:t>
      </w:r>
      <w:r w:rsidRPr="009C1D9E">
        <w:t>veillera à ce que les activités soient inclusives et culturellement sensibles, en s'assurant que les groupes vulnérables décrits ci-dessus bénéficient également du projet. Dans le cadre de cet effort, le projet accordera la priorité à la communication en face à face, y compris la sensibilisation des ménages, les groupes de discussion et les consultations de village en utilisant différentes langues et images, si nécessaire. Le projet reconnaîtra que certains groupes (ex femmes, filles, minorités, personnes vivant avec un handicap, etc.) peuvent avoir des difficultés à participer aux activités d'engagement des parties prenantes en raison du genre et des normes sociales et planifiera donc des activités spécifiques et séparées pour de petits groupes divisés par sexe et âge et facilité par une personne du même sexe pour favoriser les échanges libres et ouverts.</w:t>
      </w:r>
    </w:p>
    <w:p w:rsidR="00526E81" w:rsidRPr="009C1D9E" w:rsidRDefault="00526E81" w:rsidP="005E613E">
      <w:pPr>
        <w:autoSpaceDE w:val="0"/>
        <w:autoSpaceDN w:val="0"/>
        <w:adjustRightInd w:val="0"/>
        <w:ind w:left="142" w:right="-851"/>
        <w:jc w:val="both"/>
      </w:pPr>
    </w:p>
    <w:p w:rsidR="00526E81" w:rsidRPr="009C1D9E" w:rsidRDefault="00526E81" w:rsidP="005E613E">
      <w:pPr>
        <w:autoSpaceDE w:val="0"/>
        <w:autoSpaceDN w:val="0"/>
        <w:adjustRightInd w:val="0"/>
        <w:ind w:left="142" w:right="-851"/>
        <w:jc w:val="both"/>
      </w:pPr>
      <w:r w:rsidRPr="009C1D9E">
        <w:t xml:space="preserve">Le projet </w:t>
      </w:r>
      <w:r w:rsidR="006D2FE7" w:rsidRPr="009C1D9E">
        <w:t xml:space="preserve">PUSA </w:t>
      </w:r>
      <w:r w:rsidRPr="009C1D9E">
        <w:t>informera et engagera les parties prenantes sur la performance environnementale et sociale du projet et la mise en œuvre du plan d'engagement des parties prenantes et du mécanisme de réclamation tout au long du projet. Les activités d'information et d'engagement comprendront des sujets liés à l'exploitation et aux abus sexuels (E</w:t>
      </w:r>
      <w:r w:rsidR="006F6BFB" w:rsidRPr="009C1D9E">
        <w:t>A</w:t>
      </w:r>
      <w:r w:rsidRPr="009C1D9E">
        <w:t>S), au harcèlement sexuel (SH) ou à d'autres types de violence basée sur le genre (VBG) qui pourraient être touchés par le projet ou la pandémie COVID-19; il informera les parties prenantes du contenu du code de conduite des travailleurs, des comportements inacceptables et des sanctions prévues, ainsi que des informations sur la manière de soulever des préoccupations et des plaintes concernant le projet, à quoi ressemblent les procédures de gestion des plaintes comme et quels services sont disponibles pour les survivants d</w:t>
      </w:r>
      <w:r w:rsidR="006F6BFB" w:rsidRPr="009C1D9E">
        <w:t>’EAS/HS.</w:t>
      </w:r>
    </w:p>
    <w:p w:rsidR="00526E81" w:rsidRPr="00865FE5" w:rsidRDefault="00526E81" w:rsidP="005E613E">
      <w:pPr>
        <w:autoSpaceDE w:val="0"/>
        <w:autoSpaceDN w:val="0"/>
        <w:adjustRightInd w:val="0"/>
        <w:ind w:left="142" w:right="-851"/>
        <w:jc w:val="both"/>
      </w:pPr>
    </w:p>
    <w:p w:rsidR="00EB02FB" w:rsidRPr="00865FE5" w:rsidRDefault="00B13D73"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69" w:name="_Toc73459777"/>
      <w:r w:rsidRPr="00865FE5">
        <w:rPr>
          <w:rFonts w:ascii="Times New Roman" w:hAnsi="Times New Roman"/>
          <w:b/>
          <w:bCs/>
          <w:sz w:val="24"/>
          <w:szCs w:val="24"/>
        </w:rPr>
        <w:t>Objectifs et calendrier de méthode de mobilisation</w:t>
      </w:r>
      <w:bookmarkEnd w:id="369"/>
    </w:p>
    <w:p w:rsidR="00EB02FB" w:rsidRPr="00865FE5" w:rsidRDefault="00B13D73" w:rsidP="005E613E">
      <w:pPr>
        <w:autoSpaceDE w:val="0"/>
        <w:autoSpaceDN w:val="0"/>
        <w:adjustRightInd w:val="0"/>
        <w:ind w:left="142" w:right="-851"/>
        <w:jc w:val="both"/>
      </w:pPr>
      <w:r w:rsidRPr="00865FE5">
        <w:t>Cette partie devra être mise à jour au fur et à mesure de l’avancement du projet</w:t>
      </w:r>
      <w:r w:rsidR="00EB02FB" w:rsidRPr="00865FE5">
        <w:t xml:space="preserve"> PUSA</w:t>
      </w:r>
      <w:r w:rsidRPr="00865FE5">
        <w:t xml:space="preserve">. Elle comprendra : </w:t>
      </w:r>
    </w:p>
    <w:p w:rsidR="00EB02FB" w:rsidRPr="00865FE5" w:rsidRDefault="00B13D73" w:rsidP="005E613E">
      <w:pPr>
        <w:pStyle w:val="PargrafodaLista"/>
        <w:numPr>
          <w:ilvl w:val="0"/>
          <w:numId w:val="32"/>
        </w:numPr>
        <w:ind w:right="-851"/>
        <w:jc w:val="both"/>
        <w:rPr>
          <w:rFonts w:ascii="Times New Roman" w:hAnsi="Times New Roman"/>
          <w:sz w:val="22"/>
          <w:szCs w:val="22"/>
        </w:rPr>
      </w:pPr>
      <w:r w:rsidRPr="00865FE5">
        <w:rPr>
          <w:rFonts w:ascii="Times New Roman" w:hAnsi="Times New Roman"/>
          <w:sz w:val="22"/>
          <w:szCs w:val="22"/>
        </w:rPr>
        <w:t xml:space="preserve">Un résumé des principaux objectifs du plan de mobilisation des parties prenantes ; </w:t>
      </w:r>
    </w:p>
    <w:p w:rsidR="00EB02FB" w:rsidRPr="00865FE5" w:rsidRDefault="00B13D73" w:rsidP="005E613E">
      <w:pPr>
        <w:pStyle w:val="PargrafodaLista"/>
        <w:numPr>
          <w:ilvl w:val="0"/>
          <w:numId w:val="32"/>
        </w:numPr>
        <w:ind w:right="-851"/>
        <w:jc w:val="both"/>
        <w:rPr>
          <w:rFonts w:ascii="Times New Roman" w:hAnsi="Times New Roman"/>
          <w:sz w:val="22"/>
          <w:szCs w:val="22"/>
        </w:rPr>
      </w:pPr>
      <w:r w:rsidRPr="00865FE5">
        <w:rPr>
          <w:rFonts w:ascii="Times New Roman" w:hAnsi="Times New Roman"/>
          <w:sz w:val="22"/>
          <w:szCs w:val="22"/>
        </w:rPr>
        <w:t xml:space="preserve">Un calendrier pour toutes les opérations liées au projet à travers ses composantes diverses. </w:t>
      </w:r>
    </w:p>
    <w:p w:rsidR="004B0C23" w:rsidRPr="00865FE5" w:rsidRDefault="00135C9A" w:rsidP="005E613E">
      <w:pPr>
        <w:autoSpaceDE w:val="0"/>
        <w:autoSpaceDN w:val="0"/>
        <w:adjustRightInd w:val="0"/>
        <w:ind w:left="142" w:right="-851"/>
        <w:jc w:val="both"/>
      </w:pPr>
      <w:r w:rsidRPr="00865FE5">
        <w:t>L’UC</w:t>
      </w:r>
      <w:r w:rsidR="00B13D73" w:rsidRPr="00865FE5">
        <w:t xml:space="preserve">P du projet </w:t>
      </w:r>
      <w:r w:rsidR="00286B6C" w:rsidRPr="00865FE5">
        <w:t xml:space="preserve">PUSA </w:t>
      </w:r>
      <w:r w:rsidR="00B13D73" w:rsidRPr="00865FE5">
        <w:t>mettra à jour le plan de mobilisation des parties prenantes, notamment afin de confirmer les rôles et responsabilités de</w:t>
      </w:r>
      <w:r w:rsidR="004B0C23" w:rsidRPr="00865FE5">
        <w:t>s différentes parties prenantes</w:t>
      </w:r>
      <w:r w:rsidR="00B13D73" w:rsidRPr="00865FE5">
        <w:t xml:space="preserve">. </w:t>
      </w:r>
    </w:p>
    <w:p w:rsidR="004B0C23" w:rsidRPr="00865FE5" w:rsidRDefault="004B0C23" w:rsidP="005E613E">
      <w:pPr>
        <w:ind w:right="-851"/>
        <w:rPr>
          <w:rFonts w:eastAsia="Times New Roman"/>
        </w:rPr>
      </w:pPr>
    </w:p>
    <w:p w:rsidR="004B0C23" w:rsidRPr="00865FE5" w:rsidRDefault="00B13D73"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70" w:name="_Toc73459778"/>
      <w:r w:rsidRPr="00865FE5">
        <w:rPr>
          <w:rFonts w:ascii="Times New Roman" w:hAnsi="Times New Roman"/>
          <w:b/>
          <w:bCs/>
          <w:sz w:val="24"/>
          <w:szCs w:val="24"/>
        </w:rPr>
        <w:t>Stratégie proposée pour la diffusion des informations</w:t>
      </w:r>
      <w:bookmarkEnd w:id="370"/>
      <w:r w:rsidRPr="00865FE5">
        <w:rPr>
          <w:rFonts w:ascii="Times New Roman" w:hAnsi="Times New Roman"/>
          <w:b/>
          <w:bCs/>
          <w:sz w:val="24"/>
          <w:szCs w:val="24"/>
        </w:rPr>
        <w:t xml:space="preserve"> </w:t>
      </w:r>
    </w:p>
    <w:p w:rsidR="00B13D73" w:rsidRPr="009C1D9E" w:rsidRDefault="00B13D73" w:rsidP="005E613E">
      <w:pPr>
        <w:autoSpaceDE w:val="0"/>
        <w:autoSpaceDN w:val="0"/>
        <w:adjustRightInd w:val="0"/>
        <w:ind w:left="142" w:right="-851"/>
        <w:jc w:val="both"/>
      </w:pPr>
      <w:r w:rsidRPr="009C1D9E">
        <w:t xml:space="preserve">Il s’agira </w:t>
      </w:r>
      <w:r w:rsidR="006663F3" w:rsidRPr="009C1D9E">
        <w:t>de :</w:t>
      </w:r>
    </w:p>
    <w:p w:rsidR="00EA3902" w:rsidRPr="00865FE5" w:rsidRDefault="00EA3902" w:rsidP="005E613E">
      <w:pPr>
        <w:pStyle w:val="PargrafodaLista"/>
        <w:numPr>
          <w:ilvl w:val="0"/>
          <w:numId w:val="32"/>
        </w:numPr>
        <w:ind w:right="-851"/>
        <w:jc w:val="both"/>
        <w:rPr>
          <w:rFonts w:ascii="Times New Roman" w:hAnsi="Times New Roman"/>
          <w:sz w:val="22"/>
          <w:szCs w:val="22"/>
        </w:rPr>
      </w:pPr>
      <w:r w:rsidRPr="00865FE5">
        <w:rPr>
          <w:rFonts w:ascii="Times New Roman" w:hAnsi="Times New Roman"/>
          <w:sz w:val="22"/>
          <w:szCs w:val="22"/>
        </w:rPr>
        <w:t>Décrire les informations qui seront communiquées ;</w:t>
      </w:r>
    </w:p>
    <w:p w:rsidR="00EA3902" w:rsidRPr="00865FE5" w:rsidRDefault="00EA3902" w:rsidP="005E613E">
      <w:pPr>
        <w:pStyle w:val="PargrafodaLista"/>
        <w:numPr>
          <w:ilvl w:val="0"/>
          <w:numId w:val="32"/>
        </w:numPr>
        <w:ind w:right="-851"/>
        <w:jc w:val="both"/>
        <w:rPr>
          <w:rFonts w:ascii="Times New Roman" w:hAnsi="Times New Roman"/>
          <w:sz w:val="22"/>
          <w:szCs w:val="22"/>
        </w:rPr>
      </w:pPr>
      <w:r w:rsidRPr="00865FE5">
        <w:rPr>
          <w:rFonts w:ascii="Times New Roman" w:hAnsi="Times New Roman"/>
          <w:sz w:val="22"/>
          <w:szCs w:val="22"/>
        </w:rPr>
        <w:t xml:space="preserve">Définir les formats de communication, et </w:t>
      </w:r>
    </w:p>
    <w:p w:rsidR="005C3EB7" w:rsidRPr="00865FE5" w:rsidRDefault="00EA3902" w:rsidP="005E613E">
      <w:pPr>
        <w:pStyle w:val="PargrafodaLista"/>
        <w:numPr>
          <w:ilvl w:val="0"/>
          <w:numId w:val="32"/>
        </w:numPr>
        <w:ind w:right="-851"/>
        <w:jc w:val="both"/>
        <w:rPr>
          <w:rFonts w:ascii="Times New Roman" w:hAnsi="Times New Roman"/>
          <w:sz w:val="22"/>
          <w:szCs w:val="22"/>
        </w:rPr>
      </w:pPr>
      <w:r w:rsidRPr="00865FE5">
        <w:rPr>
          <w:rFonts w:ascii="Times New Roman" w:hAnsi="Times New Roman"/>
          <w:sz w:val="22"/>
          <w:szCs w:val="22"/>
        </w:rPr>
        <w:t>Définir les modes de communication</w:t>
      </w:r>
      <w:r w:rsidR="005C3EB7" w:rsidRPr="00865FE5">
        <w:rPr>
          <w:rFonts w:ascii="Times New Roman" w:hAnsi="Times New Roman"/>
          <w:sz w:val="22"/>
          <w:szCs w:val="22"/>
        </w:rPr>
        <w:t>.</w:t>
      </w:r>
    </w:p>
    <w:p w:rsidR="005C3EB7" w:rsidRPr="00A05698" w:rsidRDefault="005C3EB7" w:rsidP="00045EAE">
      <w:pPr>
        <w:pStyle w:val="PargrafodaLista"/>
        <w:numPr>
          <w:ilvl w:val="3"/>
          <w:numId w:val="198"/>
        </w:numPr>
        <w:spacing w:after="120" w:line="240" w:lineRule="auto"/>
        <w:ind w:right="-851"/>
        <w:outlineLvl w:val="1"/>
        <w:rPr>
          <w:rFonts w:ascii="Times New Roman" w:hAnsi="Times New Roman"/>
          <w:b/>
          <w:bCs/>
          <w:sz w:val="24"/>
          <w:szCs w:val="24"/>
        </w:rPr>
      </w:pPr>
      <w:bookmarkStart w:id="371" w:name="_Toc73459779"/>
      <w:r w:rsidRPr="00A05698">
        <w:rPr>
          <w:rFonts w:ascii="Times New Roman" w:hAnsi="Times New Roman"/>
          <w:b/>
          <w:bCs/>
          <w:sz w:val="24"/>
          <w:szCs w:val="24"/>
        </w:rPr>
        <w:t>Méthodes de notification</w:t>
      </w:r>
      <w:bookmarkEnd w:id="371"/>
    </w:p>
    <w:p w:rsidR="005C3EB7" w:rsidRPr="00A05698" w:rsidRDefault="005C3EB7" w:rsidP="005E613E">
      <w:pPr>
        <w:autoSpaceDE w:val="0"/>
        <w:autoSpaceDN w:val="0"/>
        <w:adjustRightInd w:val="0"/>
        <w:ind w:left="142" w:right="-851"/>
        <w:jc w:val="both"/>
      </w:pPr>
      <w:r w:rsidRPr="00A05698">
        <w:t xml:space="preserve">Les méthodes de notification suivantes seront utilisées pour informer les parties prenantes au processus de mobilisation continu. </w:t>
      </w:r>
    </w:p>
    <w:p w:rsidR="00A2541C" w:rsidRPr="00A05698" w:rsidRDefault="00A2541C" w:rsidP="004F4212">
      <w:pPr>
        <w:rPr>
          <w:rFonts w:eastAsia="Times New Roman"/>
        </w:rPr>
      </w:pPr>
    </w:p>
    <w:tbl>
      <w:tblPr>
        <w:tblStyle w:val="Tabelacomgrelha"/>
        <w:tblW w:w="10491" w:type="dxa"/>
        <w:jc w:val="center"/>
        <w:tblLook w:val="04A0" w:firstRow="1" w:lastRow="0" w:firstColumn="1" w:lastColumn="0" w:noHBand="0" w:noVBand="1"/>
      </w:tblPr>
      <w:tblGrid>
        <w:gridCol w:w="1787"/>
        <w:gridCol w:w="8704"/>
      </w:tblGrid>
      <w:tr w:rsidR="00C92FAD" w:rsidRPr="00CF3BDE" w:rsidTr="00967003">
        <w:trPr>
          <w:trHeight w:val="55"/>
          <w:jc w:val="center"/>
        </w:trPr>
        <w:tc>
          <w:tcPr>
            <w:tcW w:w="1787" w:type="dxa"/>
            <w:shd w:val="clear" w:color="auto" w:fill="DEEAF6" w:themeFill="accent1" w:themeFillTint="33"/>
          </w:tcPr>
          <w:p w:rsidR="00B34292" w:rsidRPr="00CF3BDE" w:rsidRDefault="00B34292" w:rsidP="004F4212">
            <w:pPr>
              <w:keepNext/>
              <w:jc w:val="center"/>
              <w:outlineLvl w:val="1"/>
              <w:rPr>
                <w:b/>
                <w:sz w:val="21"/>
                <w:szCs w:val="21"/>
              </w:rPr>
            </w:pPr>
            <w:bookmarkStart w:id="372" w:name="_Toc62927821"/>
            <w:bookmarkStart w:id="373" w:name="_Toc63695063"/>
            <w:bookmarkStart w:id="374" w:name="_Toc67508541"/>
            <w:bookmarkStart w:id="375" w:name="_Toc73459780"/>
            <w:r w:rsidRPr="00CF3BDE">
              <w:rPr>
                <w:rFonts w:eastAsia="Times New Roman"/>
                <w:sz w:val="21"/>
                <w:szCs w:val="21"/>
              </w:rPr>
              <w:t>Technique de mobilisation</w:t>
            </w:r>
            <w:bookmarkEnd w:id="372"/>
            <w:bookmarkEnd w:id="373"/>
            <w:bookmarkEnd w:id="374"/>
            <w:bookmarkEnd w:id="375"/>
          </w:p>
        </w:tc>
        <w:tc>
          <w:tcPr>
            <w:tcW w:w="8704" w:type="dxa"/>
            <w:shd w:val="clear" w:color="auto" w:fill="DEEAF6" w:themeFill="accent1" w:themeFillTint="33"/>
            <w:vAlign w:val="center"/>
          </w:tcPr>
          <w:p w:rsidR="00B34292" w:rsidRPr="00CF3BDE" w:rsidRDefault="00B34292" w:rsidP="004F4212">
            <w:pPr>
              <w:keepNext/>
              <w:jc w:val="center"/>
              <w:outlineLvl w:val="1"/>
              <w:rPr>
                <w:b/>
                <w:sz w:val="21"/>
                <w:szCs w:val="21"/>
              </w:rPr>
            </w:pPr>
            <w:bookmarkStart w:id="376" w:name="_Toc62927822"/>
            <w:bookmarkStart w:id="377" w:name="_Toc63695064"/>
            <w:bookmarkStart w:id="378" w:name="_Toc67508542"/>
            <w:bookmarkStart w:id="379" w:name="_Toc73459781"/>
            <w:r w:rsidRPr="00CF3BDE">
              <w:rPr>
                <w:rFonts w:eastAsia="Times New Roman"/>
                <w:sz w:val="21"/>
                <w:szCs w:val="21"/>
              </w:rPr>
              <w:t>Application appropriée de la technique</w:t>
            </w:r>
            <w:bookmarkEnd w:id="376"/>
            <w:bookmarkEnd w:id="377"/>
            <w:bookmarkEnd w:id="378"/>
            <w:bookmarkEnd w:id="379"/>
          </w:p>
        </w:tc>
      </w:tr>
      <w:tr w:rsidR="00C92FAD" w:rsidRPr="00CF3BDE" w:rsidTr="00967003">
        <w:trPr>
          <w:jc w:val="center"/>
        </w:trPr>
        <w:tc>
          <w:tcPr>
            <w:tcW w:w="1787" w:type="dxa"/>
            <w:vAlign w:val="center"/>
          </w:tcPr>
          <w:p w:rsidR="00B34292" w:rsidRPr="00CF3BDE" w:rsidRDefault="00B34292" w:rsidP="004F4212">
            <w:pPr>
              <w:jc w:val="center"/>
              <w:rPr>
                <w:rFonts w:eastAsia="Times New Roman"/>
                <w:sz w:val="21"/>
                <w:szCs w:val="21"/>
              </w:rPr>
            </w:pPr>
            <w:r w:rsidRPr="00CF3BDE">
              <w:rPr>
                <w:rFonts w:eastAsia="Times New Roman"/>
                <w:sz w:val="21"/>
                <w:szCs w:val="21"/>
              </w:rPr>
              <w:t>Correspondances, mails, téléphones</w:t>
            </w:r>
          </w:p>
          <w:p w:rsidR="00B34292" w:rsidRPr="00CF3BDE" w:rsidRDefault="00B34292" w:rsidP="004F4212">
            <w:pPr>
              <w:keepNext/>
              <w:jc w:val="center"/>
              <w:outlineLvl w:val="1"/>
              <w:rPr>
                <w:b/>
                <w:sz w:val="21"/>
                <w:szCs w:val="21"/>
              </w:rPr>
            </w:pPr>
          </w:p>
        </w:tc>
        <w:tc>
          <w:tcPr>
            <w:tcW w:w="8704" w:type="dxa"/>
          </w:tcPr>
          <w:p w:rsidR="00B34292" w:rsidRPr="00CF3BDE" w:rsidRDefault="00AF5D6A" w:rsidP="004F4212">
            <w:pPr>
              <w:jc w:val="both"/>
              <w:rPr>
                <w:rFonts w:eastAsia="Times New Roman"/>
                <w:sz w:val="21"/>
                <w:szCs w:val="21"/>
              </w:rPr>
            </w:pPr>
            <w:r w:rsidRPr="00CF3BDE">
              <w:rPr>
                <w:rFonts w:eastAsia="Times New Roman"/>
                <w:sz w:val="21"/>
                <w:szCs w:val="21"/>
              </w:rPr>
              <w:t>Fournir des informations aux parties prenantes, notamment celles concernées (</w:t>
            </w:r>
            <w:r w:rsidR="00D57352" w:rsidRPr="00CF3BDE">
              <w:rPr>
                <w:rFonts w:eastAsia="Times New Roman"/>
                <w:sz w:val="21"/>
                <w:szCs w:val="21"/>
              </w:rPr>
              <w:t xml:space="preserve">ministère de l'agriculture et du développement rural développement et ses services et des directions régionales et nationale, les représentants des communautés locales : les autorités traditionnelles, les autorités locales (Mairies), les leaders religieux, les associations des agriculteurs, les associations des Jeunes et des Femmes, et la société civiles (ONGs locales), </w:t>
            </w:r>
            <w:r w:rsidRPr="00CF3BDE">
              <w:rPr>
                <w:rFonts w:eastAsia="Times New Roman"/>
                <w:sz w:val="21"/>
                <w:szCs w:val="21"/>
              </w:rPr>
              <w:t xml:space="preserve">etc. Inviter les parties prenantes aux réunions et au suivi tout en prenant en compte </w:t>
            </w:r>
            <w:r w:rsidR="00442310" w:rsidRPr="00CF3BDE">
              <w:rPr>
                <w:rFonts w:eastAsia="Times New Roman"/>
                <w:sz w:val="21"/>
                <w:szCs w:val="21"/>
              </w:rPr>
              <w:t>les protocoles de sécurité pour éviter la propagation de la pandémie de la Covid 19</w:t>
            </w:r>
            <w:r w:rsidR="004777F9" w:rsidRPr="00CF3BDE">
              <w:rPr>
                <w:rFonts w:eastAsia="Times New Roman"/>
                <w:sz w:val="21"/>
                <w:szCs w:val="21"/>
              </w:rPr>
              <w:t> ;</w:t>
            </w:r>
          </w:p>
        </w:tc>
      </w:tr>
      <w:tr w:rsidR="00C92FAD" w:rsidRPr="00CF3BDE" w:rsidTr="00967003">
        <w:trPr>
          <w:jc w:val="center"/>
        </w:trPr>
        <w:tc>
          <w:tcPr>
            <w:tcW w:w="1787" w:type="dxa"/>
            <w:vAlign w:val="center"/>
          </w:tcPr>
          <w:p w:rsidR="00AF5D6A" w:rsidRPr="00CF3BDE" w:rsidRDefault="00AF5D6A" w:rsidP="004F4212">
            <w:pPr>
              <w:jc w:val="center"/>
              <w:rPr>
                <w:rFonts w:eastAsia="Times New Roman"/>
                <w:sz w:val="21"/>
                <w:szCs w:val="21"/>
              </w:rPr>
            </w:pPr>
            <w:r w:rsidRPr="00CF3BDE">
              <w:rPr>
                <w:rFonts w:eastAsia="Times New Roman"/>
                <w:sz w:val="21"/>
                <w:szCs w:val="21"/>
              </w:rPr>
              <w:t>Réunions individuelles</w:t>
            </w:r>
          </w:p>
          <w:p w:rsidR="00B34292" w:rsidRPr="00CF3BDE" w:rsidRDefault="00B34292" w:rsidP="004F4212">
            <w:pPr>
              <w:keepNext/>
              <w:jc w:val="center"/>
              <w:outlineLvl w:val="1"/>
              <w:rPr>
                <w:b/>
                <w:sz w:val="21"/>
                <w:szCs w:val="21"/>
              </w:rPr>
            </w:pPr>
          </w:p>
        </w:tc>
        <w:tc>
          <w:tcPr>
            <w:tcW w:w="8704" w:type="dxa"/>
          </w:tcPr>
          <w:p w:rsidR="004777F9" w:rsidRPr="00CF3BDE" w:rsidRDefault="00AF5D6A" w:rsidP="004F4212">
            <w:pPr>
              <w:jc w:val="both"/>
              <w:rPr>
                <w:rFonts w:eastAsia="Times New Roman"/>
                <w:sz w:val="21"/>
                <w:szCs w:val="21"/>
              </w:rPr>
            </w:pPr>
            <w:r w:rsidRPr="00CF3BDE">
              <w:rPr>
                <w:rFonts w:eastAsia="Times New Roman"/>
                <w:sz w:val="21"/>
                <w:szCs w:val="21"/>
              </w:rPr>
              <w:t>Recherche d’opinions</w:t>
            </w:r>
            <w:r w:rsidR="00E36148" w:rsidRPr="00CF3BDE">
              <w:rPr>
                <w:rFonts w:eastAsia="Times New Roman"/>
                <w:sz w:val="21"/>
                <w:szCs w:val="21"/>
              </w:rPr>
              <w:t> ;</w:t>
            </w:r>
          </w:p>
          <w:p w:rsidR="00E36148" w:rsidRPr="00CF3BDE" w:rsidRDefault="00AF5D6A" w:rsidP="004F4212">
            <w:pPr>
              <w:jc w:val="both"/>
              <w:rPr>
                <w:rFonts w:eastAsia="Times New Roman"/>
                <w:sz w:val="21"/>
                <w:szCs w:val="21"/>
              </w:rPr>
            </w:pPr>
            <w:r w:rsidRPr="00CF3BDE">
              <w:rPr>
                <w:rFonts w:eastAsia="Times New Roman"/>
                <w:sz w:val="21"/>
                <w:szCs w:val="21"/>
              </w:rPr>
              <w:t>Permettre aux parties prenantes de parler librement des questions sensibles</w:t>
            </w:r>
            <w:r w:rsidR="00E36148" w:rsidRPr="00CF3BDE">
              <w:rPr>
                <w:rFonts w:eastAsia="Times New Roman"/>
                <w:sz w:val="21"/>
                <w:szCs w:val="21"/>
              </w:rPr>
              <w:t> ;</w:t>
            </w:r>
          </w:p>
          <w:p w:rsidR="00E36148" w:rsidRPr="00CF3BDE" w:rsidRDefault="00AF5D6A" w:rsidP="004F4212">
            <w:pPr>
              <w:jc w:val="both"/>
              <w:rPr>
                <w:rFonts w:eastAsia="Times New Roman"/>
                <w:sz w:val="21"/>
                <w:szCs w:val="21"/>
              </w:rPr>
            </w:pPr>
            <w:r w:rsidRPr="00CF3BDE">
              <w:rPr>
                <w:rFonts w:eastAsia="Times New Roman"/>
                <w:sz w:val="21"/>
                <w:szCs w:val="21"/>
              </w:rPr>
              <w:t>Construire des relations personnelles</w:t>
            </w:r>
            <w:r w:rsidR="00E36148" w:rsidRPr="00CF3BDE">
              <w:rPr>
                <w:rFonts w:eastAsia="Times New Roman"/>
                <w:sz w:val="21"/>
                <w:szCs w:val="21"/>
              </w:rPr>
              <w:t> ;</w:t>
            </w:r>
          </w:p>
          <w:p w:rsidR="00B34292" w:rsidRPr="00CF3BDE" w:rsidRDefault="00AF5D6A" w:rsidP="004F4212">
            <w:pPr>
              <w:jc w:val="both"/>
              <w:rPr>
                <w:rFonts w:eastAsia="Times New Roman"/>
                <w:sz w:val="21"/>
                <w:szCs w:val="21"/>
              </w:rPr>
            </w:pPr>
            <w:r w:rsidRPr="00CF3BDE">
              <w:rPr>
                <w:rFonts w:eastAsia="Times New Roman"/>
                <w:sz w:val="21"/>
                <w:szCs w:val="21"/>
              </w:rPr>
              <w:t>Enregistrer des réunions</w:t>
            </w:r>
            <w:r w:rsidR="00E36148" w:rsidRPr="00CF3BDE">
              <w:rPr>
                <w:rFonts w:eastAsia="Times New Roman"/>
                <w:sz w:val="21"/>
                <w:szCs w:val="21"/>
              </w:rPr>
              <w:t> ;</w:t>
            </w:r>
          </w:p>
        </w:tc>
      </w:tr>
      <w:tr w:rsidR="00C92FAD" w:rsidRPr="00CF3BDE" w:rsidTr="00967003">
        <w:trPr>
          <w:jc w:val="center"/>
        </w:trPr>
        <w:tc>
          <w:tcPr>
            <w:tcW w:w="1787" w:type="dxa"/>
            <w:vAlign w:val="center"/>
          </w:tcPr>
          <w:p w:rsidR="00AF5D6A" w:rsidRPr="00CF3BDE" w:rsidRDefault="00AF5D6A" w:rsidP="004F4212">
            <w:pPr>
              <w:jc w:val="center"/>
              <w:rPr>
                <w:rFonts w:eastAsia="Times New Roman"/>
                <w:sz w:val="21"/>
                <w:szCs w:val="21"/>
              </w:rPr>
            </w:pPr>
            <w:r w:rsidRPr="00CF3BDE">
              <w:rPr>
                <w:rFonts w:eastAsia="Times New Roman"/>
                <w:sz w:val="21"/>
                <w:szCs w:val="21"/>
              </w:rPr>
              <w:t>Réunions formelles</w:t>
            </w:r>
          </w:p>
          <w:p w:rsidR="00B34292" w:rsidRPr="00CF3BDE" w:rsidRDefault="00B34292" w:rsidP="004F4212">
            <w:pPr>
              <w:keepNext/>
              <w:jc w:val="center"/>
              <w:outlineLvl w:val="1"/>
              <w:rPr>
                <w:b/>
                <w:sz w:val="21"/>
                <w:szCs w:val="21"/>
              </w:rPr>
            </w:pPr>
          </w:p>
        </w:tc>
        <w:tc>
          <w:tcPr>
            <w:tcW w:w="8704" w:type="dxa"/>
          </w:tcPr>
          <w:p w:rsidR="00E36148" w:rsidRPr="00CF3BDE" w:rsidRDefault="00F26FB8" w:rsidP="004F4212">
            <w:pPr>
              <w:jc w:val="both"/>
              <w:rPr>
                <w:rFonts w:eastAsia="Times New Roman"/>
                <w:sz w:val="21"/>
                <w:szCs w:val="21"/>
              </w:rPr>
            </w:pPr>
            <w:r w:rsidRPr="00CF3BDE">
              <w:rPr>
                <w:rFonts w:eastAsia="Times New Roman"/>
                <w:sz w:val="21"/>
                <w:szCs w:val="21"/>
              </w:rPr>
              <w:t>Présenter les informations du projet</w:t>
            </w:r>
            <w:r w:rsidR="00E36148" w:rsidRPr="00CF3BDE">
              <w:rPr>
                <w:rFonts w:eastAsia="Times New Roman"/>
                <w:sz w:val="21"/>
                <w:szCs w:val="21"/>
              </w:rPr>
              <w:t xml:space="preserve"> PUSA</w:t>
            </w:r>
            <w:r w:rsidR="006B413F" w:rsidRPr="00CF3BDE">
              <w:rPr>
                <w:rFonts w:eastAsia="Times New Roman"/>
                <w:sz w:val="21"/>
                <w:szCs w:val="21"/>
              </w:rPr>
              <w:t xml:space="preserve"> à </w:t>
            </w:r>
            <w:r w:rsidR="00E85C94" w:rsidRPr="00CF3BDE">
              <w:rPr>
                <w:rFonts w:eastAsia="Times New Roman"/>
                <w:sz w:val="21"/>
                <w:szCs w:val="21"/>
              </w:rPr>
              <w:t>aux groupes</w:t>
            </w:r>
            <w:r w:rsidRPr="00CF3BDE">
              <w:rPr>
                <w:rFonts w:eastAsia="Times New Roman"/>
                <w:sz w:val="21"/>
                <w:szCs w:val="21"/>
              </w:rPr>
              <w:t xml:space="preserve"> de parties prenantes</w:t>
            </w:r>
            <w:r w:rsidR="00E36148" w:rsidRPr="00CF3BDE">
              <w:rPr>
                <w:rFonts w:eastAsia="Times New Roman"/>
                <w:sz w:val="21"/>
                <w:szCs w:val="21"/>
              </w:rPr>
              <w:t> ;</w:t>
            </w:r>
          </w:p>
          <w:p w:rsidR="00E36148" w:rsidRPr="00CF3BDE" w:rsidRDefault="00F26FB8" w:rsidP="004F4212">
            <w:pPr>
              <w:jc w:val="both"/>
              <w:rPr>
                <w:rFonts w:eastAsia="Times New Roman"/>
                <w:sz w:val="21"/>
                <w:szCs w:val="21"/>
              </w:rPr>
            </w:pPr>
            <w:r w:rsidRPr="00CF3BDE">
              <w:rPr>
                <w:rFonts w:eastAsia="Times New Roman"/>
                <w:sz w:val="21"/>
                <w:szCs w:val="21"/>
              </w:rPr>
              <w:t>Permettre au groupe de faire des commentaires qui seront consignés</w:t>
            </w:r>
            <w:r w:rsidR="00E36148" w:rsidRPr="00CF3BDE">
              <w:rPr>
                <w:rFonts w:eastAsia="Times New Roman"/>
                <w:sz w:val="21"/>
                <w:szCs w:val="21"/>
              </w:rPr>
              <w:t> ;</w:t>
            </w:r>
          </w:p>
          <w:p w:rsidR="00B34292" w:rsidRPr="00CF3BDE" w:rsidRDefault="00F26FB8" w:rsidP="004F4212">
            <w:pPr>
              <w:jc w:val="both"/>
              <w:rPr>
                <w:rFonts w:eastAsia="Times New Roman"/>
                <w:sz w:val="21"/>
                <w:szCs w:val="21"/>
              </w:rPr>
            </w:pPr>
            <w:r w:rsidRPr="00CF3BDE">
              <w:rPr>
                <w:rFonts w:eastAsia="Times New Roman"/>
                <w:sz w:val="21"/>
                <w:szCs w:val="21"/>
              </w:rPr>
              <w:t>Construire des relations impersonnelles avec les parties prenantes de haut niveau</w:t>
            </w:r>
            <w:r w:rsidR="00E36148" w:rsidRPr="00CF3BDE">
              <w:rPr>
                <w:rFonts w:eastAsia="Times New Roman"/>
                <w:sz w:val="21"/>
                <w:szCs w:val="21"/>
              </w:rPr>
              <w:t> ;</w:t>
            </w:r>
          </w:p>
        </w:tc>
      </w:tr>
      <w:tr w:rsidR="00C92FAD" w:rsidRPr="00CF3BDE" w:rsidTr="00967003">
        <w:trPr>
          <w:jc w:val="center"/>
        </w:trPr>
        <w:tc>
          <w:tcPr>
            <w:tcW w:w="1787" w:type="dxa"/>
            <w:vAlign w:val="center"/>
          </w:tcPr>
          <w:p w:rsidR="00F26FB8" w:rsidRPr="00CF3BDE" w:rsidRDefault="00F26FB8" w:rsidP="004F4212">
            <w:pPr>
              <w:jc w:val="center"/>
              <w:rPr>
                <w:rFonts w:eastAsia="Times New Roman"/>
                <w:sz w:val="21"/>
                <w:szCs w:val="21"/>
              </w:rPr>
            </w:pPr>
            <w:r w:rsidRPr="00CF3BDE">
              <w:rPr>
                <w:rFonts w:eastAsia="Times New Roman"/>
                <w:sz w:val="21"/>
                <w:szCs w:val="21"/>
              </w:rPr>
              <w:t>Réunions publiques</w:t>
            </w:r>
          </w:p>
          <w:p w:rsidR="00F26FB8" w:rsidRPr="00CF3BDE" w:rsidRDefault="00F26FB8" w:rsidP="004F4212">
            <w:pPr>
              <w:jc w:val="center"/>
              <w:rPr>
                <w:rFonts w:eastAsia="Times New Roman"/>
                <w:sz w:val="21"/>
                <w:szCs w:val="21"/>
              </w:rPr>
            </w:pPr>
          </w:p>
        </w:tc>
        <w:tc>
          <w:tcPr>
            <w:tcW w:w="8704" w:type="dxa"/>
          </w:tcPr>
          <w:p w:rsidR="006B413F" w:rsidRPr="00CF3BDE" w:rsidRDefault="00F26FB8" w:rsidP="004F4212">
            <w:pPr>
              <w:jc w:val="both"/>
              <w:rPr>
                <w:rFonts w:eastAsia="Times New Roman"/>
                <w:sz w:val="21"/>
                <w:szCs w:val="21"/>
              </w:rPr>
            </w:pPr>
            <w:r w:rsidRPr="00CF3BDE">
              <w:rPr>
                <w:rFonts w:eastAsia="Times New Roman"/>
                <w:sz w:val="21"/>
                <w:szCs w:val="21"/>
              </w:rPr>
              <w:t xml:space="preserve">Présenter les informations du projet </w:t>
            </w:r>
            <w:r w:rsidR="006B413F" w:rsidRPr="00CF3BDE">
              <w:rPr>
                <w:rFonts w:eastAsia="Times New Roman"/>
                <w:sz w:val="21"/>
                <w:szCs w:val="21"/>
              </w:rPr>
              <w:t>PUSA aux</w:t>
            </w:r>
            <w:r w:rsidRPr="00CF3BDE">
              <w:rPr>
                <w:rFonts w:eastAsia="Times New Roman"/>
                <w:sz w:val="21"/>
                <w:szCs w:val="21"/>
              </w:rPr>
              <w:t xml:space="preserve"> groupe</w:t>
            </w:r>
            <w:r w:rsidR="006B413F" w:rsidRPr="00CF3BDE">
              <w:rPr>
                <w:rFonts w:eastAsia="Times New Roman"/>
                <w:sz w:val="21"/>
                <w:szCs w:val="21"/>
              </w:rPr>
              <w:t>s</w:t>
            </w:r>
            <w:r w:rsidRPr="00CF3BDE">
              <w:rPr>
                <w:rFonts w:eastAsia="Times New Roman"/>
                <w:sz w:val="21"/>
                <w:szCs w:val="21"/>
              </w:rPr>
              <w:t xml:space="preserve"> de parties prenantes, en particulier les communautés locales</w:t>
            </w:r>
            <w:r w:rsidR="006B413F" w:rsidRPr="00CF3BDE">
              <w:rPr>
                <w:rFonts w:eastAsia="Times New Roman"/>
                <w:sz w:val="21"/>
                <w:szCs w:val="21"/>
              </w:rPr>
              <w:t> ;</w:t>
            </w:r>
          </w:p>
          <w:p w:rsidR="006B413F" w:rsidRPr="00CF3BDE" w:rsidRDefault="00F26FB8" w:rsidP="004F4212">
            <w:pPr>
              <w:jc w:val="both"/>
              <w:rPr>
                <w:rFonts w:eastAsia="Times New Roman"/>
                <w:sz w:val="21"/>
                <w:szCs w:val="21"/>
              </w:rPr>
            </w:pPr>
            <w:r w:rsidRPr="00CF3BDE">
              <w:rPr>
                <w:rFonts w:eastAsia="Times New Roman"/>
                <w:sz w:val="21"/>
                <w:szCs w:val="21"/>
              </w:rPr>
              <w:t>Permettre au</w:t>
            </w:r>
            <w:r w:rsidR="006B413F" w:rsidRPr="00CF3BDE">
              <w:rPr>
                <w:rFonts w:eastAsia="Times New Roman"/>
                <w:sz w:val="21"/>
                <w:szCs w:val="21"/>
              </w:rPr>
              <w:t>x</w:t>
            </w:r>
            <w:r w:rsidRPr="00CF3BDE">
              <w:rPr>
                <w:rFonts w:eastAsia="Times New Roman"/>
                <w:sz w:val="21"/>
                <w:szCs w:val="21"/>
              </w:rPr>
              <w:t xml:space="preserve"> groupe</w:t>
            </w:r>
            <w:r w:rsidR="006B413F" w:rsidRPr="00CF3BDE">
              <w:rPr>
                <w:rFonts w:eastAsia="Times New Roman"/>
                <w:sz w:val="21"/>
                <w:szCs w:val="21"/>
              </w:rPr>
              <w:t>s de faire des commentaires qui</w:t>
            </w:r>
            <w:r w:rsidRPr="00CF3BDE">
              <w:rPr>
                <w:rFonts w:eastAsia="Times New Roman"/>
                <w:sz w:val="21"/>
                <w:szCs w:val="21"/>
              </w:rPr>
              <w:t xml:space="preserve"> seront consignés</w:t>
            </w:r>
            <w:r w:rsidR="006B413F" w:rsidRPr="00CF3BDE">
              <w:rPr>
                <w:rFonts w:eastAsia="Times New Roman"/>
                <w:sz w:val="21"/>
                <w:szCs w:val="21"/>
              </w:rPr>
              <w:t> ;</w:t>
            </w:r>
          </w:p>
          <w:p w:rsidR="00E85C94" w:rsidRPr="00CF3BDE" w:rsidRDefault="00F26FB8" w:rsidP="004F4212">
            <w:pPr>
              <w:jc w:val="both"/>
              <w:rPr>
                <w:rFonts w:eastAsia="Times New Roman"/>
                <w:sz w:val="21"/>
                <w:szCs w:val="21"/>
              </w:rPr>
            </w:pPr>
            <w:r w:rsidRPr="00CF3BDE">
              <w:rPr>
                <w:rFonts w:eastAsia="Times New Roman"/>
                <w:sz w:val="21"/>
                <w:szCs w:val="21"/>
              </w:rPr>
              <w:t>Construire des relations avec les communautés, en particulier celles affectées par le projet</w:t>
            </w:r>
            <w:r w:rsidR="00E85C94" w:rsidRPr="00CF3BDE">
              <w:rPr>
                <w:rFonts w:eastAsia="Times New Roman"/>
                <w:sz w:val="21"/>
                <w:szCs w:val="21"/>
              </w:rPr>
              <w:t> ;</w:t>
            </w:r>
          </w:p>
          <w:p w:rsidR="00E85C94" w:rsidRPr="00CF3BDE" w:rsidRDefault="00F26FB8" w:rsidP="004F4212">
            <w:pPr>
              <w:jc w:val="both"/>
              <w:rPr>
                <w:rFonts w:eastAsia="Times New Roman"/>
                <w:sz w:val="21"/>
                <w:szCs w:val="21"/>
              </w:rPr>
            </w:pPr>
            <w:r w:rsidRPr="00CF3BDE">
              <w:rPr>
                <w:rFonts w:eastAsia="Times New Roman"/>
                <w:sz w:val="21"/>
                <w:szCs w:val="21"/>
              </w:rPr>
              <w:t>Construire des relations particulières avec les personnes vulnérables issues des communautés affectées par le projet</w:t>
            </w:r>
            <w:r w:rsidR="00E85C94" w:rsidRPr="00CF3BDE">
              <w:rPr>
                <w:rFonts w:eastAsia="Times New Roman"/>
                <w:sz w:val="21"/>
                <w:szCs w:val="21"/>
              </w:rPr>
              <w:t> ;</w:t>
            </w:r>
          </w:p>
          <w:p w:rsidR="00E85C94" w:rsidRPr="00CF3BDE" w:rsidRDefault="00F26FB8" w:rsidP="004F4212">
            <w:pPr>
              <w:jc w:val="both"/>
              <w:rPr>
                <w:rFonts w:eastAsia="Times New Roman"/>
                <w:sz w:val="21"/>
                <w:szCs w:val="21"/>
              </w:rPr>
            </w:pPr>
            <w:r w:rsidRPr="00CF3BDE">
              <w:rPr>
                <w:rFonts w:eastAsia="Times New Roman"/>
                <w:sz w:val="21"/>
                <w:szCs w:val="21"/>
              </w:rPr>
              <w:t>Fournir des informations non techniques</w:t>
            </w:r>
            <w:r w:rsidR="00E85C94" w:rsidRPr="00CF3BDE">
              <w:rPr>
                <w:rFonts w:eastAsia="Times New Roman"/>
                <w:sz w:val="21"/>
                <w:szCs w:val="21"/>
              </w:rPr>
              <w:t> ;</w:t>
            </w:r>
          </w:p>
          <w:p w:rsidR="00D442A4" w:rsidRPr="00CF3BDE" w:rsidRDefault="00F26FB8" w:rsidP="004F4212">
            <w:pPr>
              <w:jc w:val="both"/>
              <w:rPr>
                <w:rFonts w:eastAsia="Times New Roman"/>
                <w:sz w:val="21"/>
                <w:szCs w:val="21"/>
              </w:rPr>
            </w:pPr>
            <w:r w:rsidRPr="00CF3BDE">
              <w:rPr>
                <w:rFonts w:eastAsia="Times New Roman"/>
                <w:sz w:val="21"/>
                <w:szCs w:val="21"/>
              </w:rPr>
              <w:t>Faciliter les réunions avec des présentations en POWER POINT, affiches, etc.</w:t>
            </w:r>
            <w:r w:rsidR="00D442A4" w:rsidRPr="00CF3BDE">
              <w:rPr>
                <w:rFonts w:eastAsia="Times New Roman"/>
                <w:sz w:val="21"/>
                <w:szCs w:val="21"/>
              </w:rPr>
              <w:t> ;</w:t>
            </w:r>
          </w:p>
          <w:p w:rsidR="00D442A4" w:rsidRPr="00CF3BDE" w:rsidRDefault="00F26FB8" w:rsidP="004F4212">
            <w:pPr>
              <w:jc w:val="both"/>
              <w:rPr>
                <w:rFonts w:eastAsia="Times New Roman"/>
                <w:sz w:val="21"/>
                <w:szCs w:val="21"/>
              </w:rPr>
            </w:pPr>
            <w:r w:rsidRPr="00CF3BDE">
              <w:rPr>
                <w:rFonts w:eastAsia="Times New Roman"/>
                <w:sz w:val="21"/>
                <w:szCs w:val="21"/>
              </w:rPr>
              <w:t>Reportage de discussions, des commentaires et des questions</w:t>
            </w:r>
            <w:r w:rsidR="00D442A4" w:rsidRPr="00CF3BDE">
              <w:rPr>
                <w:rFonts w:eastAsia="Times New Roman"/>
                <w:sz w:val="21"/>
                <w:szCs w:val="21"/>
              </w:rPr>
              <w:t> ;</w:t>
            </w:r>
          </w:p>
          <w:p w:rsidR="00F26FB8" w:rsidRPr="00CF3BDE" w:rsidRDefault="00F26FB8" w:rsidP="004F4212">
            <w:pPr>
              <w:jc w:val="both"/>
              <w:rPr>
                <w:rFonts w:eastAsia="Times New Roman"/>
                <w:sz w:val="21"/>
                <w:szCs w:val="21"/>
              </w:rPr>
            </w:pPr>
            <w:r w:rsidRPr="00CF3BDE">
              <w:rPr>
                <w:rFonts w:eastAsia="Times New Roman"/>
                <w:sz w:val="21"/>
                <w:szCs w:val="21"/>
              </w:rPr>
              <w:t>Pour des mesures de prévention de la contamination au COVID-19, des mesures seront prises pour éviter, minimiser les rassemblements publics tels que les réunions communautaires, les séminaires et ateliers en se conformant aux règles nationales de préventions et conseils dans ce domaine.</w:t>
            </w:r>
          </w:p>
        </w:tc>
      </w:tr>
      <w:tr w:rsidR="00C92FAD" w:rsidRPr="00CF3BDE" w:rsidTr="00967003">
        <w:trPr>
          <w:jc w:val="center"/>
        </w:trPr>
        <w:tc>
          <w:tcPr>
            <w:tcW w:w="1787" w:type="dxa"/>
            <w:vAlign w:val="center"/>
          </w:tcPr>
          <w:p w:rsidR="00F26FB8" w:rsidRPr="00CF3BDE" w:rsidRDefault="00F26FB8" w:rsidP="004F4212">
            <w:pPr>
              <w:jc w:val="center"/>
              <w:rPr>
                <w:rFonts w:eastAsia="Times New Roman"/>
                <w:sz w:val="21"/>
                <w:szCs w:val="21"/>
              </w:rPr>
            </w:pPr>
            <w:r w:rsidRPr="00CF3BDE">
              <w:rPr>
                <w:rFonts w:eastAsia="Times New Roman"/>
                <w:sz w:val="21"/>
                <w:szCs w:val="21"/>
              </w:rPr>
              <w:t>Réunions de groupes de discussion</w:t>
            </w:r>
          </w:p>
          <w:p w:rsidR="00F26FB8" w:rsidRPr="00CF3BDE" w:rsidRDefault="00F26FB8" w:rsidP="004F4212">
            <w:pPr>
              <w:jc w:val="center"/>
              <w:rPr>
                <w:rFonts w:eastAsia="Times New Roman"/>
                <w:sz w:val="21"/>
                <w:szCs w:val="21"/>
              </w:rPr>
            </w:pPr>
          </w:p>
        </w:tc>
        <w:tc>
          <w:tcPr>
            <w:tcW w:w="8704" w:type="dxa"/>
          </w:tcPr>
          <w:p w:rsidR="00A2541C" w:rsidRPr="00CF3BDE" w:rsidRDefault="00A824E6" w:rsidP="004F4212">
            <w:pPr>
              <w:jc w:val="both"/>
              <w:rPr>
                <w:rFonts w:eastAsia="Times New Roman"/>
                <w:sz w:val="21"/>
                <w:szCs w:val="21"/>
              </w:rPr>
            </w:pPr>
            <w:r w:rsidRPr="00CF3BDE">
              <w:rPr>
                <w:rFonts w:eastAsia="Times New Roman"/>
                <w:sz w:val="21"/>
                <w:szCs w:val="21"/>
              </w:rPr>
              <w:t xml:space="preserve">Présenter les informations du projet </w:t>
            </w:r>
            <w:r w:rsidR="00D442A4" w:rsidRPr="00CF3BDE">
              <w:rPr>
                <w:rFonts w:eastAsia="Times New Roman"/>
                <w:sz w:val="21"/>
                <w:szCs w:val="21"/>
              </w:rPr>
              <w:t>PUSA aux</w:t>
            </w:r>
            <w:r w:rsidRPr="00CF3BDE">
              <w:rPr>
                <w:rFonts w:eastAsia="Times New Roman"/>
                <w:sz w:val="21"/>
                <w:szCs w:val="21"/>
              </w:rPr>
              <w:t xml:space="preserve"> groupe</w:t>
            </w:r>
            <w:r w:rsidR="00D442A4" w:rsidRPr="00CF3BDE">
              <w:rPr>
                <w:rFonts w:eastAsia="Times New Roman"/>
                <w:sz w:val="21"/>
                <w:szCs w:val="21"/>
              </w:rPr>
              <w:t>s</w:t>
            </w:r>
            <w:r w:rsidRPr="00CF3BDE">
              <w:rPr>
                <w:rFonts w:eastAsia="Times New Roman"/>
                <w:sz w:val="21"/>
                <w:szCs w:val="21"/>
              </w:rPr>
              <w:t xml:space="preserve"> de parties prenantes, en part</w:t>
            </w:r>
            <w:r w:rsidR="00A2541C" w:rsidRPr="00CF3BDE">
              <w:rPr>
                <w:rFonts w:eastAsia="Times New Roman"/>
                <w:sz w:val="21"/>
                <w:szCs w:val="21"/>
              </w:rPr>
              <w:t>iculier les communautés locales ;</w:t>
            </w:r>
          </w:p>
          <w:p w:rsidR="00A2541C" w:rsidRPr="00CF3BDE" w:rsidRDefault="00A824E6" w:rsidP="004F4212">
            <w:pPr>
              <w:jc w:val="both"/>
              <w:rPr>
                <w:rFonts w:eastAsia="Times New Roman"/>
                <w:sz w:val="21"/>
                <w:szCs w:val="21"/>
              </w:rPr>
            </w:pPr>
            <w:r w:rsidRPr="00CF3BDE">
              <w:rPr>
                <w:rFonts w:eastAsia="Times New Roman"/>
                <w:sz w:val="21"/>
                <w:szCs w:val="21"/>
              </w:rPr>
              <w:t>Permettre au groupe de faire des commentaires et donner leurs avis qui seront reportés</w:t>
            </w:r>
            <w:r w:rsidR="00A2541C" w:rsidRPr="00CF3BDE">
              <w:rPr>
                <w:rFonts w:eastAsia="Times New Roman"/>
                <w:sz w:val="21"/>
                <w:szCs w:val="21"/>
              </w:rPr>
              <w:t> ;</w:t>
            </w:r>
          </w:p>
          <w:p w:rsidR="00A2541C" w:rsidRPr="00CF3BDE" w:rsidRDefault="00A824E6" w:rsidP="004F4212">
            <w:pPr>
              <w:jc w:val="both"/>
              <w:rPr>
                <w:rFonts w:eastAsia="Times New Roman"/>
                <w:sz w:val="21"/>
                <w:szCs w:val="21"/>
              </w:rPr>
            </w:pPr>
            <w:r w:rsidRPr="00CF3BDE">
              <w:rPr>
                <w:rFonts w:eastAsia="Times New Roman"/>
                <w:sz w:val="21"/>
                <w:szCs w:val="21"/>
              </w:rPr>
              <w:t>Construire des relations avec les communautés</w:t>
            </w:r>
            <w:r w:rsidR="00A2541C" w:rsidRPr="00CF3BDE">
              <w:rPr>
                <w:rFonts w:eastAsia="Times New Roman"/>
                <w:sz w:val="21"/>
                <w:szCs w:val="21"/>
              </w:rPr>
              <w:t> ;</w:t>
            </w:r>
          </w:p>
          <w:p w:rsidR="00F26FB8" w:rsidRPr="00CF3BDE" w:rsidRDefault="00A824E6" w:rsidP="004F4212">
            <w:pPr>
              <w:jc w:val="both"/>
              <w:rPr>
                <w:rFonts w:eastAsia="Times New Roman"/>
                <w:sz w:val="21"/>
                <w:szCs w:val="21"/>
              </w:rPr>
            </w:pPr>
            <w:r w:rsidRPr="00CF3BDE">
              <w:rPr>
                <w:rFonts w:eastAsia="Times New Roman"/>
                <w:sz w:val="21"/>
                <w:szCs w:val="21"/>
              </w:rPr>
              <w:t>Reporter les réponses aux différentes questions</w:t>
            </w:r>
            <w:r w:rsidR="00A2541C" w:rsidRPr="00CF3BDE">
              <w:rPr>
                <w:rFonts w:eastAsia="Times New Roman"/>
                <w:sz w:val="21"/>
                <w:szCs w:val="21"/>
              </w:rPr>
              <w:t> ;</w:t>
            </w:r>
          </w:p>
        </w:tc>
      </w:tr>
      <w:tr w:rsidR="00C92FAD" w:rsidRPr="00CF3BDE" w:rsidTr="00967003">
        <w:trPr>
          <w:jc w:val="center"/>
        </w:trPr>
        <w:tc>
          <w:tcPr>
            <w:tcW w:w="1787" w:type="dxa"/>
            <w:vAlign w:val="center"/>
          </w:tcPr>
          <w:p w:rsidR="00F26FB8" w:rsidRPr="00CF3BDE" w:rsidRDefault="00A824E6" w:rsidP="004F4212">
            <w:pPr>
              <w:jc w:val="center"/>
              <w:rPr>
                <w:rFonts w:eastAsia="Times New Roman"/>
                <w:sz w:val="21"/>
                <w:szCs w:val="21"/>
              </w:rPr>
            </w:pPr>
            <w:r w:rsidRPr="00CF3BDE">
              <w:rPr>
                <w:rFonts w:eastAsia="Times New Roman"/>
                <w:sz w:val="21"/>
                <w:szCs w:val="21"/>
              </w:rPr>
              <w:t>Site WEB du projet</w:t>
            </w:r>
          </w:p>
        </w:tc>
        <w:tc>
          <w:tcPr>
            <w:tcW w:w="8704" w:type="dxa"/>
          </w:tcPr>
          <w:p w:rsidR="00F26FB8" w:rsidRPr="00CF3BDE" w:rsidRDefault="00A824E6" w:rsidP="004F4212">
            <w:pPr>
              <w:rPr>
                <w:rFonts w:eastAsia="Times New Roman"/>
                <w:sz w:val="21"/>
                <w:szCs w:val="21"/>
              </w:rPr>
            </w:pPr>
            <w:r w:rsidRPr="00CF3BDE">
              <w:rPr>
                <w:rFonts w:eastAsia="Times New Roman"/>
                <w:sz w:val="21"/>
                <w:szCs w:val="21"/>
              </w:rPr>
              <w:t xml:space="preserve">Présenter des informations sur le projet </w:t>
            </w:r>
            <w:r w:rsidR="00A2541C" w:rsidRPr="00CF3BDE">
              <w:rPr>
                <w:rFonts w:eastAsia="Times New Roman"/>
                <w:sz w:val="21"/>
                <w:szCs w:val="21"/>
              </w:rPr>
              <w:t xml:space="preserve">PUSA </w:t>
            </w:r>
            <w:r w:rsidRPr="00CF3BDE">
              <w:rPr>
                <w:rFonts w:eastAsia="Times New Roman"/>
                <w:sz w:val="21"/>
                <w:szCs w:val="21"/>
              </w:rPr>
              <w:t>et les mises à jour de l’avancement</w:t>
            </w:r>
          </w:p>
        </w:tc>
      </w:tr>
    </w:tbl>
    <w:p w:rsidR="005C0E4F" w:rsidRDefault="005C0E4F" w:rsidP="004F4212">
      <w:pPr>
        <w:rPr>
          <w:rFonts w:eastAsia="Times New Roman"/>
        </w:rPr>
      </w:pPr>
    </w:p>
    <w:p w:rsidR="007E3180" w:rsidRPr="00083B97" w:rsidRDefault="007E3180" w:rsidP="00045EAE">
      <w:pPr>
        <w:pStyle w:val="PargrafodaLista"/>
        <w:numPr>
          <w:ilvl w:val="2"/>
          <w:numId w:val="198"/>
        </w:numPr>
        <w:spacing w:after="120" w:line="240" w:lineRule="auto"/>
        <w:ind w:right="-192"/>
        <w:outlineLvl w:val="1"/>
        <w:rPr>
          <w:rFonts w:ascii="Times New Roman" w:hAnsi="Times New Roman"/>
          <w:sz w:val="24"/>
          <w:szCs w:val="24"/>
        </w:rPr>
      </w:pPr>
      <w:bookmarkStart w:id="380" w:name="_Toc73459782"/>
      <w:r w:rsidRPr="00083B97">
        <w:rPr>
          <w:rFonts w:ascii="Times New Roman" w:hAnsi="Times New Roman"/>
          <w:b/>
          <w:bCs/>
          <w:sz w:val="24"/>
          <w:szCs w:val="24"/>
        </w:rPr>
        <w:t>Ressources et responsabilités pour la mise en œuvre des activités de mobilisation des parties prenantes</w:t>
      </w:r>
      <w:bookmarkEnd w:id="380"/>
    </w:p>
    <w:p w:rsidR="007E3180" w:rsidRPr="00CF3BDE" w:rsidRDefault="007E3180" w:rsidP="00157035">
      <w:pPr>
        <w:pStyle w:val="Cabealho3"/>
        <w:numPr>
          <w:ilvl w:val="0"/>
          <w:numId w:val="164"/>
        </w:numPr>
        <w:spacing w:after="0"/>
        <w:contextualSpacing/>
        <w:rPr>
          <w:rFonts w:ascii="Times New Roman" w:hAnsi="Times New Roman"/>
        </w:rPr>
      </w:pPr>
      <w:r w:rsidRPr="00CF3BDE">
        <w:rPr>
          <w:rFonts w:ascii="Times New Roman" w:hAnsi="Times New Roman"/>
        </w:rPr>
        <w:t>Ressources</w:t>
      </w:r>
    </w:p>
    <w:p w:rsidR="007E3180" w:rsidRPr="00CF3BDE" w:rsidRDefault="007E3180" w:rsidP="005E613E">
      <w:pPr>
        <w:autoSpaceDE w:val="0"/>
        <w:autoSpaceDN w:val="0"/>
        <w:adjustRightInd w:val="0"/>
        <w:ind w:left="142" w:right="-851"/>
        <w:jc w:val="both"/>
      </w:pPr>
      <w:r w:rsidRPr="00CF3BDE">
        <w:t xml:space="preserve">Le ministère de l'Agriculture et du Développement rural sera chargé des activités d'engagement des parties prenantes. Le budget pour la mise en œuvre du SEP proviendra de la composante 4. </w:t>
      </w:r>
    </w:p>
    <w:p w:rsidR="0059269F" w:rsidRPr="00CF3BDE" w:rsidRDefault="007E3180" w:rsidP="005E613E">
      <w:pPr>
        <w:pStyle w:val="Cabealho3"/>
        <w:numPr>
          <w:ilvl w:val="0"/>
          <w:numId w:val="164"/>
        </w:numPr>
        <w:spacing w:after="0"/>
        <w:ind w:right="-851"/>
        <w:contextualSpacing/>
        <w:rPr>
          <w:rFonts w:ascii="Times New Roman" w:hAnsi="Times New Roman"/>
        </w:rPr>
      </w:pPr>
      <w:r w:rsidRPr="00CF3BDE">
        <w:rPr>
          <w:rFonts w:ascii="Times New Roman" w:hAnsi="Times New Roman"/>
        </w:rPr>
        <w:t>Fonctions et responsabilités de gestion</w:t>
      </w:r>
    </w:p>
    <w:p w:rsidR="007E3180" w:rsidRPr="000F246E" w:rsidRDefault="007E3180" w:rsidP="005E613E">
      <w:pPr>
        <w:autoSpaceDE w:val="0"/>
        <w:autoSpaceDN w:val="0"/>
        <w:adjustRightInd w:val="0"/>
        <w:ind w:left="142" w:right="-851"/>
        <w:jc w:val="both"/>
      </w:pPr>
      <w:r w:rsidRPr="00CF3BDE">
        <w:t>La mise en œuvre du projet sera sous la responsabilité du Ministère de l'Agriculture et du Développement Rural (MARD), à travers une Unité de Coordination Technique (TCU) en cours de mise en place avec le soutien d'autres partenaires au développement. La responsabilité première du TCU sera de contrat avec les partenaires d'appui à la mise en œuvre, suivi de la mise en œuvre (en collaboration avec les directions régionales de MARD) et rapport à la Banque. Pour ces fonctions, le TL'UC sera dotée d'un coordonnateur, d'un spécialiste de l'agriculture, d'un expert en suivi et évaluation, d'un spécialiste de la communication et d'un spécialiste de l'environnement et des sauvegardes sociales. Ces deux derniers seront responsables de la mise en œuvre du SEP.</w:t>
      </w:r>
    </w:p>
    <w:p w:rsidR="00B17D64" w:rsidRPr="00CF3BDE" w:rsidRDefault="005C0E4F" w:rsidP="00045EAE">
      <w:pPr>
        <w:pStyle w:val="PargrafodaLista"/>
        <w:numPr>
          <w:ilvl w:val="3"/>
          <w:numId w:val="198"/>
        </w:numPr>
        <w:spacing w:after="120" w:line="240" w:lineRule="auto"/>
        <w:ind w:right="-851"/>
        <w:outlineLvl w:val="1"/>
        <w:rPr>
          <w:rFonts w:ascii="Times New Roman" w:hAnsi="Times New Roman"/>
          <w:b/>
          <w:bCs/>
          <w:sz w:val="24"/>
          <w:szCs w:val="24"/>
        </w:rPr>
      </w:pPr>
      <w:bookmarkStart w:id="381" w:name="_Toc73459783"/>
      <w:r w:rsidRPr="00CF3BDE">
        <w:rPr>
          <w:rFonts w:ascii="Times New Roman" w:hAnsi="Times New Roman"/>
          <w:b/>
          <w:bCs/>
          <w:sz w:val="24"/>
          <w:szCs w:val="24"/>
        </w:rPr>
        <w:t>A l’avenir dans le projet</w:t>
      </w:r>
      <w:bookmarkEnd w:id="381"/>
      <w:r w:rsidRPr="00CF3BDE">
        <w:rPr>
          <w:rFonts w:ascii="Times New Roman" w:hAnsi="Times New Roman"/>
          <w:b/>
          <w:bCs/>
          <w:sz w:val="24"/>
          <w:szCs w:val="24"/>
        </w:rPr>
        <w:t xml:space="preserve"> </w:t>
      </w:r>
    </w:p>
    <w:p w:rsidR="005C0E4F" w:rsidRDefault="005C0E4F" w:rsidP="005E613E">
      <w:pPr>
        <w:autoSpaceDE w:val="0"/>
        <w:autoSpaceDN w:val="0"/>
        <w:adjustRightInd w:val="0"/>
        <w:ind w:left="142" w:right="-851"/>
        <w:jc w:val="both"/>
      </w:pPr>
      <w:r w:rsidRPr="00CF3BDE">
        <w:t>Les parties prenantes seront tenues régulièrement informées des différentes étapes de développement du projet notamment sur la performance environnementale et sociale du projet, la mise en œuvre du plan d’engagement des parties prenantes ainsi que sur les résultats du fonctionnement du mécanisme de gestion des plaint</w:t>
      </w:r>
      <w:r w:rsidR="00F6450D" w:rsidRPr="00CF3BDE">
        <w:t>e</w:t>
      </w:r>
      <w:r w:rsidRPr="00CF3BDE">
        <w:t xml:space="preserve">s. </w:t>
      </w:r>
    </w:p>
    <w:p w:rsidR="00377458" w:rsidRPr="00CF3BDE" w:rsidRDefault="00377458" w:rsidP="005E613E">
      <w:pPr>
        <w:autoSpaceDE w:val="0"/>
        <w:autoSpaceDN w:val="0"/>
        <w:adjustRightInd w:val="0"/>
        <w:ind w:left="142" w:right="-851"/>
        <w:jc w:val="both"/>
      </w:pPr>
    </w:p>
    <w:p w:rsidR="00125C75" w:rsidRPr="00CF3BDE" w:rsidRDefault="00213BB1" w:rsidP="00045EAE">
      <w:pPr>
        <w:pStyle w:val="PargrafodaLista"/>
        <w:numPr>
          <w:ilvl w:val="1"/>
          <w:numId w:val="198"/>
        </w:numPr>
        <w:spacing w:after="120" w:line="240" w:lineRule="auto"/>
        <w:ind w:right="-851"/>
        <w:outlineLvl w:val="1"/>
        <w:rPr>
          <w:rFonts w:ascii="Times New Roman" w:hAnsi="Times New Roman"/>
          <w:b/>
          <w:bCs/>
          <w:sz w:val="24"/>
          <w:szCs w:val="24"/>
        </w:rPr>
      </w:pPr>
      <w:bookmarkStart w:id="382" w:name="_Toc535408386"/>
      <w:bookmarkStart w:id="383" w:name="_Toc11158410"/>
      <w:bookmarkStart w:id="384" w:name="_Toc51072630"/>
      <w:bookmarkStart w:id="385" w:name="_Toc73459784"/>
      <w:r w:rsidRPr="00CF3BDE">
        <w:rPr>
          <w:rFonts w:ascii="Times New Roman" w:hAnsi="Times New Roman"/>
          <w:b/>
          <w:bCs/>
          <w:sz w:val="24"/>
          <w:szCs w:val="24"/>
        </w:rPr>
        <w:t>MECANISME DE GESTION DES PLAINTES</w:t>
      </w:r>
      <w:bookmarkEnd w:id="382"/>
      <w:bookmarkEnd w:id="383"/>
      <w:bookmarkEnd w:id="384"/>
      <w:bookmarkEnd w:id="385"/>
      <w:r w:rsidR="00280089">
        <w:rPr>
          <w:rFonts w:ascii="Times New Roman" w:hAnsi="Times New Roman"/>
          <w:b/>
          <w:bCs/>
          <w:sz w:val="24"/>
          <w:szCs w:val="24"/>
        </w:rPr>
        <w:t xml:space="preserve"> </w:t>
      </w:r>
    </w:p>
    <w:p w:rsidR="007A4497" w:rsidRPr="00CF3BDE" w:rsidRDefault="00652396" w:rsidP="005E613E">
      <w:pPr>
        <w:autoSpaceDE w:val="0"/>
        <w:autoSpaceDN w:val="0"/>
        <w:adjustRightInd w:val="0"/>
        <w:ind w:left="142" w:right="-851"/>
        <w:jc w:val="both"/>
      </w:pPr>
      <w:r w:rsidRPr="00CF3BDE">
        <w:t>Le principal objectif d'un m</w:t>
      </w:r>
      <w:r w:rsidR="00EE1C9A" w:rsidRPr="00CF3BDE">
        <w:t xml:space="preserve">écanisme de </w:t>
      </w:r>
      <w:r w:rsidR="00A9214E" w:rsidRPr="00CF3BDE">
        <w:t>gestion</w:t>
      </w:r>
      <w:r w:rsidR="00EE1C9A" w:rsidRPr="00CF3BDE">
        <w:t xml:space="preserve"> des plaintes (</w:t>
      </w:r>
      <w:r w:rsidR="00A9214E" w:rsidRPr="00CF3BDE">
        <w:t>MG</w:t>
      </w:r>
      <w:r w:rsidR="00EE1C9A" w:rsidRPr="00CF3BDE">
        <w:t>P</w:t>
      </w:r>
      <w:r w:rsidRPr="00CF3BDE">
        <w:t>) est d'aider à résoudre les plaintes et les griefs d'une manière opportune, efficace et efficiente qui satisfait toutes les parties concernées. Plus précisément, il fournit un processus transparent et crédible pour des résultats équitables, efficaces et durables. Il renforce également la confiance et la coopération en tant que partie intégrante d'une consultation communautaire plus large qui facilite</w:t>
      </w:r>
      <w:r w:rsidR="00BF01BF" w:rsidRPr="00CF3BDE">
        <w:t xml:space="preserve"> les actions correctives. Le </w:t>
      </w:r>
      <w:r w:rsidR="00A9214E" w:rsidRPr="00CF3BDE">
        <w:t>MGP</w:t>
      </w:r>
      <w:r w:rsidRPr="00CF3BDE">
        <w:t xml:space="preserve"> qui est sensible aux plaintes est également une mesure </w:t>
      </w:r>
      <w:r w:rsidR="00BD4BF0">
        <w:t>de traiter ces incidents</w:t>
      </w:r>
      <w:r w:rsidR="00BD4BF0" w:rsidRPr="00CF3BDE">
        <w:t xml:space="preserve"> </w:t>
      </w:r>
      <w:r w:rsidRPr="00CF3BDE">
        <w:t xml:space="preserve">car il </w:t>
      </w:r>
      <w:r w:rsidR="00BD4BF0">
        <w:t xml:space="preserve">développe de </w:t>
      </w:r>
      <w:r w:rsidR="00377458">
        <w:t>procédures</w:t>
      </w:r>
      <w:r w:rsidR="00BD4BF0">
        <w:t xml:space="preserve"> </w:t>
      </w:r>
      <w:r w:rsidR="00377458">
        <w:t>spécifiques</w:t>
      </w:r>
      <w:r w:rsidR="00BD4BF0">
        <w:t xml:space="preserve"> qui garantissent la confidentialité et la sécurité de la plaignante et le présumé auteur, ainsi que toutes les actions sont </w:t>
      </w:r>
      <w:r w:rsidR="00377458">
        <w:t>axées</w:t>
      </w:r>
      <w:r w:rsidR="00BD4BF0">
        <w:t xml:space="preserve"> sur la survivante, et pourtant </w:t>
      </w:r>
      <w:r w:rsidRPr="00CF3BDE">
        <w:t xml:space="preserve">offre aux survivants un moyen sûr de signaler les abus et d'accéder aux services. </w:t>
      </w:r>
    </w:p>
    <w:p w:rsidR="007A4497" w:rsidRPr="00CF3BDE" w:rsidRDefault="007A4497" w:rsidP="005E613E">
      <w:pPr>
        <w:ind w:left="-284" w:right="-851"/>
        <w:jc w:val="both"/>
      </w:pPr>
    </w:p>
    <w:p w:rsidR="00652396" w:rsidRPr="00CF3BDE" w:rsidRDefault="007A4497" w:rsidP="005E613E">
      <w:pPr>
        <w:autoSpaceDE w:val="0"/>
        <w:autoSpaceDN w:val="0"/>
        <w:adjustRightInd w:val="0"/>
        <w:ind w:left="142" w:right="-851"/>
        <w:jc w:val="both"/>
      </w:pPr>
      <w:r w:rsidRPr="00CF3BDE">
        <w:t xml:space="preserve">Plus précisément, le </w:t>
      </w:r>
      <w:r w:rsidR="00771453" w:rsidRPr="00CF3BDE">
        <w:t>G</w:t>
      </w:r>
      <w:r w:rsidR="006D0E5F" w:rsidRPr="00CF3BDE">
        <w:t>M</w:t>
      </w:r>
      <w:r w:rsidR="00771453" w:rsidRPr="00CF3BDE">
        <w:t>P :</w:t>
      </w:r>
    </w:p>
    <w:p w:rsidR="00652396" w:rsidRPr="00CF3BDE" w:rsidRDefault="00652396" w:rsidP="005E613E">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851"/>
        <w:jc w:val="both"/>
        <w:rPr>
          <w:rFonts w:ascii="Times New Roman" w:hAnsi="Times New Roman"/>
          <w:sz w:val="22"/>
          <w:szCs w:val="22"/>
        </w:rPr>
      </w:pPr>
      <w:r w:rsidRPr="00CF3BDE">
        <w:rPr>
          <w:rFonts w:ascii="Times New Roman" w:hAnsi="Times New Roman"/>
          <w:sz w:val="22"/>
          <w:szCs w:val="22"/>
        </w:rPr>
        <w:t xml:space="preserve">Fournit aux personnes concernées des moyens de déposer une plainte ou de résoudre tout différend pouvant survenir au cours de la mise en œuvre des </w:t>
      </w:r>
      <w:r w:rsidR="00771453" w:rsidRPr="00CF3BDE">
        <w:rPr>
          <w:rFonts w:ascii="Times New Roman" w:hAnsi="Times New Roman"/>
          <w:sz w:val="22"/>
          <w:szCs w:val="22"/>
        </w:rPr>
        <w:t>projets ;</w:t>
      </w:r>
    </w:p>
    <w:p w:rsidR="00652396" w:rsidRPr="00CF3BDE" w:rsidRDefault="00652396" w:rsidP="005E613E">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851"/>
        <w:jc w:val="both"/>
        <w:rPr>
          <w:rFonts w:ascii="Times New Roman" w:hAnsi="Times New Roman"/>
          <w:sz w:val="22"/>
          <w:szCs w:val="22"/>
        </w:rPr>
      </w:pPr>
      <w:r w:rsidRPr="00CF3BDE">
        <w:rPr>
          <w:rFonts w:ascii="Times New Roman" w:hAnsi="Times New Roman"/>
          <w:sz w:val="22"/>
          <w:szCs w:val="22"/>
        </w:rPr>
        <w:t xml:space="preserve">S'assure que des actions de réparation appropriées et mutuellement acceptables sont identifiées et mises en œuvre à la satisfaction des </w:t>
      </w:r>
      <w:r w:rsidR="00771453" w:rsidRPr="00CF3BDE">
        <w:rPr>
          <w:rFonts w:ascii="Times New Roman" w:hAnsi="Times New Roman"/>
          <w:sz w:val="22"/>
          <w:szCs w:val="22"/>
        </w:rPr>
        <w:t>plaignants ;</w:t>
      </w:r>
      <w:r w:rsidRPr="00CF3BDE">
        <w:rPr>
          <w:rFonts w:ascii="Times New Roman" w:hAnsi="Times New Roman"/>
          <w:sz w:val="22"/>
          <w:szCs w:val="22"/>
        </w:rPr>
        <w:t xml:space="preserve"> </w:t>
      </w:r>
    </w:p>
    <w:p w:rsidR="00652396" w:rsidRPr="00CF3BDE" w:rsidRDefault="00652396" w:rsidP="005E613E">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851"/>
        <w:jc w:val="both"/>
        <w:rPr>
          <w:rFonts w:ascii="Times New Roman" w:hAnsi="Times New Roman"/>
          <w:sz w:val="22"/>
          <w:szCs w:val="22"/>
        </w:rPr>
      </w:pPr>
      <w:r w:rsidRPr="00CF3BDE">
        <w:rPr>
          <w:rFonts w:ascii="Times New Roman" w:hAnsi="Times New Roman"/>
          <w:sz w:val="22"/>
          <w:szCs w:val="22"/>
        </w:rPr>
        <w:t>Fournit des références aux services pour les</w:t>
      </w:r>
      <w:r w:rsidR="00377458">
        <w:rPr>
          <w:rFonts w:ascii="Times New Roman" w:hAnsi="Times New Roman"/>
          <w:sz w:val="22"/>
          <w:szCs w:val="22"/>
        </w:rPr>
        <w:t xml:space="preserve"> suivis </w:t>
      </w:r>
      <w:r w:rsidRPr="00CF3BDE">
        <w:rPr>
          <w:rFonts w:ascii="Times New Roman" w:hAnsi="Times New Roman"/>
          <w:sz w:val="22"/>
          <w:szCs w:val="22"/>
        </w:rPr>
        <w:t>et</w:t>
      </w:r>
    </w:p>
    <w:p w:rsidR="00652396" w:rsidRDefault="00652396" w:rsidP="005E613E">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jc w:val="both"/>
        <w:rPr>
          <w:rFonts w:ascii="Times New Roman" w:hAnsi="Times New Roman"/>
          <w:sz w:val="22"/>
          <w:szCs w:val="22"/>
        </w:rPr>
      </w:pPr>
      <w:r w:rsidRPr="00CF3BDE">
        <w:rPr>
          <w:rFonts w:ascii="Times New Roman" w:hAnsi="Times New Roman"/>
          <w:sz w:val="22"/>
          <w:szCs w:val="22"/>
        </w:rPr>
        <w:t>Évite la nécessité de recourir à des procédures judiciaires.</w:t>
      </w:r>
    </w:p>
    <w:p w:rsidR="000F246E" w:rsidRPr="000F246E" w:rsidRDefault="000F246E" w:rsidP="005E613E">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jc w:val="both"/>
        <w:rPr>
          <w:rFonts w:ascii="Times New Roman" w:hAnsi="Times New Roman"/>
          <w:sz w:val="22"/>
          <w:szCs w:val="22"/>
        </w:rPr>
      </w:pPr>
    </w:p>
    <w:p w:rsidR="00125C75" w:rsidRPr="00CF3BDE" w:rsidRDefault="00125C75" w:rsidP="005E613E">
      <w:pPr>
        <w:autoSpaceDE w:val="0"/>
        <w:autoSpaceDN w:val="0"/>
        <w:adjustRightInd w:val="0"/>
        <w:ind w:left="142" w:right="-851"/>
        <w:jc w:val="both"/>
      </w:pPr>
      <w:r w:rsidRPr="00CF3BDE">
        <w:t xml:space="preserve">Ce mécanisme se justifie par le fait que dans la mise en œuvre des travaux et des mesures compensatoires y relatives, plusieurs conflits peuvent surgir. Ces conflits peuvent être liés aux problèmes suivants : </w:t>
      </w:r>
    </w:p>
    <w:p w:rsidR="00125C75" w:rsidRPr="000F246E" w:rsidRDefault="00125C75" w:rsidP="005E613E">
      <w:pPr>
        <w:pStyle w:val="Listecouleur-Accent12"/>
        <w:numPr>
          <w:ilvl w:val="0"/>
          <w:numId w:val="94"/>
        </w:numPr>
        <w:spacing w:after="200"/>
        <w:ind w:left="1276" w:right="-851"/>
        <w:rPr>
          <w:sz w:val="22"/>
          <w:szCs w:val="22"/>
          <w:lang w:val="fr-FR"/>
        </w:rPr>
      </w:pPr>
      <w:r w:rsidRPr="000F246E">
        <w:rPr>
          <w:sz w:val="22"/>
          <w:szCs w:val="22"/>
          <w:lang w:val="fr-FR"/>
        </w:rPr>
        <w:t xml:space="preserve">erreur dans l’identification des PAP ; </w:t>
      </w:r>
    </w:p>
    <w:p w:rsidR="00125C75" w:rsidRPr="000F246E" w:rsidRDefault="00125C75" w:rsidP="005E613E">
      <w:pPr>
        <w:pStyle w:val="Listecouleur-Accent12"/>
        <w:numPr>
          <w:ilvl w:val="0"/>
          <w:numId w:val="94"/>
        </w:numPr>
        <w:spacing w:after="200"/>
        <w:ind w:left="1276" w:right="-851"/>
        <w:rPr>
          <w:sz w:val="22"/>
          <w:szCs w:val="22"/>
          <w:lang w:val="fr-FR"/>
        </w:rPr>
      </w:pPr>
      <w:r w:rsidRPr="000F246E">
        <w:rPr>
          <w:sz w:val="22"/>
          <w:szCs w:val="22"/>
          <w:lang w:val="fr-FR"/>
        </w:rPr>
        <w:t xml:space="preserve">erreur dans l’évaluation des biens des PAP ; </w:t>
      </w:r>
    </w:p>
    <w:p w:rsidR="00125C75" w:rsidRPr="000F246E" w:rsidRDefault="00125C75" w:rsidP="005E613E">
      <w:pPr>
        <w:pStyle w:val="Listecouleur-Accent12"/>
        <w:numPr>
          <w:ilvl w:val="0"/>
          <w:numId w:val="94"/>
        </w:numPr>
        <w:spacing w:after="200"/>
        <w:ind w:left="1276" w:right="-851"/>
        <w:rPr>
          <w:sz w:val="22"/>
          <w:szCs w:val="22"/>
          <w:lang w:val="fr-FR"/>
        </w:rPr>
      </w:pPr>
      <w:r w:rsidRPr="000F246E">
        <w:rPr>
          <w:sz w:val="22"/>
          <w:szCs w:val="22"/>
          <w:lang w:val="fr-FR"/>
        </w:rPr>
        <w:t xml:space="preserve">conflit sur la propriété d’un </w:t>
      </w:r>
      <w:r w:rsidR="002764B5" w:rsidRPr="000F246E">
        <w:rPr>
          <w:sz w:val="22"/>
          <w:szCs w:val="22"/>
          <w:lang w:val="fr-FR"/>
        </w:rPr>
        <w:t>bien ou</w:t>
      </w:r>
      <w:r w:rsidRPr="000F246E">
        <w:rPr>
          <w:sz w:val="22"/>
          <w:szCs w:val="22"/>
          <w:lang w:val="fr-FR"/>
        </w:rPr>
        <w:t xml:space="preserve"> sur le titre de succession, à l’issue d’un divorce, conflits entre héritiers ; </w:t>
      </w:r>
    </w:p>
    <w:p w:rsidR="00125C75" w:rsidRPr="000F246E" w:rsidRDefault="00125C75" w:rsidP="005E613E">
      <w:pPr>
        <w:pStyle w:val="Listecouleur-Accent12"/>
        <w:numPr>
          <w:ilvl w:val="0"/>
          <w:numId w:val="94"/>
        </w:numPr>
        <w:spacing w:after="200"/>
        <w:ind w:left="1276" w:right="-851"/>
        <w:rPr>
          <w:sz w:val="22"/>
          <w:szCs w:val="22"/>
          <w:lang w:val="fr-FR"/>
        </w:rPr>
      </w:pPr>
      <w:r w:rsidRPr="000F246E">
        <w:rPr>
          <w:sz w:val="22"/>
          <w:szCs w:val="22"/>
          <w:lang w:val="fr-FR"/>
        </w:rPr>
        <w:t xml:space="preserve">divergences dans l’acquisition et l’occupation des terres ; </w:t>
      </w:r>
    </w:p>
    <w:p w:rsidR="00125C75" w:rsidRPr="000F246E" w:rsidRDefault="00125C75" w:rsidP="005E613E">
      <w:pPr>
        <w:pStyle w:val="Listecouleur-Accent12"/>
        <w:numPr>
          <w:ilvl w:val="0"/>
          <w:numId w:val="94"/>
        </w:numPr>
        <w:spacing w:after="200"/>
        <w:ind w:left="1276" w:right="-851"/>
        <w:rPr>
          <w:sz w:val="22"/>
          <w:szCs w:val="22"/>
          <w:lang w:val="fr-FR"/>
        </w:rPr>
      </w:pPr>
      <w:r w:rsidRPr="000F246E">
        <w:rPr>
          <w:sz w:val="22"/>
          <w:szCs w:val="22"/>
          <w:lang w:val="fr-FR"/>
        </w:rPr>
        <w:t xml:space="preserve">atteinte à une activité commerciale d’un riverain ; </w:t>
      </w:r>
    </w:p>
    <w:p w:rsidR="00125C75" w:rsidRPr="000F246E" w:rsidRDefault="00125C75" w:rsidP="005E613E">
      <w:pPr>
        <w:pStyle w:val="Listecouleur-Accent12"/>
        <w:numPr>
          <w:ilvl w:val="0"/>
          <w:numId w:val="94"/>
        </w:numPr>
        <w:spacing w:after="200"/>
        <w:ind w:left="1276" w:right="-851"/>
        <w:rPr>
          <w:sz w:val="22"/>
          <w:szCs w:val="22"/>
          <w:lang w:val="fr-FR"/>
        </w:rPr>
      </w:pPr>
      <w:r w:rsidRPr="000F246E">
        <w:rPr>
          <w:sz w:val="22"/>
          <w:szCs w:val="22"/>
          <w:lang w:val="fr-FR"/>
        </w:rPr>
        <w:t xml:space="preserve">dégradation des biens </w:t>
      </w:r>
      <w:r w:rsidR="002764B5" w:rsidRPr="000F246E">
        <w:rPr>
          <w:sz w:val="22"/>
          <w:szCs w:val="22"/>
          <w:lang w:val="fr-FR"/>
        </w:rPr>
        <w:t>au-delà</w:t>
      </w:r>
      <w:r w:rsidRPr="000F246E">
        <w:rPr>
          <w:sz w:val="22"/>
          <w:szCs w:val="22"/>
          <w:lang w:val="fr-FR"/>
        </w:rPr>
        <w:t xml:space="preserve"> de l’emprise du projet ;</w:t>
      </w:r>
    </w:p>
    <w:p w:rsidR="00125C75" w:rsidRPr="000F246E" w:rsidRDefault="00125C75" w:rsidP="005E613E">
      <w:pPr>
        <w:pStyle w:val="Listecouleur-Accent12"/>
        <w:numPr>
          <w:ilvl w:val="0"/>
          <w:numId w:val="94"/>
        </w:numPr>
        <w:spacing w:after="200"/>
        <w:ind w:left="1276" w:right="-851"/>
        <w:rPr>
          <w:sz w:val="22"/>
          <w:szCs w:val="22"/>
          <w:lang w:val="fr-FR"/>
        </w:rPr>
      </w:pPr>
      <w:r w:rsidRPr="000F246E">
        <w:rPr>
          <w:sz w:val="22"/>
          <w:szCs w:val="22"/>
          <w:lang w:val="fr-FR"/>
        </w:rPr>
        <w:t xml:space="preserve">nuisances et perturbations permanentes des riverains par les travaux… </w:t>
      </w:r>
    </w:p>
    <w:p w:rsidR="00125C75" w:rsidRPr="000F246E" w:rsidRDefault="00BD4BF0" w:rsidP="005E613E">
      <w:pPr>
        <w:pStyle w:val="Listecouleur-Accent12"/>
        <w:numPr>
          <w:ilvl w:val="0"/>
          <w:numId w:val="94"/>
        </w:numPr>
        <w:spacing w:after="200"/>
        <w:ind w:left="1276" w:right="-851"/>
        <w:rPr>
          <w:sz w:val="22"/>
          <w:szCs w:val="22"/>
          <w:lang w:val="fr-FR"/>
        </w:rPr>
      </w:pPr>
      <w:r>
        <w:rPr>
          <w:szCs w:val="24"/>
          <w:lang w:val="fr-FR"/>
        </w:rPr>
        <w:t xml:space="preserve">Exploitation et abus sexuels et le </w:t>
      </w:r>
      <w:r w:rsidR="00125C75" w:rsidRPr="000F246E">
        <w:rPr>
          <w:sz w:val="22"/>
          <w:szCs w:val="22"/>
          <w:lang w:val="fr-FR"/>
        </w:rPr>
        <w:t>harcèlement sexuel, pédophilie, etc. ;</w:t>
      </w:r>
    </w:p>
    <w:p w:rsidR="00125C75" w:rsidRPr="000F246E" w:rsidRDefault="00125C75" w:rsidP="005E613E">
      <w:pPr>
        <w:pStyle w:val="Listecouleur-Accent12"/>
        <w:numPr>
          <w:ilvl w:val="0"/>
          <w:numId w:val="94"/>
        </w:numPr>
        <w:spacing w:after="200"/>
        <w:ind w:left="1276" w:right="-851"/>
        <w:rPr>
          <w:sz w:val="22"/>
          <w:szCs w:val="22"/>
          <w:lang w:val="fr-FR"/>
        </w:rPr>
      </w:pPr>
      <w:r w:rsidRPr="000F246E">
        <w:rPr>
          <w:sz w:val="22"/>
          <w:szCs w:val="22"/>
          <w:lang w:val="fr-FR"/>
        </w:rPr>
        <w:t>Discrimination basée sur le genre ou la vulnérabilité ;</w:t>
      </w:r>
    </w:p>
    <w:p w:rsidR="00125C75" w:rsidRPr="00CF3BDE" w:rsidRDefault="00125C75"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86" w:name="_Toc375311835"/>
      <w:bookmarkStart w:id="387" w:name="_Toc529964826"/>
      <w:bookmarkStart w:id="388" w:name="_Toc535408387"/>
      <w:bookmarkStart w:id="389" w:name="_Toc11158411"/>
      <w:bookmarkStart w:id="390" w:name="_Toc51072631"/>
      <w:bookmarkStart w:id="391" w:name="_Toc73459785"/>
      <w:r w:rsidRPr="00CF3BDE">
        <w:rPr>
          <w:rFonts w:ascii="Times New Roman" w:hAnsi="Times New Roman"/>
          <w:b/>
          <w:bCs/>
          <w:sz w:val="24"/>
          <w:szCs w:val="24"/>
        </w:rPr>
        <w:t>Organisation du Mécanisme de Gestion des Plaintes</w:t>
      </w:r>
      <w:bookmarkEnd w:id="386"/>
      <w:bookmarkEnd w:id="387"/>
      <w:bookmarkEnd w:id="388"/>
      <w:bookmarkEnd w:id="389"/>
      <w:bookmarkEnd w:id="390"/>
      <w:bookmarkEnd w:id="391"/>
    </w:p>
    <w:p w:rsidR="00125C75" w:rsidRPr="00CF3BDE" w:rsidRDefault="00125C75" w:rsidP="005E613E">
      <w:pPr>
        <w:autoSpaceDE w:val="0"/>
        <w:autoSpaceDN w:val="0"/>
        <w:adjustRightInd w:val="0"/>
        <w:ind w:left="142" w:right="-851"/>
        <w:jc w:val="both"/>
      </w:pPr>
      <w:bookmarkStart w:id="392" w:name="_Toc110792322"/>
      <w:r w:rsidRPr="00CF3BDE">
        <w:t>Le Mécanisme de Gestion des Plaintes du projet PUSA s’organise en deux niveaux, ce qui permet aussi de définir les organes de gestion à chaque niveau.</w:t>
      </w:r>
    </w:p>
    <w:p w:rsidR="00125C75" w:rsidRPr="00CF3BDE" w:rsidRDefault="00125C75" w:rsidP="005E613E">
      <w:pPr>
        <w:ind w:left="-284" w:right="-851"/>
      </w:pPr>
    </w:p>
    <w:p w:rsidR="00125C75" w:rsidRPr="00CF3BDE" w:rsidRDefault="00125C75" w:rsidP="005E613E">
      <w:pPr>
        <w:pStyle w:val="Listecouleur-Accent12"/>
        <w:numPr>
          <w:ilvl w:val="0"/>
          <w:numId w:val="95"/>
        </w:numPr>
        <w:spacing w:after="200"/>
        <w:ind w:right="-851"/>
        <w:jc w:val="left"/>
        <w:rPr>
          <w:b/>
          <w:szCs w:val="24"/>
          <w:lang w:val="fr-FR"/>
        </w:rPr>
      </w:pPr>
      <w:r w:rsidRPr="00CF3BDE">
        <w:rPr>
          <w:b/>
          <w:szCs w:val="24"/>
          <w:lang w:val="fr-FR"/>
        </w:rPr>
        <w:t>Niveau du projet PUSA</w:t>
      </w:r>
    </w:p>
    <w:p w:rsidR="00125C75" w:rsidRPr="00CF3BDE" w:rsidRDefault="00135C9A" w:rsidP="005E613E">
      <w:pPr>
        <w:autoSpaceDE w:val="0"/>
        <w:autoSpaceDN w:val="0"/>
        <w:adjustRightInd w:val="0"/>
        <w:ind w:left="142" w:right="-851"/>
        <w:jc w:val="both"/>
      </w:pPr>
      <w:r w:rsidRPr="00CF3BDE">
        <w:t>L’UC</w:t>
      </w:r>
      <w:r w:rsidR="00125C75" w:rsidRPr="00CF3BDE">
        <w:t>P du projet PUSA assure la supervision de la mise en œuvre du MGP. Il travaille en étroite collaboration avec les autorités locales et communales, y compris les acteurs institutionnels, l’ONG et les PAP pour le suivi, le traitement et le reporting de l’ensemble des plaintes liées directement ou indirectement aux activités du projet PUSA.</w:t>
      </w:r>
    </w:p>
    <w:p w:rsidR="00125C75" w:rsidRPr="00CF3BDE" w:rsidRDefault="00125C75" w:rsidP="005E613E">
      <w:pPr>
        <w:pStyle w:val="Listecouleur-Accent12"/>
        <w:numPr>
          <w:ilvl w:val="0"/>
          <w:numId w:val="95"/>
        </w:numPr>
        <w:spacing w:after="200"/>
        <w:ind w:right="-851"/>
        <w:jc w:val="left"/>
        <w:rPr>
          <w:szCs w:val="24"/>
          <w:lang w:val="fr-FR"/>
        </w:rPr>
      </w:pPr>
      <w:r w:rsidRPr="00CF3BDE">
        <w:rPr>
          <w:b/>
          <w:szCs w:val="24"/>
          <w:lang w:val="fr-FR"/>
        </w:rPr>
        <w:t>Niveau local</w:t>
      </w:r>
      <w:r w:rsidRPr="00CF3BDE">
        <w:rPr>
          <w:szCs w:val="24"/>
          <w:lang w:val="fr-FR"/>
        </w:rPr>
        <w:t> :</w:t>
      </w:r>
    </w:p>
    <w:p w:rsidR="00125C75" w:rsidRPr="000F246E" w:rsidRDefault="00125C75" w:rsidP="005E613E">
      <w:pPr>
        <w:pStyle w:val="Listecouleur-Accent12"/>
        <w:numPr>
          <w:ilvl w:val="0"/>
          <w:numId w:val="96"/>
        </w:numPr>
        <w:spacing w:after="200"/>
        <w:ind w:right="-851"/>
        <w:jc w:val="left"/>
        <w:rPr>
          <w:sz w:val="22"/>
          <w:szCs w:val="22"/>
          <w:lang w:val="fr-FR"/>
        </w:rPr>
      </w:pPr>
      <w:r w:rsidRPr="000F246E">
        <w:rPr>
          <w:sz w:val="22"/>
          <w:szCs w:val="22"/>
          <w:lang w:val="fr-FR"/>
        </w:rPr>
        <w:t xml:space="preserve">les responsables des quartiers (communautés locales, notabilités); </w:t>
      </w:r>
    </w:p>
    <w:p w:rsidR="00125C75" w:rsidRPr="000F246E" w:rsidRDefault="00125C75" w:rsidP="005E613E">
      <w:pPr>
        <w:pStyle w:val="Listecouleur-Accent12"/>
        <w:numPr>
          <w:ilvl w:val="0"/>
          <w:numId w:val="96"/>
        </w:numPr>
        <w:spacing w:after="200"/>
        <w:ind w:right="-851"/>
        <w:jc w:val="left"/>
        <w:rPr>
          <w:sz w:val="22"/>
          <w:szCs w:val="22"/>
          <w:lang w:val="fr-FR"/>
        </w:rPr>
      </w:pPr>
      <w:r w:rsidRPr="000F246E">
        <w:rPr>
          <w:sz w:val="22"/>
          <w:szCs w:val="22"/>
          <w:lang w:val="fr-FR"/>
        </w:rPr>
        <w:t>les autorités municipales;</w:t>
      </w:r>
    </w:p>
    <w:p w:rsidR="00125C75" w:rsidRPr="000F246E" w:rsidRDefault="00125C75" w:rsidP="005E613E">
      <w:pPr>
        <w:pStyle w:val="Listecouleur-Accent12"/>
        <w:numPr>
          <w:ilvl w:val="0"/>
          <w:numId w:val="96"/>
        </w:numPr>
        <w:spacing w:after="200"/>
        <w:ind w:right="-851"/>
        <w:jc w:val="left"/>
        <w:rPr>
          <w:sz w:val="22"/>
          <w:szCs w:val="22"/>
          <w:lang w:val="fr-FR"/>
        </w:rPr>
      </w:pPr>
      <w:r w:rsidRPr="000F246E">
        <w:rPr>
          <w:sz w:val="22"/>
          <w:szCs w:val="22"/>
          <w:lang w:val="fr-FR"/>
        </w:rPr>
        <w:t>les acteurs institutionnels (services techniques) ;</w:t>
      </w:r>
    </w:p>
    <w:p w:rsidR="00125C75" w:rsidRPr="000F246E" w:rsidRDefault="00125C75" w:rsidP="005E613E">
      <w:pPr>
        <w:pStyle w:val="Listecouleur-Accent12"/>
        <w:numPr>
          <w:ilvl w:val="0"/>
          <w:numId w:val="96"/>
        </w:numPr>
        <w:spacing w:after="200"/>
        <w:ind w:right="-851"/>
        <w:jc w:val="left"/>
        <w:rPr>
          <w:sz w:val="22"/>
          <w:szCs w:val="22"/>
          <w:lang w:val="fr-FR"/>
        </w:rPr>
      </w:pPr>
      <w:r w:rsidRPr="000F246E">
        <w:rPr>
          <w:sz w:val="22"/>
          <w:szCs w:val="22"/>
          <w:lang w:val="fr-FR"/>
        </w:rPr>
        <w:t>une ONG locale comme tierce partie</w:t>
      </w:r>
    </w:p>
    <w:p w:rsidR="00B41431" w:rsidRPr="000F246E" w:rsidRDefault="00125C75" w:rsidP="005E613E">
      <w:pPr>
        <w:pStyle w:val="Listecouleur-Accent12"/>
        <w:numPr>
          <w:ilvl w:val="0"/>
          <w:numId w:val="96"/>
        </w:numPr>
        <w:spacing w:after="200"/>
        <w:ind w:right="-851"/>
        <w:jc w:val="left"/>
        <w:rPr>
          <w:sz w:val="22"/>
          <w:szCs w:val="22"/>
          <w:lang w:val="fr-FR"/>
        </w:rPr>
      </w:pPr>
      <w:r w:rsidRPr="000F246E">
        <w:rPr>
          <w:sz w:val="22"/>
          <w:szCs w:val="22"/>
          <w:lang w:val="fr-FR"/>
        </w:rPr>
        <w:t xml:space="preserve">les Personnes Affectées par Projet (PAP). </w:t>
      </w:r>
    </w:p>
    <w:p w:rsidR="002B0F61" w:rsidRPr="00CF3BDE" w:rsidRDefault="00442F6B" w:rsidP="00045EAE">
      <w:pPr>
        <w:pStyle w:val="PargrafodaLista"/>
        <w:numPr>
          <w:ilvl w:val="2"/>
          <w:numId w:val="198"/>
        </w:numPr>
        <w:spacing w:after="120" w:line="240" w:lineRule="auto"/>
        <w:ind w:right="-851"/>
        <w:outlineLvl w:val="1"/>
        <w:rPr>
          <w:rFonts w:ascii="Times New Roman" w:hAnsi="Times New Roman"/>
          <w:b/>
          <w:bCs/>
        </w:rPr>
      </w:pPr>
      <w:bookmarkStart w:id="393" w:name="_Toc73459786"/>
      <w:r w:rsidRPr="00CF3BDE">
        <w:rPr>
          <w:rFonts w:ascii="Times New Roman" w:hAnsi="Times New Roman"/>
          <w:b/>
          <w:bCs/>
          <w:sz w:val="24"/>
          <w:szCs w:val="24"/>
        </w:rPr>
        <w:t>Description du MGP</w:t>
      </w:r>
      <w:bookmarkEnd w:id="393"/>
    </w:p>
    <w:p w:rsidR="00442F6B" w:rsidRPr="00CF3BDE" w:rsidRDefault="00442F6B" w:rsidP="005E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1"/>
        <w:contextualSpacing/>
      </w:pPr>
      <w:r w:rsidRPr="00CF3BDE">
        <w:t xml:space="preserve">Le </w:t>
      </w:r>
      <w:r w:rsidR="00CA2717" w:rsidRPr="00CF3BDE">
        <w:t>MGP comprendra</w:t>
      </w:r>
      <w:r w:rsidR="002B0F61" w:rsidRPr="00CF3BDE">
        <w:t xml:space="preserve"> les étapes </w:t>
      </w:r>
      <w:r w:rsidR="00756E89" w:rsidRPr="00CF3BDE">
        <w:t>suivantes :</w:t>
      </w:r>
      <w:r w:rsidR="002B0F61" w:rsidRPr="00CF3BDE">
        <w:t xml:space="preserve"> </w:t>
      </w:r>
    </w:p>
    <w:p w:rsidR="002B0F61" w:rsidRPr="00094014" w:rsidRDefault="002B0F61" w:rsidP="005E613E">
      <w:pPr>
        <w:pStyle w:val="PargrafodaLista"/>
        <w:numPr>
          <w:ilvl w:val="0"/>
          <w:numId w:val="165"/>
        </w:numPr>
        <w:ind w:left="1134" w:right="-851"/>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1: Soumission des griefs</w:t>
      </w:r>
    </w:p>
    <w:p w:rsidR="002B0F61" w:rsidRPr="00094014" w:rsidRDefault="002B0F61" w:rsidP="005E613E">
      <w:pPr>
        <w:pStyle w:val="PargrafodaLista"/>
        <w:numPr>
          <w:ilvl w:val="0"/>
          <w:numId w:val="165"/>
        </w:numPr>
        <w:ind w:left="1134" w:right="-851"/>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2: Enregistrement du grief et fourniture de la réponse initiale</w:t>
      </w:r>
    </w:p>
    <w:p w:rsidR="002B0F61" w:rsidRPr="00094014" w:rsidRDefault="002B0F61" w:rsidP="005E613E">
      <w:pPr>
        <w:pStyle w:val="PargrafodaLista"/>
        <w:numPr>
          <w:ilvl w:val="0"/>
          <w:numId w:val="165"/>
        </w:numPr>
        <w:ind w:left="1134" w:right="-851"/>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3: Enquête sur le grief</w:t>
      </w:r>
    </w:p>
    <w:p w:rsidR="002B0F61" w:rsidRPr="00094014" w:rsidRDefault="002B0F61" w:rsidP="005E613E">
      <w:pPr>
        <w:pStyle w:val="PargrafodaLista"/>
        <w:numPr>
          <w:ilvl w:val="0"/>
          <w:numId w:val="165"/>
        </w:numPr>
        <w:ind w:left="1134" w:right="-851"/>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4: Communication de la réponse</w:t>
      </w:r>
    </w:p>
    <w:p w:rsidR="002B0F61" w:rsidRPr="00094014" w:rsidRDefault="002B0F61" w:rsidP="005E613E">
      <w:pPr>
        <w:pStyle w:val="PargrafodaLista"/>
        <w:numPr>
          <w:ilvl w:val="0"/>
          <w:numId w:val="165"/>
        </w:numPr>
        <w:ind w:left="1134" w:right="-851"/>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5: Réponse du plaignant</w:t>
      </w:r>
    </w:p>
    <w:p w:rsidR="002B0F61" w:rsidRPr="00094014" w:rsidRDefault="002B0F61" w:rsidP="005E613E">
      <w:pPr>
        <w:pStyle w:val="PargrafodaLista"/>
        <w:numPr>
          <w:ilvl w:val="0"/>
          <w:numId w:val="165"/>
        </w:numPr>
        <w:ind w:left="1134" w:right="-851"/>
        <w:jc w:val="thaiDistribute"/>
        <w:rPr>
          <w:rFonts w:ascii="Times New Roman" w:eastAsia="Times New Roman" w:hAnsi="Times New Roman"/>
          <w:i/>
          <w:sz w:val="22"/>
          <w:szCs w:val="22"/>
        </w:rPr>
      </w:pPr>
      <w:r w:rsidRPr="00094014">
        <w:rPr>
          <w:rFonts w:ascii="Times New Roman" w:eastAsia="Times New Roman" w:hAnsi="Times New Roman"/>
          <w:sz w:val="22"/>
          <w:szCs w:val="22"/>
        </w:rPr>
        <w:t>Étape 6: Clôture du grief ou prise de mesures supplémentaires si le grief reste ouvert</w:t>
      </w:r>
      <w:r w:rsidRPr="00094014">
        <w:rPr>
          <w:rFonts w:ascii="Times New Roman" w:eastAsia="Times New Roman" w:hAnsi="Times New Roman"/>
          <w:i/>
          <w:sz w:val="22"/>
          <w:szCs w:val="22"/>
        </w:rPr>
        <w:t xml:space="preserve"> </w:t>
      </w:r>
    </w:p>
    <w:p w:rsidR="002B0F61" w:rsidRPr="00094014" w:rsidRDefault="002B0F61" w:rsidP="005E613E">
      <w:pPr>
        <w:pStyle w:val="PargrafodaLista"/>
        <w:numPr>
          <w:ilvl w:val="0"/>
          <w:numId w:val="165"/>
        </w:numPr>
        <w:ind w:left="1134" w:right="-851"/>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7: Processus d'appel</w:t>
      </w:r>
    </w:p>
    <w:p w:rsidR="002B0F61" w:rsidRPr="00CF3BDE" w:rsidRDefault="002B0F61" w:rsidP="005E613E">
      <w:pPr>
        <w:autoSpaceDE w:val="0"/>
        <w:autoSpaceDN w:val="0"/>
        <w:adjustRightInd w:val="0"/>
        <w:ind w:left="142" w:right="-851"/>
        <w:jc w:val="both"/>
      </w:pPr>
      <w:r w:rsidRPr="00CF3BDE">
        <w:t>Une fois que toutes les réparations possibles ont été proposées et si le plaignant n'est toujours pas satisfait, il doit être informé de son droit à un recours juridique.</w:t>
      </w:r>
      <w:r w:rsidRPr="00CF3BDE">
        <w:tab/>
      </w:r>
    </w:p>
    <w:p w:rsidR="002B0F61" w:rsidRPr="00094014" w:rsidRDefault="002B0F61" w:rsidP="00094014">
      <w:pPr>
        <w:pStyle w:val="Cabealho3"/>
        <w:numPr>
          <w:ilvl w:val="0"/>
          <w:numId w:val="0"/>
        </w:numPr>
        <w:spacing w:before="120"/>
        <w:rPr>
          <w:rFonts w:ascii="Times New Roman" w:hAnsi="Times New Roman"/>
          <w:b w:val="0"/>
        </w:rPr>
      </w:pPr>
      <w:r w:rsidRPr="00094014">
        <w:rPr>
          <w:rFonts w:ascii="Times New Roman" w:hAnsi="Times New Roman"/>
          <w:b w:val="0"/>
        </w:rPr>
        <w:t>Calendrier proposé pour le GRM</w:t>
      </w:r>
    </w:p>
    <w:tbl>
      <w:tblPr>
        <w:tblW w:w="9182" w:type="dxa"/>
        <w:jc w:val="center"/>
        <w:tblLayout w:type="fixed"/>
        <w:tblCellMar>
          <w:left w:w="0" w:type="dxa"/>
          <w:right w:w="0" w:type="dxa"/>
        </w:tblCellMar>
        <w:tblLook w:val="0000" w:firstRow="0" w:lastRow="0" w:firstColumn="0" w:lastColumn="0" w:noHBand="0" w:noVBand="0"/>
      </w:tblPr>
      <w:tblGrid>
        <w:gridCol w:w="900"/>
        <w:gridCol w:w="6315"/>
        <w:gridCol w:w="1967"/>
      </w:tblGrid>
      <w:tr w:rsidR="002B0F61" w:rsidRPr="00CF3BDE" w:rsidTr="00345951">
        <w:trPr>
          <w:trHeight w:hRule="exact" w:val="331"/>
          <w:jc w:val="center"/>
        </w:trPr>
        <w:tc>
          <w:tcPr>
            <w:tcW w:w="900" w:type="dxa"/>
            <w:tcBorders>
              <w:top w:val="single" w:sz="13" w:space="0" w:color="000000"/>
              <w:left w:val="single" w:sz="12" w:space="0" w:color="000000"/>
              <w:bottom w:val="single" w:sz="6" w:space="0" w:color="000000"/>
              <w:right w:val="single" w:sz="6" w:space="0" w:color="000000"/>
            </w:tcBorders>
            <w:shd w:val="clear" w:color="auto" w:fill="D9D9D9"/>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b/>
                <w:bCs/>
                <w:spacing w:val="-1"/>
              </w:rPr>
              <w:t>Étape</w:t>
            </w:r>
          </w:p>
        </w:tc>
        <w:tc>
          <w:tcPr>
            <w:tcW w:w="6315" w:type="dxa"/>
            <w:tcBorders>
              <w:top w:val="single" w:sz="13" w:space="0" w:color="000000"/>
              <w:left w:val="single" w:sz="6" w:space="0" w:color="000000"/>
              <w:bottom w:val="single" w:sz="6" w:space="0" w:color="000000"/>
              <w:right w:val="single" w:sz="6" w:space="0" w:color="000000"/>
            </w:tcBorders>
            <w:shd w:val="clear" w:color="auto" w:fill="D9D9D9"/>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b/>
                <w:bCs/>
                <w:spacing w:val="-1"/>
              </w:rPr>
              <w:t>Traiter</w:t>
            </w:r>
          </w:p>
        </w:tc>
        <w:tc>
          <w:tcPr>
            <w:tcW w:w="1967" w:type="dxa"/>
            <w:tcBorders>
              <w:top w:val="single" w:sz="13" w:space="0" w:color="000000"/>
              <w:left w:val="single" w:sz="6" w:space="0" w:color="000000"/>
              <w:bottom w:val="single" w:sz="6" w:space="0" w:color="000000"/>
              <w:right w:val="single" w:sz="12" w:space="0" w:color="000000"/>
            </w:tcBorders>
            <w:shd w:val="clear" w:color="auto" w:fill="D9D9D9"/>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b/>
                <w:bCs/>
                <w:spacing w:val="-1"/>
              </w:rPr>
              <w:t>Temps</w:t>
            </w:r>
            <w:r w:rsidR="00756E89">
              <w:rPr>
                <w:rFonts w:eastAsia="Times New Roman"/>
                <w:b/>
                <w:bCs/>
                <w:spacing w:val="-1"/>
              </w:rPr>
              <w:t xml:space="preserve"> </w:t>
            </w:r>
            <w:r w:rsidRPr="00CF3BDE">
              <w:rPr>
                <w:rFonts w:eastAsia="Times New Roman"/>
                <w:b/>
                <w:bCs/>
              </w:rPr>
              <w:t>Cadre</w:t>
            </w:r>
          </w:p>
        </w:tc>
      </w:tr>
      <w:tr w:rsidR="002B0F61" w:rsidRPr="00CF3BDE"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rPr>
              <w:t>1</w:t>
            </w:r>
          </w:p>
        </w:tc>
        <w:tc>
          <w:tcPr>
            <w:tcW w:w="6315" w:type="dxa"/>
            <w:tcBorders>
              <w:top w:val="single" w:sz="6" w:space="0" w:color="000000"/>
              <w:left w:val="single" w:sz="6"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Recevoir et enregistrer les griefs</w:t>
            </w:r>
          </w:p>
        </w:tc>
        <w:tc>
          <w:tcPr>
            <w:tcW w:w="1967" w:type="dxa"/>
            <w:tcBorders>
              <w:top w:val="single" w:sz="6" w:space="0" w:color="000000"/>
              <w:left w:val="single" w:sz="6" w:space="0" w:color="000000"/>
              <w:bottom w:val="single" w:sz="6" w:space="0" w:color="000000"/>
              <w:right w:val="single" w:sz="12" w:space="0" w:color="000000"/>
            </w:tcBorders>
          </w:tcPr>
          <w:p w:rsidR="002B0F61" w:rsidRPr="00CF3BDE" w:rsidRDefault="00094014"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w:t>
            </w:r>
            <w:r w:rsidR="002B0F61" w:rsidRPr="00CF3BDE">
              <w:rPr>
                <w:rFonts w:eastAsia="Times New Roman"/>
                <w:spacing w:val="-1"/>
              </w:rPr>
              <w:t>ans</w:t>
            </w:r>
            <w:r>
              <w:rPr>
                <w:rFonts w:eastAsia="Times New Roman"/>
                <w:spacing w:val="-1"/>
              </w:rPr>
              <w:t xml:space="preserve"> </w:t>
            </w:r>
            <w:r w:rsidR="002B0F61" w:rsidRPr="00CF3BDE">
              <w:rPr>
                <w:rFonts w:eastAsia="Times New Roman"/>
              </w:rPr>
              <w:t>24 heures</w:t>
            </w:r>
          </w:p>
        </w:tc>
      </w:tr>
      <w:tr w:rsidR="002B0F61" w:rsidRPr="00CF3BDE"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rPr>
              <w:t>2</w:t>
            </w:r>
          </w:p>
        </w:tc>
        <w:tc>
          <w:tcPr>
            <w:tcW w:w="6315" w:type="dxa"/>
            <w:tcBorders>
              <w:top w:val="single" w:sz="6" w:space="0" w:color="000000"/>
              <w:left w:val="single" w:sz="6"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Accuser réception</w:t>
            </w:r>
          </w:p>
        </w:tc>
        <w:tc>
          <w:tcPr>
            <w:tcW w:w="1967" w:type="dxa"/>
            <w:tcBorders>
              <w:top w:val="single" w:sz="6" w:space="0" w:color="000000"/>
              <w:left w:val="single" w:sz="6" w:space="0" w:color="000000"/>
              <w:bottom w:val="single" w:sz="6" w:space="0" w:color="000000"/>
              <w:right w:val="single" w:sz="12" w:space="0" w:color="000000"/>
            </w:tcBorders>
          </w:tcPr>
          <w:p w:rsidR="002B0F61" w:rsidRPr="00CF3BDE" w:rsidRDefault="00094014"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w:t>
            </w:r>
            <w:r w:rsidR="002B0F61" w:rsidRPr="00CF3BDE">
              <w:rPr>
                <w:rFonts w:eastAsia="Times New Roman"/>
                <w:spacing w:val="-1"/>
              </w:rPr>
              <w:t>ans</w:t>
            </w:r>
            <w:r>
              <w:rPr>
                <w:rFonts w:eastAsia="Times New Roman"/>
                <w:spacing w:val="-1"/>
              </w:rPr>
              <w:t xml:space="preserve"> </w:t>
            </w:r>
            <w:r w:rsidR="002B0F61" w:rsidRPr="00CF3BDE">
              <w:rPr>
                <w:rFonts w:eastAsia="Times New Roman"/>
              </w:rPr>
              <w:t>24 heures</w:t>
            </w:r>
          </w:p>
        </w:tc>
      </w:tr>
      <w:tr w:rsidR="002B0F61" w:rsidRPr="00CF3BDE" w:rsidTr="00345951">
        <w:trPr>
          <w:trHeight w:hRule="exact" w:val="335"/>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rPr>
              <w:t>3</w:t>
            </w:r>
          </w:p>
        </w:tc>
        <w:tc>
          <w:tcPr>
            <w:tcW w:w="6315" w:type="dxa"/>
            <w:tcBorders>
              <w:top w:val="single" w:sz="6" w:space="0" w:color="000000"/>
              <w:left w:val="single" w:sz="6"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Évaluer le grief</w:t>
            </w:r>
          </w:p>
        </w:tc>
        <w:tc>
          <w:tcPr>
            <w:tcW w:w="1967" w:type="dxa"/>
            <w:tcBorders>
              <w:top w:val="single" w:sz="6" w:space="0" w:color="000000"/>
              <w:left w:val="single" w:sz="6" w:space="0" w:color="000000"/>
              <w:bottom w:val="single" w:sz="6" w:space="0" w:color="000000"/>
              <w:right w:val="single" w:sz="12" w:space="0" w:color="000000"/>
            </w:tcBorders>
          </w:tcPr>
          <w:p w:rsidR="002B0F61" w:rsidRPr="00CF3BDE" w:rsidRDefault="00094014"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w:t>
            </w:r>
            <w:r w:rsidR="002B0F61" w:rsidRPr="00CF3BDE">
              <w:rPr>
                <w:rFonts w:eastAsia="Times New Roman"/>
                <w:spacing w:val="-1"/>
              </w:rPr>
              <w:t>ans</w:t>
            </w:r>
            <w:r>
              <w:rPr>
                <w:rFonts w:eastAsia="Times New Roman"/>
                <w:spacing w:val="-1"/>
              </w:rPr>
              <w:t xml:space="preserve"> </w:t>
            </w:r>
            <w:r w:rsidR="002B0F61" w:rsidRPr="00CF3BDE">
              <w:rPr>
                <w:rFonts w:eastAsia="Times New Roman"/>
              </w:rPr>
              <w:t>24 heures</w:t>
            </w:r>
          </w:p>
        </w:tc>
      </w:tr>
      <w:tr w:rsidR="002B0F61" w:rsidRPr="00CF3BDE"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rPr>
              <w:t>4</w:t>
            </w:r>
          </w:p>
        </w:tc>
        <w:tc>
          <w:tcPr>
            <w:tcW w:w="6315" w:type="dxa"/>
            <w:tcBorders>
              <w:top w:val="single" w:sz="6" w:space="0" w:color="000000"/>
              <w:left w:val="single" w:sz="6"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Attribuer la responsabilité</w:t>
            </w:r>
          </w:p>
        </w:tc>
        <w:tc>
          <w:tcPr>
            <w:tcW w:w="1967" w:type="dxa"/>
            <w:tcBorders>
              <w:top w:val="single" w:sz="6" w:space="0" w:color="000000"/>
              <w:left w:val="single" w:sz="6" w:space="0" w:color="000000"/>
              <w:bottom w:val="single" w:sz="6" w:space="0" w:color="000000"/>
              <w:right w:val="single" w:sz="12" w:space="0" w:color="000000"/>
            </w:tcBorders>
          </w:tcPr>
          <w:p w:rsidR="002B0F61" w:rsidRPr="00CF3BDE" w:rsidRDefault="00094014"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w:t>
            </w:r>
            <w:r w:rsidR="002B0F61" w:rsidRPr="00CF3BDE">
              <w:rPr>
                <w:rFonts w:eastAsia="Times New Roman"/>
                <w:spacing w:val="-1"/>
              </w:rPr>
              <w:t>ans</w:t>
            </w:r>
            <w:r>
              <w:rPr>
                <w:rFonts w:eastAsia="Times New Roman"/>
                <w:spacing w:val="-1"/>
              </w:rPr>
              <w:t xml:space="preserve"> </w:t>
            </w:r>
            <w:r w:rsidR="002B0F61" w:rsidRPr="00CF3BDE">
              <w:rPr>
                <w:rFonts w:eastAsia="Times New Roman"/>
              </w:rPr>
              <w:t>2 jours</w:t>
            </w:r>
          </w:p>
        </w:tc>
      </w:tr>
      <w:tr w:rsidR="002B0F61" w:rsidRPr="00CF3BDE"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rPr>
              <w:t>5</w:t>
            </w:r>
          </w:p>
        </w:tc>
        <w:tc>
          <w:tcPr>
            <w:tcW w:w="6315" w:type="dxa"/>
            <w:tcBorders>
              <w:top w:val="single" w:sz="6" w:space="0" w:color="000000"/>
              <w:left w:val="single" w:sz="6"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Développement</w:t>
            </w:r>
            <w:r w:rsidR="002B1B29" w:rsidRPr="00CF3BDE">
              <w:rPr>
                <w:rFonts w:eastAsia="Times New Roman"/>
                <w:spacing w:val="-1"/>
              </w:rPr>
              <w:t xml:space="preserve"> </w:t>
            </w:r>
            <w:r w:rsidRPr="00CF3BDE">
              <w:rPr>
                <w:rFonts w:eastAsia="Times New Roman"/>
              </w:rPr>
              <w:t>de réponse</w:t>
            </w:r>
          </w:p>
        </w:tc>
        <w:tc>
          <w:tcPr>
            <w:tcW w:w="1967" w:type="dxa"/>
            <w:tcBorders>
              <w:top w:val="single" w:sz="6" w:space="0" w:color="000000"/>
              <w:left w:val="single" w:sz="6" w:space="0" w:color="000000"/>
              <w:bottom w:val="single" w:sz="6" w:space="0" w:color="000000"/>
              <w:right w:val="single" w:sz="12" w:space="0" w:color="000000"/>
            </w:tcBorders>
          </w:tcPr>
          <w:p w:rsidR="002B0F61" w:rsidRPr="00CF3BDE" w:rsidRDefault="00094014"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w:t>
            </w:r>
            <w:r w:rsidR="002B0F61" w:rsidRPr="00CF3BDE">
              <w:rPr>
                <w:rFonts w:eastAsia="Times New Roman"/>
                <w:spacing w:val="-1"/>
              </w:rPr>
              <w:t>ans</w:t>
            </w:r>
            <w:r>
              <w:rPr>
                <w:rFonts w:eastAsia="Times New Roman"/>
                <w:spacing w:val="-1"/>
              </w:rPr>
              <w:t xml:space="preserve"> </w:t>
            </w:r>
            <w:r w:rsidR="002B0F61" w:rsidRPr="00CF3BDE">
              <w:rPr>
                <w:rFonts w:eastAsia="Times New Roman"/>
              </w:rPr>
              <w:t>7 jours</w:t>
            </w:r>
          </w:p>
        </w:tc>
      </w:tr>
      <w:tr w:rsidR="002B0F61" w:rsidRPr="00CF3BDE"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rPr>
              <w:t>6</w:t>
            </w:r>
          </w:p>
        </w:tc>
        <w:tc>
          <w:tcPr>
            <w:tcW w:w="6315" w:type="dxa"/>
            <w:tcBorders>
              <w:top w:val="single" w:sz="6" w:space="0" w:color="000000"/>
              <w:left w:val="single" w:sz="6"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Mise en œuvre</w:t>
            </w:r>
            <w:r w:rsidR="002B1B29" w:rsidRPr="00CF3BDE">
              <w:rPr>
                <w:rFonts w:eastAsia="Times New Roman"/>
                <w:spacing w:val="-1"/>
              </w:rPr>
              <w:t xml:space="preserve"> </w:t>
            </w:r>
            <w:r w:rsidRPr="00CF3BDE">
              <w:rPr>
                <w:rFonts w:eastAsia="Times New Roman"/>
              </w:rPr>
              <w:t>de réponse en cas d'accord</w:t>
            </w:r>
          </w:p>
        </w:tc>
        <w:tc>
          <w:tcPr>
            <w:tcW w:w="1967" w:type="dxa"/>
            <w:tcBorders>
              <w:top w:val="single" w:sz="6" w:space="0" w:color="000000"/>
              <w:left w:val="single" w:sz="6" w:space="0" w:color="000000"/>
              <w:bottom w:val="single" w:sz="6" w:space="0" w:color="000000"/>
              <w:right w:val="single" w:sz="12" w:space="0" w:color="000000"/>
            </w:tcBorders>
          </w:tcPr>
          <w:p w:rsidR="002B0F61" w:rsidRPr="00CF3BDE" w:rsidRDefault="00094014"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w:t>
            </w:r>
            <w:r w:rsidR="002B0F61" w:rsidRPr="00CF3BDE">
              <w:rPr>
                <w:rFonts w:eastAsia="Times New Roman"/>
                <w:spacing w:val="-1"/>
              </w:rPr>
              <w:t>ans</w:t>
            </w:r>
            <w:r>
              <w:rPr>
                <w:rFonts w:eastAsia="Times New Roman"/>
                <w:spacing w:val="-1"/>
              </w:rPr>
              <w:t xml:space="preserve"> </w:t>
            </w:r>
            <w:r w:rsidR="002B0F61" w:rsidRPr="00CF3BDE">
              <w:rPr>
                <w:rFonts w:eastAsia="Times New Roman"/>
              </w:rPr>
              <w:t>7 jours</w:t>
            </w:r>
          </w:p>
        </w:tc>
      </w:tr>
      <w:tr w:rsidR="002B0F61" w:rsidRPr="00CF3BDE" w:rsidTr="00345951">
        <w:trPr>
          <w:trHeight w:hRule="exact" w:val="335"/>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rPr>
              <w:t>7</w:t>
            </w:r>
          </w:p>
        </w:tc>
        <w:tc>
          <w:tcPr>
            <w:tcW w:w="6315" w:type="dxa"/>
            <w:tcBorders>
              <w:top w:val="single" w:sz="6" w:space="0" w:color="000000"/>
              <w:left w:val="single" w:sz="6"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Fermer le grief</w:t>
            </w:r>
          </w:p>
        </w:tc>
        <w:tc>
          <w:tcPr>
            <w:tcW w:w="1967" w:type="dxa"/>
            <w:tcBorders>
              <w:top w:val="single" w:sz="6" w:space="0" w:color="000000"/>
              <w:left w:val="single" w:sz="6" w:space="0" w:color="000000"/>
              <w:bottom w:val="single" w:sz="6" w:space="0" w:color="000000"/>
              <w:right w:val="single" w:sz="12" w:space="0" w:color="000000"/>
            </w:tcBorders>
          </w:tcPr>
          <w:p w:rsidR="002B0F61" w:rsidRPr="00CF3BDE" w:rsidRDefault="00094014"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w:t>
            </w:r>
            <w:r w:rsidR="002B0F61" w:rsidRPr="00CF3BDE">
              <w:rPr>
                <w:rFonts w:eastAsia="Times New Roman"/>
                <w:spacing w:val="-1"/>
              </w:rPr>
              <w:t>ans</w:t>
            </w:r>
            <w:r>
              <w:rPr>
                <w:rFonts w:eastAsia="Times New Roman"/>
                <w:spacing w:val="-1"/>
              </w:rPr>
              <w:t xml:space="preserve"> </w:t>
            </w:r>
            <w:r w:rsidR="002B0F61" w:rsidRPr="00CF3BDE">
              <w:rPr>
                <w:rFonts w:eastAsia="Times New Roman"/>
              </w:rPr>
              <w:t>2 jours</w:t>
            </w:r>
          </w:p>
        </w:tc>
      </w:tr>
      <w:tr w:rsidR="002B0F61" w:rsidRPr="00CF3BDE" w:rsidTr="00345951">
        <w:trPr>
          <w:trHeight w:hRule="exact" w:val="648"/>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rPr>
              <w:t>8</w:t>
            </w:r>
          </w:p>
        </w:tc>
        <w:tc>
          <w:tcPr>
            <w:tcW w:w="6315" w:type="dxa"/>
            <w:tcBorders>
              <w:top w:val="single" w:sz="6" w:space="0" w:color="000000"/>
              <w:left w:val="single" w:sz="6"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Lancer un processus d'examen des griefs si aucun accord n'est trouvé</w:t>
            </w:r>
            <w:r w:rsidR="002B1B29" w:rsidRPr="00CF3BDE">
              <w:rPr>
                <w:rFonts w:eastAsia="Times New Roman"/>
                <w:spacing w:val="-1"/>
              </w:rPr>
              <w:t xml:space="preserve"> </w:t>
            </w:r>
            <w:r w:rsidRPr="00CF3BDE">
              <w:rPr>
                <w:rFonts w:eastAsia="Times New Roman"/>
              </w:rPr>
              <w:t>en première instance</w:t>
            </w:r>
          </w:p>
        </w:tc>
        <w:tc>
          <w:tcPr>
            <w:tcW w:w="1967" w:type="dxa"/>
            <w:tcBorders>
              <w:top w:val="single" w:sz="6" w:space="0" w:color="000000"/>
              <w:left w:val="single" w:sz="6" w:space="0" w:color="000000"/>
              <w:bottom w:val="single" w:sz="6" w:space="0" w:color="000000"/>
              <w:right w:val="single" w:sz="12" w:space="0" w:color="000000"/>
            </w:tcBorders>
          </w:tcPr>
          <w:p w:rsidR="002B0F61" w:rsidRPr="00CF3BDE" w:rsidRDefault="00756E89"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w:t>
            </w:r>
            <w:r w:rsidR="002B0F61" w:rsidRPr="00CF3BDE">
              <w:rPr>
                <w:rFonts w:eastAsia="Times New Roman"/>
                <w:spacing w:val="-1"/>
              </w:rPr>
              <w:t>ans</w:t>
            </w:r>
            <w:r>
              <w:rPr>
                <w:rFonts w:eastAsia="Times New Roman"/>
                <w:spacing w:val="-1"/>
              </w:rPr>
              <w:t xml:space="preserve"> </w:t>
            </w:r>
            <w:r w:rsidR="002B0F61" w:rsidRPr="00CF3BDE">
              <w:rPr>
                <w:rFonts w:eastAsia="Times New Roman"/>
              </w:rPr>
              <w:t>7 jours</w:t>
            </w:r>
          </w:p>
        </w:tc>
      </w:tr>
      <w:tr w:rsidR="002B0F61" w:rsidRPr="00CF3BDE" w:rsidTr="00345951">
        <w:trPr>
          <w:trHeight w:hRule="exact" w:val="332"/>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rPr>
              <w:t>9</w:t>
            </w:r>
          </w:p>
        </w:tc>
        <w:tc>
          <w:tcPr>
            <w:tcW w:w="6315" w:type="dxa"/>
            <w:tcBorders>
              <w:top w:val="single" w:sz="6" w:space="0" w:color="000000"/>
              <w:left w:val="single" w:sz="6" w:space="0" w:color="000000"/>
              <w:bottom w:val="single" w:sz="6"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Mettre en œuvre la recommandation d'examen et clore le grief</w:t>
            </w:r>
          </w:p>
        </w:tc>
        <w:tc>
          <w:tcPr>
            <w:tcW w:w="1967" w:type="dxa"/>
            <w:tcBorders>
              <w:top w:val="single" w:sz="6" w:space="0" w:color="000000"/>
              <w:left w:val="single" w:sz="6" w:space="0" w:color="000000"/>
              <w:bottom w:val="single" w:sz="6" w:space="0" w:color="000000"/>
              <w:right w:val="single" w:sz="12"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dans</w:t>
            </w:r>
            <w:r w:rsidRPr="00CF3BDE">
              <w:rPr>
                <w:rFonts w:eastAsia="Times New Roman"/>
              </w:rPr>
              <w:t>14 jours</w:t>
            </w:r>
          </w:p>
        </w:tc>
      </w:tr>
      <w:tr w:rsidR="002B0F61" w:rsidRPr="00CF3BDE" w:rsidTr="00345951">
        <w:trPr>
          <w:trHeight w:hRule="exact" w:val="349"/>
          <w:jc w:val="center"/>
        </w:trPr>
        <w:tc>
          <w:tcPr>
            <w:tcW w:w="900" w:type="dxa"/>
            <w:tcBorders>
              <w:top w:val="single" w:sz="6" w:space="0" w:color="000000"/>
              <w:left w:val="single" w:sz="12" w:space="0" w:color="000000"/>
              <w:bottom w:val="single" w:sz="12"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2"/>
              <w:contextualSpacing/>
              <w:rPr>
                <w:rFonts w:eastAsia="Times New Roman"/>
              </w:rPr>
            </w:pPr>
            <w:r w:rsidRPr="00CF3BDE">
              <w:rPr>
                <w:rFonts w:eastAsia="Times New Roman"/>
                <w:spacing w:val="-1"/>
              </w:rPr>
              <w:t>dix</w:t>
            </w:r>
          </w:p>
        </w:tc>
        <w:tc>
          <w:tcPr>
            <w:tcW w:w="6315" w:type="dxa"/>
            <w:tcBorders>
              <w:top w:val="single" w:sz="6" w:space="0" w:color="000000"/>
              <w:left w:val="single" w:sz="6" w:space="0" w:color="000000"/>
              <w:bottom w:val="single" w:sz="12" w:space="0" w:color="000000"/>
              <w:right w:val="single" w:sz="6"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r w:rsidRPr="00CF3BDE">
              <w:rPr>
                <w:rFonts w:eastAsia="Times New Roman"/>
                <w:spacing w:val="-1"/>
              </w:rPr>
              <w:t>Grief</w:t>
            </w:r>
            <w:r w:rsidR="002B1B29" w:rsidRPr="00CF3BDE">
              <w:rPr>
                <w:rFonts w:eastAsia="Times New Roman"/>
                <w:spacing w:val="-1"/>
              </w:rPr>
              <w:t xml:space="preserve"> </w:t>
            </w:r>
            <w:r w:rsidRPr="00CF3BDE">
              <w:rPr>
                <w:rFonts w:eastAsia="Times New Roman"/>
              </w:rPr>
              <w:t>traduit en justice par le plaignant</w:t>
            </w:r>
          </w:p>
        </w:tc>
        <w:tc>
          <w:tcPr>
            <w:tcW w:w="1967" w:type="dxa"/>
            <w:tcBorders>
              <w:top w:val="single" w:sz="6" w:space="0" w:color="000000"/>
              <w:left w:val="single" w:sz="6" w:space="0" w:color="000000"/>
              <w:bottom w:val="single" w:sz="12" w:space="0" w:color="000000"/>
              <w:right w:val="single" w:sz="12" w:space="0" w:color="000000"/>
            </w:tcBorders>
          </w:tcPr>
          <w:p w:rsidR="002B0F61" w:rsidRPr="00CF3BDE" w:rsidRDefault="002B0F61" w:rsidP="00D75EE8">
            <w:pPr>
              <w:widowControl w:val="0"/>
              <w:kinsoku w:val="0"/>
              <w:overflowPunct w:val="0"/>
              <w:autoSpaceDE w:val="0"/>
              <w:autoSpaceDN w:val="0"/>
              <w:adjustRightInd w:val="0"/>
              <w:ind w:left="99"/>
              <w:contextualSpacing/>
              <w:rPr>
                <w:rFonts w:eastAsia="Times New Roman"/>
              </w:rPr>
            </w:pPr>
          </w:p>
        </w:tc>
      </w:tr>
    </w:tbl>
    <w:p w:rsidR="002B0F61" w:rsidRPr="00CF3BDE" w:rsidRDefault="002B0F61" w:rsidP="002B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538135"/>
        </w:rPr>
      </w:pPr>
    </w:p>
    <w:p w:rsidR="002B0F61" w:rsidRPr="00CF3BDE" w:rsidRDefault="002B0F61" w:rsidP="00045EAE">
      <w:pPr>
        <w:pStyle w:val="PargrafodaLista"/>
        <w:numPr>
          <w:ilvl w:val="2"/>
          <w:numId w:val="198"/>
        </w:numPr>
        <w:spacing w:after="120" w:line="240" w:lineRule="auto"/>
        <w:ind w:right="-847"/>
        <w:outlineLvl w:val="1"/>
        <w:rPr>
          <w:rFonts w:ascii="Times New Roman" w:hAnsi="Times New Roman"/>
          <w:b/>
          <w:bCs/>
        </w:rPr>
      </w:pPr>
      <w:bookmarkStart w:id="394" w:name="_Toc73459787"/>
      <w:r w:rsidRPr="00CF3BDE">
        <w:rPr>
          <w:rFonts w:ascii="Times New Roman" w:hAnsi="Times New Roman"/>
          <w:b/>
          <w:bCs/>
          <w:sz w:val="24"/>
          <w:szCs w:val="24"/>
        </w:rPr>
        <w:t>Lieux d'</w:t>
      </w:r>
      <w:r w:rsidR="00E31232" w:rsidRPr="00CF3BDE">
        <w:rPr>
          <w:rFonts w:ascii="Times New Roman" w:hAnsi="Times New Roman"/>
          <w:b/>
          <w:bCs/>
          <w:sz w:val="24"/>
          <w:szCs w:val="24"/>
        </w:rPr>
        <w:t>enregistrement des plaintes</w:t>
      </w:r>
      <w:r w:rsidRPr="00CF3BDE">
        <w:rPr>
          <w:rFonts w:ascii="Times New Roman" w:hAnsi="Times New Roman"/>
          <w:b/>
          <w:bCs/>
          <w:sz w:val="24"/>
          <w:szCs w:val="24"/>
        </w:rPr>
        <w:t xml:space="preserve"> - Voies de recours</w:t>
      </w:r>
      <w:bookmarkEnd w:id="394"/>
    </w:p>
    <w:p w:rsidR="000C5C6E" w:rsidRPr="00CF3BDE" w:rsidRDefault="002B0F61" w:rsidP="005E613E">
      <w:pPr>
        <w:autoSpaceDE w:val="0"/>
        <w:autoSpaceDN w:val="0"/>
        <w:adjustRightInd w:val="0"/>
        <w:ind w:left="142" w:right="-851"/>
        <w:jc w:val="both"/>
      </w:pPr>
      <w:r w:rsidRPr="00CF3BDE">
        <w:t>Une réclamation peut être enregistrée directement via</w:t>
      </w:r>
      <w:r w:rsidR="004D706A" w:rsidRPr="00CF3BDE">
        <w:t xml:space="preserve"> l'un des modes suivants et, si </w:t>
      </w:r>
      <w:r w:rsidRPr="00CF3BDE">
        <w:t>nécessaire, de manière anonyme ou par l'intermédiaire de tiers.</w:t>
      </w:r>
    </w:p>
    <w:p w:rsidR="002B0F61" w:rsidRPr="00094014" w:rsidRDefault="002B0F61" w:rsidP="005E613E">
      <w:pPr>
        <w:pStyle w:val="Textodecomentrio"/>
        <w:numPr>
          <w:ilvl w:val="0"/>
          <w:numId w:val="166"/>
        </w:numPr>
        <w:ind w:right="-851"/>
        <w:jc w:val="both"/>
        <w:rPr>
          <w:sz w:val="22"/>
          <w:szCs w:val="22"/>
        </w:rPr>
      </w:pPr>
      <w:r w:rsidRPr="00094014">
        <w:rPr>
          <w:sz w:val="22"/>
          <w:szCs w:val="22"/>
        </w:rPr>
        <w:t xml:space="preserve">En personne avec </w:t>
      </w:r>
      <w:r w:rsidR="000F4659" w:rsidRPr="00094014">
        <w:rPr>
          <w:sz w:val="22"/>
          <w:szCs w:val="22"/>
        </w:rPr>
        <w:t>ou par lettre au point focal MGP</w:t>
      </w:r>
      <w:r w:rsidRPr="00094014">
        <w:rPr>
          <w:sz w:val="22"/>
          <w:szCs w:val="22"/>
        </w:rPr>
        <w:t xml:space="preserve"> local</w:t>
      </w:r>
    </w:p>
    <w:p w:rsidR="002B0F61" w:rsidRPr="00094014" w:rsidRDefault="002B0F61" w:rsidP="005E613E">
      <w:pPr>
        <w:pStyle w:val="Textodecomentrio"/>
        <w:numPr>
          <w:ilvl w:val="0"/>
          <w:numId w:val="166"/>
        </w:numPr>
        <w:ind w:right="-851"/>
        <w:jc w:val="both"/>
        <w:rPr>
          <w:sz w:val="22"/>
          <w:szCs w:val="22"/>
        </w:rPr>
      </w:pPr>
      <w:r w:rsidRPr="00094014">
        <w:rPr>
          <w:sz w:val="22"/>
          <w:szCs w:val="22"/>
        </w:rPr>
        <w:t>Par téléphone (appel gratuit à établir avec MARD)</w:t>
      </w:r>
    </w:p>
    <w:p w:rsidR="002B0F61" w:rsidRPr="00094014" w:rsidRDefault="002B0F61" w:rsidP="005E613E">
      <w:pPr>
        <w:pStyle w:val="Textodecomentrio"/>
        <w:numPr>
          <w:ilvl w:val="0"/>
          <w:numId w:val="166"/>
        </w:numPr>
        <w:ind w:right="-851"/>
        <w:jc w:val="both"/>
        <w:rPr>
          <w:sz w:val="22"/>
          <w:szCs w:val="22"/>
        </w:rPr>
      </w:pPr>
      <w:r w:rsidRPr="00094014">
        <w:rPr>
          <w:sz w:val="22"/>
          <w:szCs w:val="22"/>
        </w:rPr>
        <w:t>Par e-mail à (l'adresse sera bientôt activée)</w:t>
      </w:r>
    </w:p>
    <w:p w:rsidR="002B0F61" w:rsidRPr="00CF3BDE" w:rsidRDefault="002B0F61" w:rsidP="005E613E">
      <w:pPr>
        <w:pStyle w:val="Textodecomentrio"/>
        <w:ind w:right="-851"/>
        <w:jc w:val="both"/>
      </w:pPr>
    </w:p>
    <w:p w:rsidR="002B0F61" w:rsidRPr="00CF3BDE" w:rsidRDefault="00635768" w:rsidP="005E613E">
      <w:pPr>
        <w:autoSpaceDE w:val="0"/>
        <w:autoSpaceDN w:val="0"/>
        <w:adjustRightInd w:val="0"/>
        <w:ind w:left="142" w:right="-851"/>
        <w:jc w:val="both"/>
      </w:pPr>
      <w:r>
        <w:t>Ainsi, comme indique dans la dernière mise à jour du PMPP, l</w:t>
      </w:r>
      <w:r w:rsidR="002B0F61" w:rsidRPr="00CF3BDE">
        <w:t>e ministère de l'Agriculture et du Développement rural met en place des mesures supplémentaires pour traiter les plaintes sensibles et confidentielles, y compris celles liées à l'exploitation et aux abus / harcèlement sexuels (</w:t>
      </w:r>
      <w:r w:rsidR="00BD4BF0">
        <w:t>EAS/HS</w:t>
      </w:r>
      <w:r w:rsidR="002B0F61" w:rsidRPr="00CF3BDE">
        <w:t>). Les détails seront fournis dans la mise à jour du SEP.</w:t>
      </w:r>
    </w:p>
    <w:p w:rsidR="002B0F61" w:rsidRPr="00CF3BDE" w:rsidRDefault="002B0F61" w:rsidP="005E613E">
      <w:pPr>
        <w:autoSpaceDE w:val="0"/>
        <w:autoSpaceDN w:val="0"/>
        <w:adjustRightInd w:val="0"/>
        <w:ind w:left="142" w:right="-851"/>
        <w:jc w:val="both"/>
      </w:pPr>
    </w:p>
    <w:p w:rsidR="002B0F61" w:rsidRPr="007617B8" w:rsidRDefault="002B0F61" w:rsidP="005E613E">
      <w:pPr>
        <w:autoSpaceDE w:val="0"/>
        <w:autoSpaceDN w:val="0"/>
        <w:adjustRightInd w:val="0"/>
        <w:ind w:left="142" w:right="-851"/>
        <w:jc w:val="both"/>
      </w:pPr>
      <w:r w:rsidRPr="00CF3BDE">
        <w:t>Une fois qu'une plainte a été reçue, elle doit être enreg</w:t>
      </w:r>
      <w:r w:rsidR="000F4659" w:rsidRPr="00CF3BDE">
        <w:t>istrée par les points focaux MGP</w:t>
      </w:r>
      <w:r w:rsidRPr="00CF3BDE">
        <w:t xml:space="preserve"> locaux ou le spécialiste E&amp;S de la CEP dans le registre des plaintes ou da</w:t>
      </w:r>
      <w:r w:rsidR="000C5C6E" w:rsidRPr="00CF3BDE">
        <w:t>ns la base de données des plaintes</w:t>
      </w:r>
      <w:r w:rsidRPr="00CF3BDE">
        <w:t xml:space="preserve"> Excel-Sheet-. </w:t>
      </w:r>
    </w:p>
    <w:p w:rsidR="002B0F61" w:rsidRPr="00CF3BDE" w:rsidRDefault="002B0F61" w:rsidP="00045EAE">
      <w:pPr>
        <w:pStyle w:val="PargrafodaLista"/>
        <w:numPr>
          <w:ilvl w:val="2"/>
          <w:numId w:val="198"/>
        </w:numPr>
        <w:spacing w:after="120" w:line="240" w:lineRule="auto"/>
        <w:ind w:right="-851"/>
        <w:outlineLvl w:val="1"/>
        <w:rPr>
          <w:rFonts w:ascii="Times New Roman" w:hAnsi="Times New Roman"/>
          <w:b/>
          <w:bCs/>
        </w:rPr>
      </w:pPr>
      <w:bookmarkStart w:id="395" w:name="_Toc73459788"/>
      <w:r w:rsidRPr="00CF3BDE">
        <w:rPr>
          <w:rFonts w:ascii="Times New Roman" w:hAnsi="Times New Roman"/>
          <w:b/>
          <w:bCs/>
          <w:sz w:val="24"/>
          <w:szCs w:val="24"/>
        </w:rPr>
        <w:t>Dispositions organisationnelles</w:t>
      </w:r>
      <w:bookmarkEnd w:id="395"/>
    </w:p>
    <w:p w:rsidR="002B0F61" w:rsidRPr="00CF3BDE" w:rsidRDefault="002B0F61" w:rsidP="005E613E">
      <w:pPr>
        <w:autoSpaceDE w:val="0"/>
        <w:autoSpaceDN w:val="0"/>
        <w:adjustRightInd w:val="0"/>
        <w:ind w:left="142" w:right="-851"/>
        <w:jc w:val="both"/>
      </w:pPr>
      <w:r w:rsidRPr="00CF3BDE">
        <w:t xml:space="preserve">Les réclamations seront traitées au niveau national par MARD. Le GRM comprendra les étapes </w:t>
      </w:r>
      <w:r w:rsidR="006D0E5F" w:rsidRPr="00CF3BDE">
        <w:t>suivantes :</w:t>
      </w:r>
    </w:p>
    <w:p w:rsidR="002B0F61" w:rsidRPr="00CF3BDE" w:rsidRDefault="002B0F61" w:rsidP="005E613E">
      <w:pPr>
        <w:pStyle w:val="Textodecomentrio"/>
        <w:numPr>
          <w:ilvl w:val="0"/>
          <w:numId w:val="167"/>
        </w:numPr>
        <w:ind w:right="-851"/>
        <w:jc w:val="both"/>
      </w:pPr>
      <w:r w:rsidRPr="00CF3BDE">
        <w:rPr>
          <w:sz w:val="24"/>
          <w:szCs w:val="24"/>
        </w:rPr>
        <w:t>Étape 1: Réclamation soulevée auprès du point focal de règlement des griefs de la communauté locale</w:t>
      </w:r>
    </w:p>
    <w:p w:rsidR="002B0F61" w:rsidRPr="00CF3BDE" w:rsidRDefault="002B0F61" w:rsidP="005E613E">
      <w:pPr>
        <w:pStyle w:val="Textodecomentrio"/>
        <w:numPr>
          <w:ilvl w:val="0"/>
          <w:numId w:val="167"/>
        </w:numPr>
        <w:ind w:right="-851"/>
        <w:jc w:val="both"/>
      </w:pPr>
      <w:r w:rsidRPr="00CF3BDE">
        <w:rPr>
          <w:sz w:val="24"/>
          <w:szCs w:val="24"/>
        </w:rPr>
        <w:t>Étape 2: Les griefs non résolus portés au comité des griefs MARD</w:t>
      </w:r>
    </w:p>
    <w:p w:rsidR="002B0F61" w:rsidRPr="00CF3BDE" w:rsidRDefault="002B0F61" w:rsidP="005E613E">
      <w:pPr>
        <w:pStyle w:val="Textodecomentrio"/>
        <w:ind w:right="-851"/>
        <w:jc w:val="both"/>
      </w:pPr>
    </w:p>
    <w:p w:rsidR="002B0F61" w:rsidRPr="00CF3BDE" w:rsidRDefault="002B0F61" w:rsidP="005E613E">
      <w:pPr>
        <w:autoSpaceDE w:val="0"/>
        <w:autoSpaceDN w:val="0"/>
        <w:adjustRightInd w:val="0"/>
        <w:ind w:left="142" w:right="-851"/>
        <w:jc w:val="both"/>
      </w:pPr>
      <w:r w:rsidRPr="00CF3BDE">
        <w:t>Une fois que toutes les réparations possibles ont été proposées et si le plaignant n'est toujours pas satisfait, il doit être informé de son droit à un recours juridique.</w:t>
      </w:r>
    </w:p>
    <w:p w:rsidR="002B0F61" w:rsidRPr="00CF3BDE" w:rsidRDefault="002B0F61" w:rsidP="005E613E">
      <w:pPr>
        <w:autoSpaceDE w:val="0"/>
        <w:autoSpaceDN w:val="0"/>
        <w:adjustRightInd w:val="0"/>
        <w:ind w:left="142" w:right="-851"/>
        <w:jc w:val="both"/>
      </w:pPr>
    </w:p>
    <w:p w:rsidR="002B0F61" w:rsidRPr="00CF3BDE" w:rsidRDefault="002B0F61" w:rsidP="005E613E">
      <w:pPr>
        <w:autoSpaceDE w:val="0"/>
        <w:autoSpaceDN w:val="0"/>
        <w:adjustRightInd w:val="0"/>
        <w:ind w:left="142" w:right="-851"/>
        <w:jc w:val="both"/>
      </w:pPr>
      <w:r w:rsidRPr="00CF3BDE">
        <w:t>Au niveau national, le GRM sera géré au niveau de l'UCP MARD. Le spécialiste E&amp;S gérera le GRM au jour le jour, y compris les interactions avec les points focaux GRM locaux, qui en rendront compte périodiquement.</w:t>
      </w:r>
    </w:p>
    <w:p w:rsidR="002B0F61" w:rsidRPr="009C1D9E" w:rsidRDefault="002B0F61" w:rsidP="005E613E">
      <w:pPr>
        <w:autoSpaceDE w:val="0"/>
        <w:autoSpaceDN w:val="0"/>
        <w:adjustRightInd w:val="0"/>
        <w:ind w:left="142" w:right="-851"/>
        <w:jc w:val="both"/>
      </w:pPr>
    </w:p>
    <w:p w:rsidR="00743A8C" w:rsidRPr="00CF3BDE" w:rsidRDefault="00743A8C" w:rsidP="005E613E">
      <w:pPr>
        <w:autoSpaceDE w:val="0"/>
        <w:autoSpaceDN w:val="0"/>
        <w:adjustRightInd w:val="0"/>
        <w:ind w:left="142" w:right="-851"/>
        <w:jc w:val="both"/>
      </w:pPr>
      <w:r w:rsidRPr="00CF3BDE">
        <w:t>En ce qui concerne les plaintes d’EAS/HS, le traitement confidentiel des données est essentiel, et l’enregistrement de la plainte doit être fait que par l’opérateur du MGP, et mis en connaissance de la Banque Mondiale dans un délais de 24 heures dès l’enregistrement.</w:t>
      </w:r>
    </w:p>
    <w:p w:rsidR="00743A8C" w:rsidRPr="00CF3BDE" w:rsidRDefault="00743A8C" w:rsidP="005E613E">
      <w:pPr>
        <w:autoSpaceDE w:val="0"/>
        <w:autoSpaceDN w:val="0"/>
        <w:adjustRightInd w:val="0"/>
        <w:ind w:left="142" w:right="-851"/>
        <w:jc w:val="both"/>
      </w:pPr>
      <w:r w:rsidRPr="00CF3BDE">
        <w:t>Si le projet recruté une ONG spécialisé pour l’appui dans la mise en œuvre des actions contre l’EAS/HS, y compris le MGP, cette organisation pourra réaliser l’enregistrement de la plainte et aussi assurera la représentation de la survivante auprès du MGP avec son consentement éclairé</w:t>
      </w:r>
    </w:p>
    <w:p w:rsidR="00743A8C" w:rsidRPr="00CF3BDE" w:rsidRDefault="00743A8C" w:rsidP="005E613E">
      <w:pPr>
        <w:autoSpaceDE w:val="0"/>
        <w:autoSpaceDN w:val="0"/>
        <w:adjustRightInd w:val="0"/>
        <w:ind w:left="142" w:right="-851"/>
        <w:jc w:val="both"/>
      </w:pPr>
    </w:p>
    <w:p w:rsidR="00743A8C" w:rsidRPr="00CF3BDE" w:rsidRDefault="00743A8C" w:rsidP="005E613E">
      <w:pPr>
        <w:autoSpaceDE w:val="0"/>
        <w:autoSpaceDN w:val="0"/>
        <w:adjustRightInd w:val="0"/>
        <w:ind w:left="142" w:right="-851"/>
        <w:jc w:val="both"/>
      </w:pPr>
      <w:r w:rsidRPr="00CF3BDE">
        <w:t xml:space="preserve">Une fois que le processus de vérification a terminé et conclu que la plainte est liée au projet, le présumé auteur devra être informé de la sanction établie, ainsi que la survivante </w:t>
      </w:r>
    </w:p>
    <w:p w:rsidR="00743A8C" w:rsidRPr="00CF3BDE" w:rsidRDefault="00743A8C" w:rsidP="005E613E">
      <w:pPr>
        <w:autoSpaceDE w:val="0"/>
        <w:autoSpaceDN w:val="0"/>
        <w:adjustRightInd w:val="0"/>
        <w:ind w:left="142" w:right="-851"/>
        <w:jc w:val="both"/>
      </w:pPr>
    </w:p>
    <w:p w:rsidR="00125C75" w:rsidRPr="006A2B24" w:rsidRDefault="00743A8C" w:rsidP="005E613E">
      <w:pPr>
        <w:autoSpaceDE w:val="0"/>
        <w:autoSpaceDN w:val="0"/>
        <w:adjustRightInd w:val="0"/>
        <w:ind w:left="142" w:right="-851"/>
        <w:jc w:val="both"/>
      </w:pPr>
      <w:r w:rsidRPr="00CF3BDE">
        <w:t xml:space="preserve">Le processus de vérification est un processus administratif qui ne donnera pas aucune compensation économique à la survivante, et conclura avec une sanction, dans le cas échéant, au présumé auteur. Cette résolution ne détermine pas la responsabilité et/ou culpabilité, sinon la probabilité que cet acte soit lié ou pas au projet  </w:t>
      </w:r>
    </w:p>
    <w:p w:rsidR="00125C75" w:rsidRPr="00CF3BDE" w:rsidRDefault="00125C75" w:rsidP="00045EAE">
      <w:pPr>
        <w:pStyle w:val="PargrafodaLista"/>
        <w:numPr>
          <w:ilvl w:val="2"/>
          <w:numId w:val="198"/>
        </w:numPr>
        <w:spacing w:after="120" w:line="240" w:lineRule="auto"/>
        <w:ind w:right="-851"/>
        <w:outlineLvl w:val="1"/>
        <w:rPr>
          <w:rFonts w:ascii="Times New Roman" w:hAnsi="Times New Roman"/>
          <w:b/>
          <w:bCs/>
          <w:sz w:val="24"/>
          <w:szCs w:val="24"/>
        </w:rPr>
      </w:pPr>
      <w:bookmarkStart w:id="396" w:name="_Toc153567905"/>
      <w:bookmarkStart w:id="397" w:name="_Toc375311836"/>
      <w:bookmarkStart w:id="398" w:name="_Toc529964829"/>
      <w:bookmarkStart w:id="399" w:name="_Toc535408390"/>
      <w:bookmarkStart w:id="400" w:name="_Toc11158414"/>
      <w:bookmarkStart w:id="401" w:name="_Toc51072634"/>
      <w:bookmarkStart w:id="402" w:name="_Toc73459789"/>
      <w:bookmarkEnd w:id="392"/>
      <w:r w:rsidRPr="00CF3BDE">
        <w:rPr>
          <w:rFonts w:ascii="Times New Roman" w:hAnsi="Times New Roman"/>
          <w:b/>
          <w:bCs/>
          <w:sz w:val="24"/>
          <w:szCs w:val="24"/>
        </w:rPr>
        <w:t>Dispositions administratives et recours à la justice</w:t>
      </w:r>
      <w:bookmarkEnd w:id="396"/>
      <w:bookmarkEnd w:id="397"/>
      <w:bookmarkEnd w:id="398"/>
      <w:bookmarkEnd w:id="399"/>
      <w:bookmarkEnd w:id="400"/>
      <w:bookmarkEnd w:id="401"/>
      <w:bookmarkEnd w:id="402"/>
    </w:p>
    <w:p w:rsidR="00125C75" w:rsidRDefault="00125C75" w:rsidP="005E613E">
      <w:pPr>
        <w:autoSpaceDE w:val="0"/>
        <w:autoSpaceDN w:val="0"/>
        <w:adjustRightInd w:val="0"/>
        <w:ind w:left="142" w:right="-851"/>
        <w:jc w:val="both"/>
      </w:pPr>
      <w:r w:rsidRPr="00CF3BDE">
        <w:t xml:space="preserve">Le recours à la justice est aussi possible indépendamment de la voie amiable. Le plaignant peut à tout moment saisir la justice à travers le tribunal Départemental. Pour cela, la démarche à suivre est la suivante : (i) le plaignant rédige une plainte adressée au Juge du Tribunal départemental concernée ; (ii) le plaignant dépose la plainte au Tribunal départemental ; (iii) le Juge convoque le plaignant et le représentant du projet PUSA pour les entendre ; (iv) le Juge commet au besoin une commission d’évaluation de la plainte ; (iv) le Juge rend son verdict. </w:t>
      </w:r>
    </w:p>
    <w:p w:rsidR="000E214D" w:rsidRPr="00CF3BDE" w:rsidRDefault="000E214D" w:rsidP="005E613E">
      <w:pPr>
        <w:autoSpaceDE w:val="0"/>
        <w:autoSpaceDN w:val="0"/>
        <w:adjustRightInd w:val="0"/>
        <w:ind w:left="142" w:right="-851"/>
        <w:jc w:val="both"/>
      </w:pPr>
    </w:p>
    <w:p w:rsidR="00125C75" w:rsidRPr="000E214D" w:rsidRDefault="00125C75" w:rsidP="005E613E">
      <w:pPr>
        <w:pStyle w:val="PargrafodaLista"/>
        <w:numPr>
          <w:ilvl w:val="0"/>
          <w:numId w:val="98"/>
        </w:numPr>
        <w:autoSpaceDE w:val="0"/>
        <w:autoSpaceDN w:val="0"/>
        <w:adjustRightInd w:val="0"/>
        <w:spacing w:after="0" w:line="240" w:lineRule="auto"/>
        <w:ind w:right="-851"/>
        <w:jc w:val="both"/>
        <w:rPr>
          <w:rFonts w:ascii="Times New Roman" w:hAnsi="Times New Roman"/>
          <w:b/>
          <w:bCs/>
          <w:sz w:val="24"/>
          <w:szCs w:val="28"/>
        </w:rPr>
      </w:pPr>
      <w:bookmarkStart w:id="403" w:name="_Toc501105932"/>
      <w:bookmarkStart w:id="404" w:name="_Toc511207474"/>
      <w:r w:rsidRPr="00CF3BDE">
        <w:rPr>
          <w:rFonts w:ascii="Times New Roman" w:hAnsi="Times New Roman"/>
          <w:b/>
          <w:bCs/>
          <w:sz w:val="24"/>
          <w:szCs w:val="28"/>
        </w:rPr>
        <w:t xml:space="preserve">Procédure de la Gestion des Plaintes du </w:t>
      </w:r>
      <w:bookmarkEnd w:id="403"/>
      <w:bookmarkEnd w:id="404"/>
      <w:r w:rsidRPr="00CF3BDE">
        <w:rPr>
          <w:rFonts w:ascii="Times New Roman" w:hAnsi="Times New Roman"/>
          <w:b/>
          <w:bCs/>
          <w:sz w:val="24"/>
          <w:szCs w:val="28"/>
        </w:rPr>
        <w:t>projet PUSA</w:t>
      </w:r>
    </w:p>
    <w:p w:rsidR="00125C75" w:rsidRPr="007617B8" w:rsidRDefault="00125C75" w:rsidP="005E613E">
      <w:pPr>
        <w:pStyle w:val="PargrafodaLista"/>
        <w:numPr>
          <w:ilvl w:val="0"/>
          <w:numId w:val="97"/>
        </w:numPr>
        <w:autoSpaceDE w:val="0"/>
        <w:autoSpaceDN w:val="0"/>
        <w:adjustRightInd w:val="0"/>
        <w:spacing w:after="0" w:line="240" w:lineRule="auto"/>
        <w:ind w:left="1134" w:right="-851" w:hanging="425"/>
        <w:jc w:val="both"/>
        <w:rPr>
          <w:rFonts w:ascii="Times New Roman" w:hAnsi="Times New Roman"/>
          <w:b/>
          <w:sz w:val="22"/>
          <w:szCs w:val="22"/>
        </w:rPr>
      </w:pPr>
      <w:r w:rsidRPr="007617B8">
        <w:rPr>
          <w:rFonts w:ascii="Times New Roman" w:hAnsi="Times New Roman"/>
          <w:b/>
          <w:sz w:val="22"/>
          <w:szCs w:val="22"/>
        </w:rPr>
        <w:t xml:space="preserve">Enregistrement des Plaintes </w:t>
      </w:r>
      <w:r w:rsidRPr="007617B8">
        <w:rPr>
          <w:rFonts w:ascii="Times New Roman" w:hAnsi="Times New Roman"/>
          <w:sz w:val="22"/>
          <w:szCs w:val="22"/>
        </w:rPr>
        <w:t>(l’accès à l’information concernant le fonctionnement du système de dépôt et de gestion des plaintes</w:t>
      </w:r>
      <w:r w:rsidR="00587A3B" w:rsidRPr="007617B8">
        <w:rPr>
          <w:rFonts w:ascii="Times New Roman" w:hAnsi="Times New Roman"/>
          <w:sz w:val="22"/>
          <w:szCs w:val="22"/>
        </w:rPr>
        <w:t>) ;</w:t>
      </w:r>
    </w:p>
    <w:p w:rsidR="00125C75" w:rsidRPr="007617B8" w:rsidRDefault="00125C75" w:rsidP="005E613E">
      <w:pPr>
        <w:pStyle w:val="PargrafodaLista"/>
        <w:numPr>
          <w:ilvl w:val="0"/>
          <w:numId w:val="97"/>
        </w:numPr>
        <w:autoSpaceDE w:val="0"/>
        <w:autoSpaceDN w:val="0"/>
        <w:adjustRightInd w:val="0"/>
        <w:spacing w:after="0" w:line="240" w:lineRule="auto"/>
        <w:ind w:left="1134" w:right="-851" w:hanging="425"/>
        <w:jc w:val="both"/>
        <w:rPr>
          <w:rFonts w:ascii="Times New Roman" w:hAnsi="Times New Roman"/>
          <w:b/>
          <w:sz w:val="22"/>
          <w:szCs w:val="22"/>
        </w:rPr>
      </w:pPr>
      <w:r w:rsidRPr="007617B8">
        <w:rPr>
          <w:rFonts w:ascii="Times New Roman" w:hAnsi="Times New Roman"/>
          <w:b/>
          <w:sz w:val="22"/>
          <w:szCs w:val="22"/>
        </w:rPr>
        <w:t>Tri et le traitement</w:t>
      </w:r>
      <w:r w:rsidRPr="007617B8">
        <w:rPr>
          <w:rFonts w:ascii="Times New Roman" w:hAnsi="Times New Roman"/>
          <w:sz w:val="22"/>
          <w:szCs w:val="22"/>
        </w:rPr>
        <w:t xml:space="preserve"> des </w:t>
      </w:r>
      <w:r w:rsidR="00587A3B" w:rsidRPr="007617B8">
        <w:rPr>
          <w:rFonts w:ascii="Times New Roman" w:hAnsi="Times New Roman"/>
          <w:sz w:val="22"/>
          <w:szCs w:val="22"/>
        </w:rPr>
        <w:t>plaintes ;</w:t>
      </w:r>
    </w:p>
    <w:p w:rsidR="00125C75" w:rsidRPr="007617B8" w:rsidRDefault="00125C75" w:rsidP="005E613E">
      <w:pPr>
        <w:pStyle w:val="PargrafodaLista"/>
        <w:numPr>
          <w:ilvl w:val="0"/>
          <w:numId w:val="97"/>
        </w:numPr>
        <w:autoSpaceDE w:val="0"/>
        <w:autoSpaceDN w:val="0"/>
        <w:adjustRightInd w:val="0"/>
        <w:spacing w:after="0" w:line="240" w:lineRule="auto"/>
        <w:ind w:left="1134" w:right="-851" w:hanging="425"/>
        <w:jc w:val="both"/>
        <w:rPr>
          <w:rFonts w:ascii="Times New Roman" w:hAnsi="Times New Roman"/>
          <w:b/>
          <w:sz w:val="22"/>
          <w:szCs w:val="22"/>
        </w:rPr>
      </w:pPr>
      <w:r w:rsidRPr="007617B8">
        <w:rPr>
          <w:rFonts w:ascii="Times New Roman" w:hAnsi="Times New Roman"/>
          <w:b/>
          <w:sz w:val="22"/>
          <w:szCs w:val="22"/>
        </w:rPr>
        <w:t>Examen et enquête</w:t>
      </w:r>
    </w:p>
    <w:p w:rsidR="00125C75" w:rsidRPr="007617B8" w:rsidRDefault="00125C75" w:rsidP="005E613E">
      <w:pPr>
        <w:pStyle w:val="PargrafodaLista"/>
        <w:numPr>
          <w:ilvl w:val="0"/>
          <w:numId w:val="97"/>
        </w:numPr>
        <w:autoSpaceDE w:val="0"/>
        <w:autoSpaceDN w:val="0"/>
        <w:adjustRightInd w:val="0"/>
        <w:spacing w:after="0" w:line="240" w:lineRule="auto"/>
        <w:ind w:left="1134" w:right="-851" w:hanging="425"/>
        <w:jc w:val="both"/>
        <w:rPr>
          <w:rFonts w:ascii="Times New Roman" w:hAnsi="Times New Roman"/>
          <w:b/>
          <w:sz w:val="22"/>
          <w:szCs w:val="22"/>
        </w:rPr>
      </w:pPr>
      <w:r w:rsidRPr="007617B8">
        <w:rPr>
          <w:rFonts w:ascii="Times New Roman" w:hAnsi="Times New Roman"/>
          <w:b/>
          <w:sz w:val="22"/>
          <w:szCs w:val="22"/>
        </w:rPr>
        <w:t>Réponse et prise de mesures</w:t>
      </w:r>
    </w:p>
    <w:p w:rsidR="00125C75" w:rsidRPr="007617B8" w:rsidRDefault="00125C75" w:rsidP="005E613E">
      <w:pPr>
        <w:pStyle w:val="PargrafodaLista"/>
        <w:numPr>
          <w:ilvl w:val="0"/>
          <w:numId w:val="97"/>
        </w:numPr>
        <w:autoSpaceDE w:val="0"/>
        <w:autoSpaceDN w:val="0"/>
        <w:adjustRightInd w:val="0"/>
        <w:spacing w:after="0" w:line="240" w:lineRule="auto"/>
        <w:ind w:left="1134" w:right="-851" w:hanging="425"/>
        <w:jc w:val="both"/>
        <w:rPr>
          <w:rFonts w:ascii="Times New Roman" w:hAnsi="Times New Roman"/>
          <w:b/>
          <w:sz w:val="22"/>
          <w:szCs w:val="22"/>
        </w:rPr>
      </w:pPr>
      <w:r w:rsidRPr="007617B8">
        <w:rPr>
          <w:rFonts w:ascii="Times New Roman" w:hAnsi="Times New Roman"/>
          <w:b/>
          <w:sz w:val="22"/>
          <w:szCs w:val="22"/>
        </w:rPr>
        <w:t>Procédure d’appel</w:t>
      </w:r>
    </w:p>
    <w:p w:rsidR="00125C75" w:rsidRPr="007617B8" w:rsidRDefault="00125C75" w:rsidP="005E613E">
      <w:pPr>
        <w:pStyle w:val="PargrafodaLista"/>
        <w:numPr>
          <w:ilvl w:val="0"/>
          <w:numId w:val="97"/>
        </w:numPr>
        <w:autoSpaceDE w:val="0"/>
        <w:autoSpaceDN w:val="0"/>
        <w:adjustRightInd w:val="0"/>
        <w:spacing w:after="0" w:line="240" w:lineRule="auto"/>
        <w:ind w:left="1134" w:right="-851" w:hanging="425"/>
        <w:jc w:val="both"/>
        <w:rPr>
          <w:rFonts w:ascii="Times New Roman" w:hAnsi="Times New Roman"/>
          <w:b/>
          <w:sz w:val="22"/>
          <w:szCs w:val="22"/>
        </w:rPr>
      </w:pPr>
      <w:r w:rsidRPr="007617B8">
        <w:rPr>
          <w:rFonts w:ascii="Times New Roman" w:hAnsi="Times New Roman"/>
          <w:b/>
          <w:sz w:val="22"/>
          <w:szCs w:val="22"/>
        </w:rPr>
        <w:t>Résolution</w:t>
      </w:r>
    </w:p>
    <w:p w:rsidR="00125C75" w:rsidRPr="007617B8" w:rsidRDefault="00125C75" w:rsidP="005E613E">
      <w:pPr>
        <w:pStyle w:val="PargrafodaLista"/>
        <w:numPr>
          <w:ilvl w:val="0"/>
          <w:numId w:val="97"/>
        </w:numPr>
        <w:autoSpaceDE w:val="0"/>
        <w:autoSpaceDN w:val="0"/>
        <w:adjustRightInd w:val="0"/>
        <w:spacing w:after="0" w:line="240" w:lineRule="auto"/>
        <w:ind w:left="1134" w:right="-851" w:hanging="425"/>
        <w:jc w:val="both"/>
        <w:rPr>
          <w:rFonts w:ascii="Times New Roman" w:hAnsi="Times New Roman"/>
          <w:b/>
          <w:sz w:val="22"/>
          <w:szCs w:val="22"/>
        </w:rPr>
      </w:pPr>
      <w:r w:rsidRPr="007617B8">
        <w:rPr>
          <w:rFonts w:ascii="Times New Roman" w:hAnsi="Times New Roman"/>
          <w:b/>
          <w:sz w:val="22"/>
          <w:szCs w:val="22"/>
        </w:rPr>
        <w:t>Recours au Tribunal</w:t>
      </w:r>
    </w:p>
    <w:p w:rsidR="00125C75" w:rsidRPr="007617B8" w:rsidRDefault="00125C75" w:rsidP="005E613E">
      <w:pPr>
        <w:pStyle w:val="PargrafodaLista"/>
        <w:numPr>
          <w:ilvl w:val="0"/>
          <w:numId w:val="97"/>
        </w:numPr>
        <w:autoSpaceDE w:val="0"/>
        <w:autoSpaceDN w:val="0"/>
        <w:adjustRightInd w:val="0"/>
        <w:spacing w:after="0" w:line="240" w:lineRule="auto"/>
        <w:ind w:left="1134" w:right="-851" w:hanging="425"/>
        <w:jc w:val="both"/>
        <w:rPr>
          <w:rFonts w:ascii="Times New Roman" w:hAnsi="Times New Roman"/>
          <w:b/>
          <w:sz w:val="22"/>
          <w:szCs w:val="22"/>
        </w:rPr>
      </w:pPr>
      <w:r w:rsidRPr="007617B8">
        <w:rPr>
          <w:rFonts w:ascii="Times New Roman" w:hAnsi="Times New Roman"/>
          <w:b/>
          <w:sz w:val="22"/>
          <w:szCs w:val="22"/>
        </w:rPr>
        <w:t>Suivi et enregistrement des plaintes</w:t>
      </w:r>
    </w:p>
    <w:p w:rsidR="002A3AA9" w:rsidRPr="00CF3BDE" w:rsidRDefault="002A3AA9" w:rsidP="005E613E">
      <w:pPr>
        <w:ind w:right="-851"/>
        <w:jc w:val="both"/>
      </w:pPr>
    </w:p>
    <w:p w:rsidR="002A3AA9" w:rsidRPr="00CF3BDE" w:rsidRDefault="00F6724C" w:rsidP="005E613E">
      <w:pPr>
        <w:autoSpaceDE w:val="0"/>
        <w:autoSpaceDN w:val="0"/>
        <w:adjustRightInd w:val="0"/>
        <w:ind w:left="142" w:right="-851"/>
        <w:jc w:val="both"/>
      </w:pPr>
      <w:r>
        <w:rPr>
          <w:b/>
          <w:bCs/>
        </w:rPr>
        <w:t xml:space="preserve">Ainsi, le </w:t>
      </w:r>
      <w:r w:rsidRPr="002B08BA">
        <w:rPr>
          <w:b/>
          <w:bCs/>
        </w:rPr>
        <w:t>traitement de plaintes D’EAS/HS</w:t>
      </w:r>
      <w:r w:rsidRPr="00A05698" w:rsidDel="00622329">
        <w:rPr>
          <w:b/>
          <w:bCs/>
        </w:rPr>
        <w:t xml:space="preserve"> </w:t>
      </w:r>
      <w:r w:rsidRPr="00A05698">
        <w:rPr>
          <w:b/>
          <w:bCs/>
        </w:rPr>
        <w:t>ET VCE</w:t>
      </w:r>
      <w:r>
        <w:rPr>
          <w:b/>
          <w:bCs/>
        </w:rPr>
        <w:t xml:space="preserve"> est développé dans l’annexe n°3 </w:t>
      </w:r>
      <w:r w:rsidRPr="00CF3BDE">
        <w:t xml:space="preserve"> </w:t>
      </w:r>
    </w:p>
    <w:p w:rsidR="006B07CE" w:rsidRPr="00CF3BDE" w:rsidRDefault="006B07CE" w:rsidP="005E613E">
      <w:pPr>
        <w:autoSpaceDE w:val="0"/>
        <w:autoSpaceDN w:val="0"/>
        <w:adjustRightInd w:val="0"/>
        <w:ind w:left="142" w:right="-851"/>
        <w:jc w:val="both"/>
      </w:pPr>
    </w:p>
    <w:p w:rsidR="00125C75" w:rsidRPr="00CF3BDE" w:rsidRDefault="00125C75" w:rsidP="005E613E">
      <w:pPr>
        <w:autoSpaceDE w:val="0"/>
        <w:autoSpaceDN w:val="0"/>
        <w:adjustRightInd w:val="0"/>
        <w:ind w:left="142" w:right="-851"/>
        <w:jc w:val="both"/>
      </w:pPr>
      <w:r w:rsidRPr="00CF3BDE">
        <w:t xml:space="preserve">La figure </w:t>
      </w:r>
      <w:r w:rsidR="00F813D9" w:rsidRPr="00CF3BDE">
        <w:t>12</w:t>
      </w:r>
      <w:r w:rsidRPr="00CF3BDE">
        <w:t xml:space="preserve"> suivante résume le circuit du MGP du projet </w:t>
      </w:r>
      <w:r w:rsidR="00587A3B" w:rsidRPr="00CF3BDE">
        <w:t>PUSA :</w:t>
      </w:r>
      <w:r w:rsidRPr="00CF3BDE">
        <w:t xml:space="preserve"> </w:t>
      </w:r>
      <w:bookmarkStart w:id="405" w:name="_Toc32512031"/>
      <w:bookmarkStart w:id="406" w:name="_Toc534971791"/>
      <w:bookmarkStart w:id="407" w:name="_Toc11158998"/>
    </w:p>
    <w:p w:rsidR="001A5BB0" w:rsidRPr="00CF3BDE" w:rsidRDefault="001A5BB0" w:rsidP="001A5BB0">
      <w:pPr>
        <w:rPr>
          <w:highlight w:val="yellow"/>
        </w:rPr>
      </w:pPr>
      <w:r w:rsidRPr="00CF3BDE">
        <w:rPr>
          <w:noProof/>
          <w:lang w:val="pt-PT" w:eastAsia="pt-PT"/>
        </w:rPr>
        <mc:AlternateContent>
          <mc:Choice Requires="wps">
            <w:drawing>
              <wp:anchor distT="0" distB="0" distL="114300" distR="114300" simplePos="0" relativeHeight="251658277" behindDoc="0" locked="0" layoutInCell="1" allowOverlap="1" wp14:anchorId="7BF711DC" wp14:editId="50751F6E">
                <wp:simplePos x="0" y="0"/>
                <wp:positionH relativeFrom="column">
                  <wp:posOffset>1604645</wp:posOffset>
                </wp:positionH>
                <wp:positionV relativeFrom="paragraph">
                  <wp:posOffset>146685</wp:posOffset>
                </wp:positionV>
                <wp:extent cx="2210435" cy="612140"/>
                <wp:effectExtent l="0" t="0" r="0" b="0"/>
                <wp:wrapNone/>
                <wp:docPr id="30"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612140"/>
                        </a:xfrm>
                        <a:prstGeom prst="rect">
                          <a:avLst/>
                        </a:prstGeom>
                        <a:gradFill rotWithShape="1">
                          <a:gsLst>
                            <a:gs pos="0">
                              <a:srgbClr val="4B7430"/>
                            </a:gs>
                            <a:gs pos="48000">
                              <a:srgbClr val="74B349"/>
                            </a:gs>
                            <a:gs pos="100000">
                              <a:srgbClr val="A9D18E"/>
                            </a:gs>
                          </a:gsLst>
                          <a:lin ang="16200000" scaled="1"/>
                        </a:gradFill>
                        <a:ln>
                          <a:noFill/>
                        </a:ln>
                      </wps:spPr>
                      <wps:txbx>
                        <w:txbxContent>
                          <w:p w:rsidR="005851EB" w:rsidRPr="00AA45E9" w:rsidRDefault="005851EB" w:rsidP="001A5BB0">
                            <w:pPr>
                              <w:jc w:val="center"/>
                              <w:rPr>
                                <w:b/>
                                <w:color w:val="000000"/>
                                <w:sz w:val="28"/>
                                <w:szCs w:val="28"/>
                              </w:rPr>
                            </w:pPr>
                            <w:r w:rsidRPr="00AA45E9">
                              <w:rPr>
                                <w:b/>
                                <w:color w:val="000000"/>
                                <w:sz w:val="28"/>
                                <w:szCs w:val="28"/>
                              </w:rPr>
                              <w:t>TRIBUNAL</w:t>
                            </w:r>
                          </w:p>
                          <w:p w:rsidR="005851EB" w:rsidRPr="00AA45E9" w:rsidRDefault="005851EB" w:rsidP="001A5BB0">
                            <w:pPr>
                              <w:jc w:val="center"/>
                              <w:rPr>
                                <w:b/>
                                <w:color w:val="000000"/>
                                <w:sz w:val="28"/>
                                <w:szCs w:val="28"/>
                              </w:rPr>
                            </w:pPr>
                            <w:r w:rsidRPr="00AA45E9">
                              <w:rPr>
                                <w:b/>
                                <w:color w:val="000000"/>
                                <w:sz w:val="28"/>
                                <w:szCs w:val="28"/>
                              </w:rPr>
                              <w:t>(Recours en justice)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BF711DC" id="Rectangle 1679" o:spid="_x0000_s1037" style="position:absolute;margin-left:126.35pt;margin-top:11.55pt;width:174.05pt;height:48.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" fillcolor="#4b7430" stroked="f">
                <v:fill color2="#a9d18e" rotate="t" colors="0 #4b7430;31457f #74b349;1 #a9d18e" type="gradient"/>
                <v:textbox>
                  <w:txbxContent>
                    <w:p w14:paraId="14BCFA02" w14:textId="77777777" w:rsidR="005851EB" w:rsidRPr="00AA45E9" w:rsidRDefault="005851EB" w:rsidP="001A5BB0">
                      <w:pPr>
                        <w:jc w:val="center"/>
                        <w:rPr>
                          <w:b/>
                          <w:color w:val="000000"/>
                          <w:sz w:val="28"/>
                          <w:szCs w:val="28"/>
                        </w:rPr>
                      </w:pPr>
                      <w:r w:rsidRPr="00AA45E9">
                        <w:rPr>
                          <w:b/>
                          <w:color w:val="000000"/>
                          <w:sz w:val="28"/>
                          <w:szCs w:val="28"/>
                        </w:rPr>
                        <w:t>TRIBUNAL</w:t>
                      </w:r>
                    </w:p>
                    <w:p w14:paraId="30CFDBF2" w14:textId="77777777" w:rsidR="005851EB" w:rsidRPr="00AA45E9" w:rsidRDefault="005851EB" w:rsidP="001A5BB0">
                      <w:pPr>
                        <w:jc w:val="center"/>
                        <w:rPr>
                          <w:b/>
                          <w:color w:val="000000"/>
                          <w:sz w:val="28"/>
                          <w:szCs w:val="28"/>
                        </w:rPr>
                      </w:pPr>
                      <w:r w:rsidRPr="00AA45E9">
                        <w:rPr>
                          <w:b/>
                          <w:color w:val="000000"/>
                          <w:sz w:val="28"/>
                          <w:szCs w:val="28"/>
                        </w:rPr>
                        <w:t>(Recours en justice)</w:t>
                      </w:r>
                    </w:p>
                  </w:txbxContent>
                </v:textbox>
              </v:rect>
            </w:pict>
          </mc:Fallback>
        </mc:AlternateContent>
      </w:r>
    </w:p>
    <w:p w:rsidR="001A5BB0" w:rsidRPr="00CF3BDE" w:rsidRDefault="001A5BB0" w:rsidP="001A5BB0">
      <w:pPr>
        <w:rPr>
          <w:highlight w:val="yellow"/>
        </w:rPr>
      </w:pPr>
    </w:p>
    <w:p w:rsidR="001A5BB0" w:rsidRPr="00CF3BDE" w:rsidRDefault="001A5BB0" w:rsidP="001A5BB0">
      <w:pPr>
        <w:rPr>
          <w:highlight w:val="yellow"/>
        </w:rPr>
      </w:pPr>
      <w:r w:rsidRPr="00CF3BDE">
        <w:rPr>
          <w:noProof/>
          <w:lang w:val="pt-PT" w:eastAsia="pt-PT"/>
        </w:rPr>
        <mc:AlternateContent>
          <mc:Choice Requires="wps">
            <w:drawing>
              <wp:anchor distT="0" distB="0" distL="114300" distR="114300" simplePos="0" relativeHeight="251658296" behindDoc="0" locked="0" layoutInCell="1" allowOverlap="1" wp14:anchorId="38439834" wp14:editId="1432C32F">
                <wp:simplePos x="0" y="0"/>
                <wp:positionH relativeFrom="column">
                  <wp:posOffset>3854450</wp:posOffset>
                </wp:positionH>
                <wp:positionV relativeFrom="paragraph">
                  <wp:posOffset>133350</wp:posOffset>
                </wp:positionV>
                <wp:extent cx="1784350" cy="90170"/>
                <wp:effectExtent l="0" t="0" r="69850" b="113030"/>
                <wp:wrapNone/>
                <wp:docPr id="64" name="Connecteur en angl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0" cy="90170"/>
                        </a:xfrm>
                        <a:prstGeom prst="bentConnector3">
                          <a:avLst>
                            <a:gd name="adj1" fmla="val 50000"/>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type w14:anchorId="7695B4A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68" o:spid="_x0000_s1026" type="#_x0000_t34" style="position:absolute;margin-left:303.5pt;margin-top:10.5pt;width:140.5pt;height:7.1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" strokecolor="black [3200]" strokeweight="1.5pt">
                <v:stroke endarrow="block"/>
              </v:shape>
            </w:pict>
          </mc:Fallback>
        </mc:AlternateContent>
      </w:r>
    </w:p>
    <w:p w:rsidR="001A5BB0" w:rsidRPr="00CF3BDE" w:rsidRDefault="001A5BB0" w:rsidP="001A5BB0">
      <w:pPr>
        <w:rPr>
          <w:highlight w:val="yellow"/>
        </w:rPr>
      </w:pPr>
      <w:r w:rsidRPr="00CF3BDE">
        <w:rPr>
          <w:noProof/>
          <w:lang w:val="pt-PT" w:eastAsia="pt-PT"/>
        </w:rPr>
        <mc:AlternateContent>
          <mc:Choice Requires="wps">
            <w:drawing>
              <wp:anchor distT="0" distB="0" distL="114300" distR="114300" simplePos="0" relativeHeight="251658288" behindDoc="0" locked="0" layoutInCell="1" allowOverlap="1" wp14:anchorId="7A768FB4" wp14:editId="3173DDFC">
                <wp:simplePos x="0" y="0"/>
                <wp:positionH relativeFrom="column">
                  <wp:posOffset>2787015</wp:posOffset>
                </wp:positionH>
                <wp:positionV relativeFrom="paragraph">
                  <wp:posOffset>749300</wp:posOffset>
                </wp:positionV>
                <wp:extent cx="3563620" cy="2115185"/>
                <wp:effectExtent l="0" t="12383" r="56198" b="81597"/>
                <wp:wrapNone/>
                <wp:docPr id="255" name="Connecteur en angl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63620" cy="2115185"/>
                        </a:xfrm>
                        <a:prstGeom prst="bentConnector3">
                          <a:avLst>
                            <a:gd name="adj1" fmla="val 99889"/>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646489D4" id="Connecteur en angle 568" o:spid="_x0000_s1026" type="#_x0000_t34" style="position:absolute;margin-left:219.45pt;margin-top:59pt;width:280.6pt;height:166.55pt;rotation:90;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" adj="21576" strokecolor="black [3200]" strokeweight="1.5pt">
                <v:stroke endarrow="block"/>
              </v:shape>
            </w:pict>
          </mc:Fallback>
        </mc:AlternateContent>
      </w:r>
      <w:r w:rsidRPr="00CF3BDE">
        <w:rPr>
          <w:noProof/>
          <w:lang w:val="pt-PT" w:eastAsia="pt-PT"/>
        </w:rPr>
        <mc:AlternateContent>
          <mc:Choice Requires="wps">
            <w:drawing>
              <wp:anchor distT="0" distB="0" distL="114300" distR="114300" simplePos="0" relativeHeight="251658278" behindDoc="0" locked="0" layoutInCell="1" allowOverlap="1" wp14:anchorId="4517CE1C" wp14:editId="3D4ADF8A">
                <wp:simplePos x="0" y="0"/>
                <wp:positionH relativeFrom="column">
                  <wp:posOffset>2105025</wp:posOffset>
                </wp:positionH>
                <wp:positionV relativeFrom="paragraph">
                  <wp:posOffset>305435</wp:posOffset>
                </wp:positionV>
                <wp:extent cx="1345565" cy="422910"/>
                <wp:effectExtent l="209550" t="0" r="6985" b="167640"/>
                <wp:wrapNone/>
                <wp:docPr id="89" name="Rectangl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422910"/>
                        </a:xfrm>
                        <a:prstGeom prst="rect">
                          <a:avLst/>
                        </a:prstGeom>
                        <a:gradFill rotWithShape="1">
                          <a:gsLst>
                            <a:gs pos="0">
                              <a:srgbClr val="2A69A2"/>
                            </a:gs>
                            <a:gs pos="48000">
                              <a:srgbClr val="609ED6"/>
                            </a:gs>
                            <a:gs pos="100000">
                              <a:srgbClr val="9DC3E6"/>
                            </a:gs>
                          </a:gsLst>
                          <a:lin ang="16200000" scaled="1"/>
                        </a:gradFill>
                        <a:ln w="9525">
                          <a:solidFill>
                            <a:srgbClr val="5B9BD5"/>
                          </a:solidFill>
                          <a:miter lim="800000"/>
                          <a:headEnd/>
                          <a:tailEnd/>
                        </a:ln>
                        <a:effectLst>
                          <a:outerShdw dist="250190" dir="8459995" algn="ctr" rotWithShape="0">
                            <a:srgbClr val="808080">
                              <a:alpha val="28000"/>
                            </a:srgbClr>
                          </a:outerShdw>
                        </a:effectLst>
                      </wps:spPr>
                      <wps:txbx>
                        <w:txbxContent>
                          <w:p w:rsidR="005851EB" w:rsidRPr="00AA45E9" w:rsidRDefault="005851EB" w:rsidP="001A5BB0">
                            <w:pPr>
                              <w:rPr>
                                <w:rFonts w:ascii="Maiandra GD" w:hAnsi="Maiandra GD"/>
                                <w:b/>
                                <w:color w:val="000000"/>
                              </w:rPr>
                            </w:pPr>
                            <w:r>
                              <w:rPr>
                                <w:rFonts w:ascii="Maiandra GD" w:hAnsi="Maiandra GD"/>
                                <w:b/>
                                <w:color w:val="000000"/>
                              </w:rPr>
                              <w:t xml:space="preserve"> UC</w:t>
                            </w:r>
                            <w:r w:rsidRPr="00AA45E9">
                              <w:rPr>
                                <w:rFonts w:ascii="Maiandra GD" w:hAnsi="Maiandra GD"/>
                                <w:b/>
                                <w:color w:val="000000"/>
                              </w:rPr>
                              <w:t xml:space="preserve">P du </w:t>
                            </w:r>
                            <w:r>
                              <w:rPr>
                                <w:rFonts w:ascii="Maiandra GD" w:hAnsi="Maiandra GD"/>
                                <w:b/>
                                <w:color w:val="000000"/>
                              </w:rPr>
                              <w:t>PUSA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517CE1C" id="Rectangle 1675" o:spid="_x0000_s1038" style="position:absolute;margin-left:165.75pt;margin-top:24.05pt;width:105.95pt;height:33.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" fillcolor="#2a69a2" strokecolor="#5b9bd5">
                <v:fill color2="#9dc3e6" rotate="t" colors="0 #2a69a2;31457f #609ed6;1 #9dc3e6" type="gradient"/>
                <v:shadow on="t" color="gray" opacity="18350f" mv:blur="0" offset="-194434emu,157450emu"/>
                <v:textbox>
                  <w:txbxContent>
                    <w:p w14:paraId="6FBEC17C" w14:textId="77777777" w:rsidR="005851EB" w:rsidRPr="00AA45E9" w:rsidRDefault="005851EB" w:rsidP="001A5BB0">
                      <w:pPr>
                        <w:rPr>
                          <w:rFonts w:ascii="Maiandra GD" w:hAnsi="Maiandra GD"/>
                          <w:b/>
                          <w:color w:val="000000"/>
                        </w:rPr>
                      </w:pPr>
                      <w:r>
                        <w:rPr>
                          <w:rFonts w:ascii="Maiandra GD" w:hAnsi="Maiandra GD"/>
                          <w:b/>
                          <w:color w:val="000000"/>
                        </w:rPr>
                        <w:t xml:space="preserve"> UC</w:t>
                      </w:r>
                      <w:r w:rsidRPr="00AA45E9">
                        <w:rPr>
                          <w:rFonts w:ascii="Maiandra GD" w:hAnsi="Maiandra GD"/>
                          <w:b/>
                          <w:color w:val="000000"/>
                        </w:rPr>
                        <w:t xml:space="preserve">P du </w:t>
                      </w:r>
                      <w:r>
                        <w:rPr>
                          <w:rFonts w:ascii="Maiandra GD" w:hAnsi="Maiandra GD"/>
                          <w:b/>
                          <w:color w:val="000000"/>
                        </w:rPr>
                        <w:t>PUSA</w:t>
                      </w:r>
                    </w:p>
                  </w:txbxContent>
                </v:textbox>
              </v:rect>
            </w:pict>
          </mc:Fallback>
        </mc:AlternateContent>
      </w:r>
    </w:p>
    <w:p w:rsidR="001A5BB0" w:rsidRPr="00CF3BDE" w:rsidRDefault="001A5BB0" w:rsidP="001A5BB0">
      <w:pPr>
        <w:rPr>
          <w:highlight w:val="yellow"/>
        </w:rPr>
      </w:pPr>
      <w:r w:rsidRPr="00CF3BDE">
        <w:rPr>
          <w:noProof/>
          <w:lang w:val="pt-PT" w:eastAsia="pt-PT"/>
        </w:rPr>
        <mc:AlternateContent>
          <mc:Choice Requires="wps">
            <w:drawing>
              <wp:anchor distT="0" distB="0" distL="114300" distR="114300" simplePos="0" relativeHeight="251658295" behindDoc="0" locked="0" layoutInCell="1" allowOverlap="1" wp14:anchorId="7C6E8307" wp14:editId="36A591D7">
                <wp:simplePos x="0" y="0"/>
                <wp:positionH relativeFrom="column">
                  <wp:posOffset>2749550</wp:posOffset>
                </wp:positionH>
                <wp:positionV relativeFrom="paragraph">
                  <wp:posOffset>76835</wp:posOffset>
                </wp:positionV>
                <wp:extent cx="176530" cy="45085"/>
                <wp:effectExtent l="40322" t="61278" r="66993" b="16192"/>
                <wp:wrapNone/>
                <wp:docPr id="254" name="Connecteur droit avec flèch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76530" cy="45085"/>
                        </a:xfrm>
                        <a:prstGeom prst="bentConnector3">
                          <a:avLst>
                            <a:gd name="adj1" fmla="val 50000"/>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7F9AA9C1" id="Connecteur droit avec flèche 569" o:spid="_x0000_s1026" type="#_x0000_t34" style="position:absolute;margin-left:216.5pt;margin-top:6.05pt;width:13.9pt;height:3.55pt;rotation:-90;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" strokecolor="black [3200]" strokeweight="1.5pt">
                <v:stroke endarrow="block"/>
              </v:shape>
            </w:pict>
          </mc:Fallback>
        </mc:AlternateContent>
      </w:r>
      <w:r w:rsidRPr="00CF3BDE">
        <w:rPr>
          <w:highlight w:val="yellow"/>
        </w:rPr>
        <w:t xml:space="preserve">                                                             </w:t>
      </w:r>
    </w:p>
    <w:p w:rsidR="001A5BB0" w:rsidRPr="00CF3BDE" w:rsidRDefault="001A5BB0" w:rsidP="001A5BB0">
      <w:pPr>
        <w:rPr>
          <w:highlight w:val="yellow"/>
        </w:rPr>
      </w:pPr>
      <w:r w:rsidRPr="00CF3BDE">
        <w:rPr>
          <w:noProof/>
          <w:lang w:val="pt-PT" w:eastAsia="pt-PT"/>
        </w:rPr>
        <mc:AlternateContent>
          <mc:Choice Requires="wps">
            <w:drawing>
              <wp:anchor distT="0" distB="0" distL="114300" distR="114300" simplePos="0" relativeHeight="251658289" behindDoc="0" locked="0" layoutInCell="1" allowOverlap="1" wp14:anchorId="08D8A6F9" wp14:editId="7A8A44F8">
                <wp:simplePos x="0" y="0"/>
                <wp:positionH relativeFrom="column">
                  <wp:posOffset>668655</wp:posOffset>
                </wp:positionH>
                <wp:positionV relativeFrom="paragraph">
                  <wp:posOffset>535305</wp:posOffset>
                </wp:positionV>
                <wp:extent cx="1923415" cy="950595"/>
                <wp:effectExtent l="17145" t="23495" r="60960" b="15240"/>
                <wp:wrapNone/>
                <wp:docPr id="253" name="Connecteur en angl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23415" cy="950595"/>
                        </a:xfrm>
                        <a:prstGeom prst="bentConnector3">
                          <a:avLst>
                            <a:gd name="adj1" fmla="val 9973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66909F03" id="Connecteur en angle 570" o:spid="_x0000_s1026" type="#_x0000_t34" style="position:absolute;margin-left:52.65pt;margin-top:42.15pt;width:151.45pt;height:74.85pt;rotation:-90;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" adj="21542" strokeweight="1.5pt">
                <v:stroke endarrow="block"/>
              </v:shape>
            </w:pict>
          </mc:Fallback>
        </mc:AlternateContent>
      </w:r>
      <w:r w:rsidRPr="00CF3BDE">
        <w:rPr>
          <w:noProof/>
          <w:lang w:val="pt-PT" w:eastAsia="pt-PT"/>
        </w:rPr>
        <mc:AlternateContent>
          <mc:Choice Requires="wps">
            <w:drawing>
              <wp:anchor distT="0" distB="0" distL="114300" distR="114300" simplePos="0" relativeHeight="251658292" behindDoc="0" locked="0" layoutInCell="1" allowOverlap="1" wp14:anchorId="2584C5DF" wp14:editId="71A7C583">
                <wp:simplePos x="0" y="0"/>
                <wp:positionH relativeFrom="column">
                  <wp:posOffset>2567305</wp:posOffset>
                </wp:positionH>
                <wp:positionV relativeFrom="paragraph">
                  <wp:posOffset>372745</wp:posOffset>
                </wp:positionV>
                <wp:extent cx="507365" cy="45085"/>
                <wp:effectExtent l="27940" t="48260" r="79375" b="28575"/>
                <wp:wrapNone/>
                <wp:docPr id="252" name="Connecteur droit avec flèch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07365" cy="45085"/>
                        </a:xfrm>
                        <a:prstGeom prst="bentConnector3">
                          <a:avLst>
                            <a:gd name="adj1" fmla="val 49935"/>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11E5253E" id="Connecteur droit avec flèche 571" o:spid="_x0000_s1026" type="#_x0000_t34" style="position:absolute;margin-left:202.15pt;margin-top:29.35pt;width:39.95pt;height:3.55pt;rotation:-90;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" adj="10786" strokecolor="black [3200]" strokeweight="1.5pt">
                <v:stroke endarrow="block"/>
              </v:shape>
            </w:pict>
          </mc:Fallback>
        </mc:AlternateContent>
      </w:r>
    </w:p>
    <w:p w:rsidR="001A5BB0" w:rsidRPr="00CF3BDE" w:rsidRDefault="001A5BB0" w:rsidP="001A5BB0">
      <w:pPr>
        <w:rPr>
          <w:highlight w:val="yellow"/>
        </w:rPr>
      </w:pPr>
    </w:p>
    <w:p w:rsidR="001A5BB0" w:rsidRPr="00CF3BDE" w:rsidRDefault="001A5BB0" w:rsidP="001A5BB0">
      <w:pPr>
        <w:rPr>
          <w:highlight w:val="yellow"/>
        </w:rPr>
      </w:pPr>
    </w:p>
    <w:p w:rsidR="001A5BB0" w:rsidRPr="00CF3BDE" w:rsidRDefault="001A5BB0" w:rsidP="001A5BB0">
      <w:pPr>
        <w:rPr>
          <w:highlight w:val="yellow"/>
        </w:rPr>
      </w:pPr>
      <w:r w:rsidRPr="00CF3BDE">
        <w:rPr>
          <w:noProof/>
          <w:lang w:val="pt-PT" w:eastAsia="pt-PT"/>
        </w:rPr>
        <mc:AlternateContent>
          <mc:Choice Requires="wps">
            <w:drawing>
              <wp:anchor distT="0" distB="0" distL="114300" distR="114300" simplePos="0" relativeHeight="251658279" behindDoc="0" locked="0" layoutInCell="1" allowOverlap="1" wp14:anchorId="4C513A0F" wp14:editId="632D3ADF">
                <wp:simplePos x="0" y="0"/>
                <wp:positionH relativeFrom="column">
                  <wp:posOffset>1604645</wp:posOffset>
                </wp:positionH>
                <wp:positionV relativeFrom="paragraph">
                  <wp:posOffset>80010</wp:posOffset>
                </wp:positionV>
                <wp:extent cx="2456815" cy="524510"/>
                <wp:effectExtent l="0" t="0" r="19685" b="27940"/>
                <wp:wrapNone/>
                <wp:docPr id="85"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524510"/>
                        </a:xfrm>
                        <a:prstGeom prst="rect">
                          <a:avLst/>
                        </a:prstGeom>
                        <a:gradFill rotWithShape="1">
                          <a:gsLst>
                            <a:gs pos="0">
                              <a:srgbClr val="B0500F"/>
                            </a:gs>
                            <a:gs pos="48000">
                              <a:srgbClr val="EE8137"/>
                            </a:gs>
                            <a:gs pos="100000">
                              <a:srgbClr val="F4B183"/>
                            </a:gs>
                          </a:gsLst>
                          <a:lin ang="16200000" scaled="1"/>
                        </a:gradFill>
                        <a:ln>
                          <a:noFill/>
                        </a:ln>
                        <a:effectLst>
                          <a:outerShdw dist="33020" dir="3179998" algn="ctr" rotWithShape="0">
                            <a:srgbClr val="808080">
                              <a:alpha val="29999"/>
                            </a:srgbClr>
                          </a:outerShdw>
                        </a:effectLst>
                      </wps:spPr>
                      <wps:txbx>
                        <w:txbxContent>
                          <w:p w:rsidR="005851EB" w:rsidRPr="00AA45E9" w:rsidRDefault="005851EB" w:rsidP="001A5BB0">
                            <w:pPr>
                              <w:jc w:val="center"/>
                              <w:rPr>
                                <w:rFonts w:ascii="Maiandra GD" w:hAnsi="Maiandra GD"/>
                                <w:b/>
                                <w:color w:val="000000"/>
                                <w:sz w:val="20"/>
                                <w:szCs w:val="20"/>
                              </w:rPr>
                            </w:pPr>
                            <w:r w:rsidRPr="00AA45E9">
                              <w:rPr>
                                <w:rFonts w:ascii="Maiandra GD" w:hAnsi="Maiandra GD"/>
                                <w:b/>
                                <w:color w:val="000000"/>
                                <w:sz w:val="20"/>
                                <w:szCs w:val="20"/>
                              </w:rPr>
                              <w:t>Comité de gestion du MGP</w:t>
                            </w:r>
                          </w:p>
                          <w:p w:rsidR="005851EB" w:rsidRPr="00AA45E9" w:rsidRDefault="005851EB" w:rsidP="001A5BB0">
                            <w:pPr>
                              <w:jc w:val="center"/>
                              <w:rPr>
                                <w:rFonts w:ascii="Maiandra GD" w:hAnsi="Maiandra GD"/>
                                <w:b/>
                                <w:color w:val="000000"/>
                                <w:sz w:val="20"/>
                                <w:szCs w:val="20"/>
                              </w:rPr>
                            </w:pPr>
                            <w:r w:rsidRPr="00AA45E9">
                              <w:rPr>
                                <w:rFonts w:ascii="Maiandra GD" w:hAnsi="Maiandra GD"/>
                                <w:b/>
                                <w:color w:val="000000"/>
                                <w:sz w:val="20"/>
                                <w:szCs w:val="20"/>
                              </w:rPr>
                              <w:t>03 jours pour le traitement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C513A0F" id="Rectangle 1671" o:spid="_x0000_s1039" style="position:absolute;margin-left:126.35pt;margin-top:6.3pt;width:193.45pt;height:41.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" fillcolor="#b0500f" stroked="f">
                <v:fill color2="#f4b183" rotate="t" colors="0 #b0500f;31457f #ee8137;1 #f4b183" type="gradient"/>
                <v:shadow on="t" color="gray" opacity="19660f" mv:blur="0" offset=".552mm,26371emu"/>
                <v:textbox>
                  <w:txbxContent>
                    <w:p w14:paraId="35BF3545" w14:textId="77777777" w:rsidR="005851EB" w:rsidRPr="00AA45E9" w:rsidRDefault="005851EB" w:rsidP="001A5BB0">
                      <w:pPr>
                        <w:jc w:val="center"/>
                        <w:rPr>
                          <w:rFonts w:ascii="Maiandra GD" w:hAnsi="Maiandra GD"/>
                          <w:b/>
                          <w:color w:val="000000"/>
                          <w:sz w:val="20"/>
                          <w:szCs w:val="20"/>
                        </w:rPr>
                      </w:pPr>
                      <w:r w:rsidRPr="00AA45E9">
                        <w:rPr>
                          <w:rFonts w:ascii="Maiandra GD" w:hAnsi="Maiandra GD"/>
                          <w:b/>
                          <w:color w:val="000000"/>
                          <w:sz w:val="20"/>
                          <w:szCs w:val="20"/>
                        </w:rPr>
                        <w:t>Comité de gestion du MGP</w:t>
                      </w:r>
                    </w:p>
                    <w:p w14:paraId="036B78BA" w14:textId="77777777" w:rsidR="005851EB" w:rsidRPr="00AA45E9" w:rsidRDefault="005851EB" w:rsidP="001A5BB0">
                      <w:pPr>
                        <w:jc w:val="center"/>
                        <w:rPr>
                          <w:rFonts w:ascii="Maiandra GD" w:hAnsi="Maiandra GD"/>
                          <w:b/>
                          <w:color w:val="000000"/>
                          <w:sz w:val="20"/>
                          <w:szCs w:val="20"/>
                        </w:rPr>
                      </w:pPr>
                      <w:r w:rsidRPr="00AA45E9">
                        <w:rPr>
                          <w:rFonts w:ascii="Maiandra GD" w:hAnsi="Maiandra GD"/>
                          <w:b/>
                          <w:color w:val="000000"/>
                          <w:sz w:val="20"/>
                          <w:szCs w:val="20"/>
                        </w:rPr>
                        <w:t>03 jours pour le traitement</w:t>
                      </w:r>
                    </w:p>
                  </w:txbxContent>
                </v:textbox>
              </v:rect>
            </w:pict>
          </mc:Fallback>
        </mc:AlternateContent>
      </w:r>
    </w:p>
    <w:p w:rsidR="001A5BB0" w:rsidRPr="00CF3BDE" w:rsidRDefault="001A5BB0" w:rsidP="001A5BB0">
      <w:r w:rsidRPr="00CF3BDE">
        <w:rPr>
          <w:noProof/>
          <w:lang w:val="pt-PT" w:eastAsia="pt-PT"/>
        </w:rPr>
        <mc:AlternateContent>
          <mc:Choice Requires="wps">
            <w:drawing>
              <wp:anchor distT="0" distB="0" distL="114300" distR="114300" simplePos="0" relativeHeight="251658290" behindDoc="0" locked="0" layoutInCell="1" allowOverlap="1" wp14:anchorId="59386CA7" wp14:editId="64AD353B">
                <wp:simplePos x="0" y="0"/>
                <wp:positionH relativeFrom="column">
                  <wp:posOffset>1213485</wp:posOffset>
                </wp:positionH>
                <wp:positionV relativeFrom="paragraph">
                  <wp:posOffset>59690</wp:posOffset>
                </wp:positionV>
                <wp:extent cx="343535" cy="45085"/>
                <wp:effectExtent l="18415" t="59055" r="19050" b="19685"/>
                <wp:wrapNone/>
                <wp:docPr id="251" name="Connecteur droit avec flèch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535" cy="45085"/>
                        </a:xfrm>
                        <a:prstGeom prst="bentConnector3">
                          <a:avLst>
                            <a:gd name="adj1" fmla="val 4990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688B49F7" id="Connecteur droit avec flèche 572" o:spid="_x0000_s1026" type="#_x0000_t34" style="position:absolute;margin-left:95.55pt;margin-top:4.7pt;width:27.05pt;height:3.55pt;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" adj="10780" strokeweight="1.5pt">
                <v:stroke endarrow="block"/>
              </v:shape>
            </w:pict>
          </mc:Fallback>
        </mc:AlternateContent>
      </w:r>
      <w:r w:rsidRPr="00CF3BDE">
        <w:t xml:space="preserve">          Ampliation</w:t>
      </w:r>
    </w:p>
    <w:p w:rsidR="001A5BB0" w:rsidRPr="00CF3BDE" w:rsidRDefault="001A5BB0" w:rsidP="001A5BB0">
      <w:r w:rsidRPr="00CF3BDE">
        <w:rPr>
          <w:noProof/>
          <w:lang w:val="pt-PT" w:eastAsia="pt-PT"/>
        </w:rPr>
        <mc:AlternateContent>
          <mc:Choice Requires="wps">
            <w:drawing>
              <wp:anchor distT="0" distB="0" distL="114300" distR="114300" simplePos="0" relativeHeight="251658281" behindDoc="0" locked="0" layoutInCell="1" allowOverlap="1" wp14:anchorId="63E00E38" wp14:editId="258E68DD">
                <wp:simplePos x="0" y="0"/>
                <wp:positionH relativeFrom="column">
                  <wp:posOffset>4007485</wp:posOffset>
                </wp:positionH>
                <wp:positionV relativeFrom="paragraph">
                  <wp:posOffset>227330</wp:posOffset>
                </wp:positionV>
                <wp:extent cx="643255" cy="451485"/>
                <wp:effectExtent l="60325" t="20320" r="12065" b="12700"/>
                <wp:wrapNone/>
                <wp:docPr id="250" name="Connecteur droit avec flèch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43255" cy="451485"/>
                        </a:xfrm>
                        <a:prstGeom prst="bentConnector3">
                          <a:avLst>
                            <a:gd name="adj1" fmla="val 100884"/>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14416553" id="Connecteur droit avec flèche 1670" o:spid="_x0000_s1026" type="#_x0000_t34" style="position:absolute;margin-left:315.55pt;margin-top:17.9pt;width:50.65pt;height:35.55pt;rotation:-90;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" adj="21791" strokeweight="1.5pt">
                <v:stroke endarrow="block"/>
              </v:shape>
            </w:pict>
          </mc:Fallback>
        </mc:AlternateContent>
      </w:r>
      <w:r w:rsidRPr="00CF3BDE">
        <w:t xml:space="preserve">           Plai</w:t>
      </w:r>
      <w:r w:rsidR="00361E11" w:rsidRPr="00CF3BDE">
        <w:t xml:space="preserve">nte </w:t>
      </w:r>
    </w:p>
    <w:p w:rsidR="001A5BB0" w:rsidRPr="00CF3BDE" w:rsidRDefault="001A5BB0" w:rsidP="001A5BB0">
      <w:r w:rsidRPr="00CF3BDE">
        <w:rPr>
          <w:noProof/>
          <w:lang w:val="pt-PT" w:eastAsia="pt-PT"/>
        </w:rPr>
        <mc:AlternateContent>
          <mc:Choice Requires="wps">
            <w:drawing>
              <wp:anchor distT="0" distB="0" distL="114300" distR="114300" simplePos="0" relativeHeight="251658291" behindDoc="0" locked="0" layoutInCell="1" allowOverlap="1" wp14:anchorId="6359BD0D" wp14:editId="04B6829A">
                <wp:simplePos x="0" y="0"/>
                <wp:positionH relativeFrom="column">
                  <wp:posOffset>2663825</wp:posOffset>
                </wp:positionH>
                <wp:positionV relativeFrom="paragraph">
                  <wp:posOffset>358775</wp:posOffset>
                </wp:positionV>
                <wp:extent cx="435610" cy="45085"/>
                <wp:effectExtent l="15875" t="27940" r="62865" b="12700"/>
                <wp:wrapNone/>
                <wp:docPr id="249" name="Connecteur droit avec flèch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35610" cy="4508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5266423F" id="Connecteur droit avec flèche 573" o:spid="_x0000_s1026" type="#_x0000_t34" style="position:absolute;margin-left:209.75pt;margin-top:28.25pt;width:34.3pt;height:3.55pt;rotation:-90;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" strokeweight="1.5pt">
                <v:stroke endarrow="block"/>
              </v:shape>
            </w:pict>
          </mc:Fallback>
        </mc:AlternateContent>
      </w:r>
      <w:r w:rsidRPr="00CF3BDE">
        <w:t xml:space="preserve">             </w:t>
      </w:r>
    </w:p>
    <w:p w:rsidR="001A5BB0" w:rsidRPr="00CF3BDE" w:rsidRDefault="001A5BB0" w:rsidP="001A5BB0">
      <w:pPr>
        <w:rPr>
          <w:highlight w:val="yellow"/>
        </w:rPr>
      </w:pPr>
    </w:p>
    <w:p w:rsidR="001A5BB0" w:rsidRPr="00CF3BDE" w:rsidRDefault="001A5BB0" w:rsidP="001A5BB0">
      <w:pPr>
        <w:rPr>
          <w:highlight w:val="yellow"/>
        </w:rPr>
      </w:pPr>
      <w:r w:rsidRPr="00CF3BDE">
        <w:rPr>
          <w:highlight w:val="yellow"/>
        </w:rPr>
        <w:t xml:space="preserve"> </w:t>
      </w:r>
    </w:p>
    <w:p w:rsidR="001A5BB0" w:rsidRPr="00CF3BDE" w:rsidRDefault="001A5BB0" w:rsidP="001A5BB0">
      <w:pPr>
        <w:rPr>
          <w:highlight w:val="yellow"/>
        </w:rPr>
      </w:pPr>
      <w:r w:rsidRPr="00CF3BDE">
        <w:rPr>
          <w:noProof/>
          <w:lang w:val="pt-PT" w:eastAsia="pt-PT"/>
        </w:rPr>
        <mc:AlternateContent>
          <mc:Choice Requires="wps">
            <w:drawing>
              <wp:anchor distT="0" distB="0" distL="114300" distR="114300" simplePos="0" relativeHeight="251658282" behindDoc="0" locked="0" layoutInCell="1" allowOverlap="1" wp14:anchorId="68BD107B" wp14:editId="382E23EA">
                <wp:simplePos x="0" y="0"/>
                <wp:positionH relativeFrom="column">
                  <wp:posOffset>2230755</wp:posOffset>
                </wp:positionH>
                <wp:positionV relativeFrom="paragraph">
                  <wp:posOffset>9525</wp:posOffset>
                </wp:positionV>
                <wp:extent cx="1236345" cy="1206500"/>
                <wp:effectExtent l="0" t="0" r="1905" b="0"/>
                <wp:wrapNone/>
                <wp:docPr id="80" name="Ellipse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1206500"/>
                        </a:xfrm>
                        <a:prstGeom prst="ellipse">
                          <a:avLst/>
                        </a:prstGeom>
                        <a:solidFill>
                          <a:srgbClr val="000000">
                            <a:alpha val="50195"/>
                          </a:srgbClr>
                        </a:solidFill>
                        <a:ln>
                          <a:noFill/>
                        </a:ln>
                      </wps:spPr>
                      <wps:txbx>
                        <w:txbxContent>
                          <w:p w:rsidR="005851EB" w:rsidRPr="00037B2A" w:rsidRDefault="005851EB" w:rsidP="001A5BB0">
                            <w:pPr>
                              <w:jc w:val="center"/>
                              <w:rPr>
                                <w:rFonts w:ascii="Maiandra GD" w:hAnsi="Maiandra GD"/>
                                <w:b/>
                                <w:sz w:val="20"/>
                                <w:szCs w:val="20"/>
                              </w:rPr>
                            </w:pPr>
                            <w:r w:rsidRPr="00037B2A">
                              <w:rPr>
                                <w:rFonts w:ascii="Maiandra GD" w:hAnsi="Maiandra GD"/>
                                <w:b/>
                                <w:sz w:val="20"/>
                                <w:szCs w:val="20"/>
                              </w:rPr>
                              <w:t>Chefs de quartiers 02 Jrs pour le traitement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8BD107B" id="Ellipse 1665" o:spid="_x0000_s1040" style="position:absolute;margin-left:175.65pt;margin-top:.75pt;width:97.35pt;height: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" fillcolor="black" stroked="f">
                <v:fill opacity="32896f"/>
                <v:textbox>
                  <w:txbxContent>
                    <w:p w14:paraId="0F68E815" w14:textId="77777777" w:rsidR="005851EB" w:rsidRPr="00037B2A" w:rsidRDefault="005851EB" w:rsidP="001A5BB0">
                      <w:pPr>
                        <w:jc w:val="center"/>
                        <w:rPr>
                          <w:rFonts w:ascii="Maiandra GD" w:hAnsi="Maiandra GD"/>
                          <w:b/>
                          <w:sz w:val="20"/>
                          <w:szCs w:val="20"/>
                        </w:rPr>
                      </w:pPr>
                      <w:r w:rsidRPr="00037B2A">
                        <w:rPr>
                          <w:rFonts w:ascii="Maiandra GD" w:hAnsi="Maiandra GD"/>
                          <w:b/>
                          <w:sz w:val="20"/>
                          <w:szCs w:val="20"/>
                        </w:rPr>
                        <w:t>Chefs de quartiers 02 Jrs pour le traitement</w:t>
                      </w:r>
                    </w:p>
                  </w:txbxContent>
                </v:textbox>
              </v:oval>
            </w:pict>
          </mc:Fallback>
        </mc:AlternateContent>
      </w:r>
      <w:r w:rsidRPr="00CF3BDE">
        <w:rPr>
          <w:noProof/>
          <w:lang w:val="pt-PT" w:eastAsia="pt-PT"/>
        </w:rPr>
        <mc:AlternateContent>
          <mc:Choice Requires="wps">
            <w:drawing>
              <wp:anchor distT="0" distB="0" distL="114300" distR="114300" simplePos="0" relativeHeight="251658280" behindDoc="0" locked="0" layoutInCell="1" allowOverlap="1" wp14:anchorId="5D248AB1" wp14:editId="5DE99B77">
                <wp:simplePos x="0" y="0"/>
                <wp:positionH relativeFrom="column">
                  <wp:posOffset>4176395</wp:posOffset>
                </wp:positionH>
                <wp:positionV relativeFrom="paragraph">
                  <wp:posOffset>81915</wp:posOffset>
                </wp:positionV>
                <wp:extent cx="1252220" cy="844550"/>
                <wp:effectExtent l="0" t="0" r="0" b="0"/>
                <wp:wrapNone/>
                <wp:docPr id="81" name="Ellipse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844550"/>
                        </a:xfrm>
                        <a:prstGeom prst="ellipse">
                          <a:avLst/>
                        </a:prstGeom>
                        <a:solidFill>
                          <a:srgbClr val="000000">
                            <a:alpha val="50195"/>
                          </a:srgbClr>
                        </a:solidFill>
                        <a:ln>
                          <a:noFill/>
                        </a:ln>
                      </wps:spPr>
                      <wps:txbx>
                        <w:txbxContent>
                          <w:p w:rsidR="005851EB" w:rsidRPr="00037B2A" w:rsidRDefault="005851EB" w:rsidP="001A5BB0">
                            <w:pPr>
                              <w:jc w:val="center"/>
                              <w:rPr>
                                <w:rFonts w:ascii="Maiandra GD" w:hAnsi="Maiandra GD"/>
                                <w:b/>
                                <w:sz w:val="20"/>
                                <w:szCs w:val="20"/>
                              </w:rPr>
                            </w:pPr>
                            <w:r w:rsidRPr="00037B2A">
                              <w:rPr>
                                <w:rFonts w:ascii="Maiandra GD" w:hAnsi="Maiandra GD"/>
                                <w:b/>
                                <w:sz w:val="20"/>
                                <w:szCs w:val="20"/>
                              </w:rPr>
                              <w:t>Entreprises et Missions de contrôle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D248AB1" id="Ellipse 1667" o:spid="_x0000_s1041" style="position:absolute;margin-left:328.85pt;margin-top:6.45pt;width:98.6pt;height:6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" fillcolor="black" stroked="f">
                <v:fill opacity="32896f"/>
                <v:textbox>
                  <w:txbxContent>
                    <w:p w14:paraId="720D33AE" w14:textId="77777777" w:rsidR="005851EB" w:rsidRPr="00037B2A" w:rsidRDefault="005851EB" w:rsidP="001A5BB0">
                      <w:pPr>
                        <w:jc w:val="center"/>
                        <w:rPr>
                          <w:rFonts w:ascii="Maiandra GD" w:hAnsi="Maiandra GD"/>
                          <w:b/>
                          <w:sz w:val="20"/>
                          <w:szCs w:val="20"/>
                        </w:rPr>
                      </w:pPr>
                      <w:r w:rsidRPr="00037B2A">
                        <w:rPr>
                          <w:rFonts w:ascii="Maiandra GD" w:hAnsi="Maiandra GD"/>
                          <w:b/>
                          <w:sz w:val="20"/>
                          <w:szCs w:val="20"/>
                        </w:rPr>
                        <w:t>Entreprises et Missions de contrôle</w:t>
                      </w:r>
                    </w:p>
                  </w:txbxContent>
                </v:textbox>
              </v:oval>
            </w:pict>
          </mc:Fallback>
        </mc:AlternateContent>
      </w:r>
      <w:r w:rsidRPr="00CF3BDE">
        <w:rPr>
          <w:highlight w:val="yellow"/>
        </w:rPr>
        <w:t xml:space="preserve">                                                                                                                                                                                                                      </w:t>
      </w:r>
    </w:p>
    <w:p w:rsidR="001A5BB0" w:rsidRPr="00CF3BDE" w:rsidRDefault="001A5BB0" w:rsidP="001A5BB0">
      <w:pPr>
        <w:rPr>
          <w:highlight w:val="yellow"/>
        </w:rPr>
      </w:pPr>
      <w:r w:rsidRPr="00CF3BDE">
        <w:rPr>
          <w:noProof/>
          <w:lang w:val="pt-PT" w:eastAsia="pt-PT"/>
        </w:rPr>
        <mc:AlternateContent>
          <mc:Choice Requires="wps">
            <w:drawing>
              <wp:anchor distT="0" distB="0" distL="114300" distR="114300" simplePos="0" relativeHeight="251658285" behindDoc="0" locked="0" layoutInCell="1" allowOverlap="1" wp14:anchorId="65FE0509" wp14:editId="5D141E2F">
                <wp:simplePos x="0" y="0"/>
                <wp:positionH relativeFrom="column">
                  <wp:posOffset>1043305</wp:posOffset>
                </wp:positionH>
                <wp:positionV relativeFrom="paragraph">
                  <wp:posOffset>151765</wp:posOffset>
                </wp:positionV>
                <wp:extent cx="1004570" cy="889000"/>
                <wp:effectExtent l="0" t="0" r="5080" b="6350"/>
                <wp:wrapNone/>
                <wp:docPr id="78" name="Ellipse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889000"/>
                        </a:xfrm>
                        <a:prstGeom prst="ellipse">
                          <a:avLst/>
                        </a:prstGeom>
                        <a:solidFill>
                          <a:srgbClr val="000000">
                            <a:alpha val="50195"/>
                          </a:srgbClr>
                        </a:solidFill>
                        <a:ln>
                          <a:noFill/>
                        </a:ln>
                      </wps:spPr>
                      <wps:txbx>
                        <w:txbxContent>
                          <w:p w:rsidR="005851EB" w:rsidRPr="00037B2A" w:rsidRDefault="005851EB" w:rsidP="001A5BB0">
                            <w:pPr>
                              <w:jc w:val="center"/>
                              <w:rPr>
                                <w:b/>
                              </w:rPr>
                            </w:pPr>
                            <w:r w:rsidRPr="00037B2A">
                              <w:rPr>
                                <w:b/>
                              </w:rPr>
                              <w:t>Dépôt de la plainte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5FE0509" id="Ellipse 1664" o:spid="_x0000_s1042" style="position:absolute;margin-left:82.15pt;margin-top:11.95pt;width:79.1pt;height:70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" fillcolor="black" stroked="f">
                <v:fill opacity="32896f"/>
                <v:textbox>
                  <w:txbxContent>
                    <w:p w14:paraId="1BC5F609" w14:textId="77777777" w:rsidR="005851EB" w:rsidRPr="00037B2A" w:rsidRDefault="005851EB" w:rsidP="001A5BB0">
                      <w:pPr>
                        <w:jc w:val="center"/>
                        <w:rPr>
                          <w:b/>
                        </w:rPr>
                      </w:pPr>
                      <w:r w:rsidRPr="00037B2A">
                        <w:rPr>
                          <w:b/>
                        </w:rPr>
                        <w:t>Dépôt de la plainte</w:t>
                      </w:r>
                    </w:p>
                  </w:txbxContent>
                </v:textbox>
              </v:oval>
            </w:pict>
          </mc:Fallback>
        </mc:AlternateContent>
      </w:r>
      <w:r w:rsidRPr="00CF3BDE">
        <w:rPr>
          <w:highlight w:val="yellow"/>
        </w:rPr>
        <w:t xml:space="preserve">                                                                                                                                          </w:t>
      </w:r>
    </w:p>
    <w:p w:rsidR="001A5BB0" w:rsidRPr="00CF3BDE" w:rsidRDefault="001A5BB0" w:rsidP="001A5BB0">
      <w:pPr>
        <w:rPr>
          <w:highlight w:val="yellow"/>
        </w:rPr>
      </w:pPr>
      <w:r w:rsidRPr="00CF3BDE">
        <w:rPr>
          <w:noProof/>
          <w:lang w:val="pt-PT" w:eastAsia="pt-PT"/>
        </w:rPr>
        <mc:AlternateContent>
          <mc:Choice Requires="wps">
            <w:drawing>
              <wp:anchor distT="0" distB="0" distL="114300" distR="114300" simplePos="0" relativeHeight="251658283" behindDoc="0" locked="0" layoutInCell="1" allowOverlap="1" wp14:anchorId="67D6CAD6" wp14:editId="363064CF">
                <wp:simplePos x="0" y="0"/>
                <wp:positionH relativeFrom="column">
                  <wp:posOffset>3638550</wp:posOffset>
                </wp:positionH>
                <wp:positionV relativeFrom="paragraph">
                  <wp:posOffset>114935</wp:posOffset>
                </wp:positionV>
                <wp:extent cx="464820" cy="54610"/>
                <wp:effectExtent l="19050" t="19050" r="11430" b="21590"/>
                <wp:wrapNone/>
                <wp:docPr id="76" name="Double flèche horizontale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54610"/>
                        </a:xfrm>
                        <a:prstGeom prst="leftRightArrow">
                          <a:avLst>
                            <a:gd name="adj1" fmla="val 50000"/>
                            <a:gd name="adj2" fmla="val 62471"/>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type w14:anchorId="21E52E5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666" o:spid="_x0000_s1026" type="#_x0000_t69" style="position:absolute;margin-left:286.5pt;margin-top:9.05pt;width:36.6pt;height:4.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" adj="1585" fillcolor="#9b9b9b" strokeweight=".5pt">
                <v:fill color2="#797979" rotate="t" colors="0 #9b9b9b;.5 #8e8e8e;1 #797979" focus="100%" type="gradient">
                  <o:fill v:ext="view" type="gradientUnscaled"/>
                </v:fill>
              </v:shape>
            </w:pict>
          </mc:Fallback>
        </mc:AlternateContent>
      </w:r>
      <w:r w:rsidRPr="00CF3BDE">
        <w:rPr>
          <w:noProof/>
          <w:lang w:val="pt-PT" w:eastAsia="pt-PT"/>
        </w:rPr>
        <mc:AlternateContent>
          <mc:Choice Requires="wps">
            <w:drawing>
              <wp:anchor distT="0" distB="0" distL="114300" distR="114300" simplePos="0" relativeHeight="251658287" behindDoc="0" locked="0" layoutInCell="1" allowOverlap="1" wp14:anchorId="799836B5" wp14:editId="5F77B1F7">
                <wp:simplePos x="0" y="0"/>
                <wp:positionH relativeFrom="column">
                  <wp:posOffset>1835150</wp:posOffset>
                </wp:positionH>
                <wp:positionV relativeFrom="paragraph">
                  <wp:posOffset>14605</wp:posOffset>
                </wp:positionV>
                <wp:extent cx="339090" cy="45085"/>
                <wp:effectExtent l="11430" t="12065" r="20955" b="57150"/>
                <wp:wrapNone/>
                <wp:docPr id="248" name="Connecteur droit avec flèch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4508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44FDB4F4" id="Connecteur droit avec flèche 574" o:spid="_x0000_s1026" type="#_x0000_t34" style="position:absolute;margin-left:144.5pt;margin-top:1.15pt;width:26.7pt;height:3.5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" strokeweight="1.5pt">
                <v:stroke endarrow="block"/>
              </v:shape>
            </w:pict>
          </mc:Fallback>
        </mc:AlternateContent>
      </w:r>
      <w:r w:rsidRPr="00CF3BDE">
        <w:rPr>
          <w:highlight w:val="yellow"/>
        </w:rPr>
        <w:t xml:space="preserve">                                                           </w:t>
      </w:r>
    </w:p>
    <w:p w:rsidR="001A5BB0" w:rsidRPr="00CF3BDE" w:rsidRDefault="001A5BB0" w:rsidP="001A5BB0">
      <w:pPr>
        <w:rPr>
          <w:highlight w:val="yellow"/>
        </w:rPr>
      </w:pPr>
      <w:r w:rsidRPr="00CF3BDE">
        <w:rPr>
          <w:noProof/>
          <w:lang w:val="pt-PT" w:eastAsia="pt-PT"/>
        </w:rPr>
        <mc:AlternateContent>
          <mc:Choice Requires="wps">
            <w:drawing>
              <wp:anchor distT="0" distB="0" distL="114299" distR="114299" simplePos="0" relativeHeight="251658293" behindDoc="0" locked="0" layoutInCell="1" allowOverlap="1" wp14:anchorId="0DF34672" wp14:editId="48E2449A">
                <wp:simplePos x="0" y="0"/>
                <wp:positionH relativeFrom="column">
                  <wp:posOffset>2868929</wp:posOffset>
                </wp:positionH>
                <wp:positionV relativeFrom="paragraph">
                  <wp:posOffset>193040</wp:posOffset>
                </wp:positionV>
                <wp:extent cx="0" cy="881380"/>
                <wp:effectExtent l="50800" t="50800" r="76200" b="33020"/>
                <wp:wrapNone/>
                <wp:docPr id="72" name="Connecteur droit avec flèch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1380"/>
                        </a:xfrm>
                        <a:prstGeom prst="straightConnector1">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65985B78" id="Connecteur droit avec flèche 1921" o:spid="_x0000_s1026" type="#_x0000_t32" style="position:absolute;margin-left:225.9pt;margin-top:15.2pt;width:0;height:69.4pt;flip:y;z-index:25165829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" strokecolor="black [3200]" strokeweight="1.5pt">
                <v:stroke endarrow="block" joinstyle="miter"/>
              </v:shape>
            </w:pict>
          </mc:Fallback>
        </mc:AlternateContent>
      </w:r>
      <w:r w:rsidRPr="00CF3BDE">
        <w:rPr>
          <w:highlight w:val="yellow"/>
        </w:rPr>
        <w:t xml:space="preserve">                                                                          </w:t>
      </w:r>
    </w:p>
    <w:p w:rsidR="001A5BB0" w:rsidRPr="00CF3BDE" w:rsidRDefault="001A5BB0" w:rsidP="001A5BB0">
      <w:r w:rsidRPr="00CF3BDE">
        <w:rPr>
          <w:noProof/>
          <w:lang w:val="pt-PT" w:eastAsia="pt-PT"/>
        </w:rPr>
        <mc:AlternateContent>
          <mc:Choice Requires="wps">
            <w:drawing>
              <wp:anchor distT="0" distB="0" distL="114300" distR="114300" simplePos="0" relativeHeight="251658284" behindDoc="0" locked="0" layoutInCell="1" allowOverlap="1" wp14:anchorId="2B6EA2D6" wp14:editId="4E69ABE1">
                <wp:simplePos x="0" y="0"/>
                <wp:positionH relativeFrom="column">
                  <wp:posOffset>3522345</wp:posOffset>
                </wp:positionH>
                <wp:positionV relativeFrom="paragraph">
                  <wp:posOffset>170180</wp:posOffset>
                </wp:positionV>
                <wp:extent cx="1108075" cy="563245"/>
                <wp:effectExtent l="22225" t="13335" r="12700" b="61595"/>
                <wp:wrapNone/>
                <wp:docPr id="247" name="Connecteur droit avec flèch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08075" cy="563245"/>
                        </a:xfrm>
                        <a:prstGeom prst="bentConnector3">
                          <a:avLst>
                            <a:gd name="adj1" fmla="val 4997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0E95B00B" id="Connecteur droit avec flèche 575" o:spid="_x0000_s1026" type="#_x0000_t34" style="position:absolute;margin-left:277.35pt;margin-top:13.4pt;width:87.25pt;height:44.35pt;rotation:180;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" adj="10794" strokeweight="1.5pt">
                <v:stroke endarrow="block"/>
              </v:shape>
            </w:pict>
          </mc:Fallback>
        </mc:AlternateContent>
      </w:r>
      <w:r w:rsidRPr="00CF3BDE">
        <w:t xml:space="preserve">                                                                                                                                                                                                  </w:t>
      </w:r>
    </w:p>
    <w:p w:rsidR="001A5BB0" w:rsidRPr="00CF3BDE" w:rsidRDefault="001A5BB0" w:rsidP="001A5BB0">
      <w:r w:rsidRPr="00CF3BDE">
        <w:rPr>
          <w:noProof/>
          <w:lang w:val="pt-PT" w:eastAsia="pt-PT"/>
        </w:rPr>
        <mc:AlternateContent>
          <mc:Choice Requires="wps">
            <w:drawing>
              <wp:anchor distT="0" distB="0" distL="114300" distR="114300" simplePos="0" relativeHeight="251658294" behindDoc="0" locked="0" layoutInCell="1" allowOverlap="1" wp14:anchorId="46F3C329" wp14:editId="1092CF5E">
                <wp:simplePos x="0" y="0"/>
                <wp:positionH relativeFrom="column">
                  <wp:posOffset>1438275</wp:posOffset>
                </wp:positionH>
                <wp:positionV relativeFrom="paragraph">
                  <wp:posOffset>24130</wp:posOffset>
                </wp:positionV>
                <wp:extent cx="862965" cy="629285"/>
                <wp:effectExtent l="76200" t="50800" r="26035" b="31115"/>
                <wp:wrapNone/>
                <wp:docPr id="246" name="Connecteur en angl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62965" cy="629285"/>
                        </a:xfrm>
                        <a:prstGeom prst="bentConnector3">
                          <a:avLst>
                            <a:gd name="adj1" fmla="val 103162"/>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2702D431" id="Connecteur en angle 1920" o:spid="_x0000_s1026" type="#_x0000_t34" style="position:absolute;margin-left:113.25pt;margin-top:1.9pt;width:67.95pt;height:49.55pt;rotation:180;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" adj="22283" strokecolor="black [3200]" strokeweight="1.5pt">
                <v:stroke endarrow="block"/>
              </v:shape>
            </w:pict>
          </mc:Fallback>
        </mc:AlternateContent>
      </w:r>
    </w:p>
    <w:p w:rsidR="001A5BB0" w:rsidRPr="00CF3BDE" w:rsidRDefault="001A5BB0" w:rsidP="001A5BB0">
      <w:pPr>
        <w:jc w:val="both"/>
      </w:pPr>
      <w:r w:rsidRPr="00CF3BDE">
        <w:rPr>
          <w:noProof/>
          <w:lang w:val="pt-PT" w:eastAsia="pt-PT"/>
        </w:rPr>
        <mc:AlternateContent>
          <mc:Choice Requires="wps">
            <w:drawing>
              <wp:anchor distT="0" distB="0" distL="114300" distR="114300" simplePos="0" relativeHeight="251658286" behindDoc="0" locked="0" layoutInCell="1" allowOverlap="1" wp14:anchorId="6B2A09F6" wp14:editId="46CD00C7">
                <wp:simplePos x="0" y="0"/>
                <wp:positionH relativeFrom="column">
                  <wp:posOffset>2310130</wp:posOffset>
                </wp:positionH>
                <wp:positionV relativeFrom="paragraph">
                  <wp:posOffset>231775</wp:posOffset>
                </wp:positionV>
                <wp:extent cx="1172845" cy="465455"/>
                <wp:effectExtent l="0" t="0" r="0" b="0"/>
                <wp:wrapNone/>
                <wp:docPr id="71"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465455"/>
                        </a:xfrm>
                        <a:prstGeom prst="rect">
                          <a:avLst/>
                        </a:prstGeom>
                        <a:gradFill rotWithShape="1">
                          <a:gsLst>
                            <a:gs pos="0">
                              <a:srgbClr val="2A4B86"/>
                            </a:gs>
                            <a:gs pos="48000">
                              <a:srgbClr val="4A76C6"/>
                            </a:gs>
                            <a:gs pos="100000">
                              <a:srgbClr val="8FAADC"/>
                            </a:gs>
                          </a:gsLst>
                          <a:lin ang="16200000" scaled="1"/>
                        </a:gradFill>
                        <a:ln>
                          <a:noFill/>
                        </a:ln>
                      </wps:spPr>
                      <wps:txbx>
                        <w:txbxContent>
                          <w:p w:rsidR="005851EB" w:rsidRPr="00B5147B" w:rsidRDefault="005851EB" w:rsidP="001A5BB0">
                            <w:pPr>
                              <w:rPr>
                                <w:rFonts w:ascii="Maiandra GD" w:hAnsi="Maiandra GD"/>
                                <w:b/>
                              </w:rPr>
                            </w:pPr>
                            <w:r w:rsidRPr="00B5147B">
                              <w:rPr>
                                <w:b/>
                              </w:rPr>
                              <w:t xml:space="preserve">       </w:t>
                            </w:r>
                            <w:r w:rsidRPr="00B5147B">
                              <w:rPr>
                                <w:rFonts w:ascii="Maiandra GD" w:hAnsi="Maiandra GD"/>
                                <w:b/>
                              </w:rPr>
                              <w:t xml:space="preserve">Plaignant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B2A09F6" id="Rectangle 1922" o:spid="_x0000_s1043" style="position:absolute;left:0;text-align:left;margin-left:181.9pt;margin-top:18.25pt;width:92.35pt;height:36.6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" fillcolor="#2a4b86" stroked="f">
                <v:fill color2="#8faadc" rotate="t" colors="0 #2a4b86;31457f #4a76c6;1 #8faadc" type="gradient"/>
                <v:textbox>
                  <w:txbxContent>
                    <w:p w14:paraId="05B020B3" w14:textId="77777777" w:rsidR="005851EB" w:rsidRPr="00B5147B" w:rsidRDefault="005851EB" w:rsidP="001A5BB0">
                      <w:pPr>
                        <w:rPr>
                          <w:rFonts w:ascii="Maiandra GD" w:hAnsi="Maiandra GD"/>
                          <w:b/>
                        </w:rPr>
                      </w:pPr>
                      <w:r w:rsidRPr="00B5147B">
                        <w:rPr>
                          <w:b/>
                        </w:rPr>
                        <w:t xml:space="preserve">       </w:t>
                      </w:r>
                      <w:r w:rsidRPr="00B5147B">
                        <w:rPr>
                          <w:rFonts w:ascii="Maiandra GD" w:hAnsi="Maiandra GD"/>
                          <w:b/>
                        </w:rPr>
                        <w:t xml:space="preserve">Plaignant </w:t>
                      </w:r>
                    </w:p>
                  </w:txbxContent>
                </v:textbox>
              </v:rect>
            </w:pict>
          </mc:Fallback>
        </mc:AlternateContent>
      </w:r>
    </w:p>
    <w:p w:rsidR="001A5BB0" w:rsidRPr="00CF3BDE" w:rsidRDefault="001A5BB0" w:rsidP="001A5BB0">
      <w:pPr>
        <w:pStyle w:val="Legenda"/>
      </w:pPr>
    </w:p>
    <w:p w:rsidR="0043217A" w:rsidRPr="00CF3BDE" w:rsidRDefault="0043217A" w:rsidP="00871E03">
      <w:pPr>
        <w:ind w:right="-851"/>
      </w:pPr>
    </w:p>
    <w:p w:rsidR="0043217A" w:rsidRPr="00CF3BDE" w:rsidRDefault="0043217A" w:rsidP="00871E03">
      <w:pPr>
        <w:ind w:right="-851"/>
      </w:pPr>
    </w:p>
    <w:p w:rsidR="0002036C" w:rsidRDefault="00125C75" w:rsidP="007617B8">
      <w:pPr>
        <w:ind w:right="-851"/>
        <w:jc w:val="center"/>
      </w:pPr>
      <w:bookmarkStart w:id="408" w:name="_Toc73522790"/>
      <w:r w:rsidRPr="00CF3BDE">
        <w:t xml:space="preserve">Figure </w:t>
      </w:r>
      <w:r w:rsidR="001C4071">
        <w:fldChar w:fldCharType="begin"/>
      </w:r>
      <w:r w:rsidR="001C4071">
        <w:instrText xml:space="preserve"> </w:instrText>
      </w:r>
      <w:r w:rsidR="006C5620">
        <w:instrText>SEQ</w:instrText>
      </w:r>
      <w:r w:rsidR="001C4071">
        <w:instrText xml:space="preserve"> Figure \* ARABIC </w:instrText>
      </w:r>
      <w:r w:rsidR="001C4071">
        <w:fldChar w:fldCharType="separate"/>
      </w:r>
      <w:r w:rsidR="00D51AB3">
        <w:rPr>
          <w:noProof/>
        </w:rPr>
        <w:t>8</w:t>
      </w:r>
      <w:r w:rsidR="001C4071">
        <w:rPr>
          <w:noProof/>
        </w:rPr>
        <w:fldChar w:fldCharType="end"/>
      </w:r>
      <w:r w:rsidRPr="00CF3BDE">
        <w:t> : Diagramme de fonctionnement du MGP du</w:t>
      </w:r>
      <w:bookmarkEnd w:id="405"/>
      <w:r w:rsidRPr="00CF3BDE">
        <w:t xml:space="preserve"> </w:t>
      </w:r>
      <w:bookmarkEnd w:id="406"/>
      <w:bookmarkEnd w:id="407"/>
      <w:r w:rsidRPr="00CF3BDE">
        <w:t>projet PUSA</w:t>
      </w:r>
      <w:bookmarkEnd w:id="408"/>
    </w:p>
    <w:p w:rsidR="003C1D97" w:rsidRPr="007617B8" w:rsidRDefault="003C1D97" w:rsidP="007617B8">
      <w:pPr>
        <w:ind w:right="-851"/>
        <w:jc w:val="center"/>
      </w:pPr>
    </w:p>
    <w:bookmarkEnd w:id="360"/>
    <w:bookmarkEnd w:id="361"/>
    <w:p w:rsidR="00376032" w:rsidRDefault="00376032"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Default="005E613E" w:rsidP="004F4212">
      <w:pPr>
        <w:pStyle w:val="PargrafodaLista"/>
        <w:spacing w:line="240" w:lineRule="auto"/>
        <w:ind w:left="1276" w:right="-851"/>
        <w:jc w:val="both"/>
        <w:rPr>
          <w:rFonts w:ascii="Times New Roman" w:hAnsi="Times New Roman"/>
          <w:sz w:val="24"/>
          <w:szCs w:val="24"/>
        </w:rPr>
      </w:pPr>
    </w:p>
    <w:p w:rsidR="005E613E" w:rsidRPr="00A05698" w:rsidRDefault="005E613E" w:rsidP="004F4212">
      <w:pPr>
        <w:pStyle w:val="PargrafodaLista"/>
        <w:spacing w:line="240" w:lineRule="auto"/>
        <w:ind w:left="1276" w:right="-851"/>
        <w:jc w:val="both"/>
        <w:rPr>
          <w:rFonts w:ascii="Times New Roman" w:hAnsi="Times New Roman"/>
          <w:sz w:val="24"/>
          <w:szCs w:val="24"/>
        </w:rPr>
      </w:pPr>
    </w:p>
    <w:p w:rsidR="00D3691B" w:rsidRPr="00A05698" w:rsidRDefault="00D3691B" w:rsidP="00376032">
      <w:pPr>
        <w:pStyle w:val="PargrafodaLista"/>
        <w:keepNext/>
        <w:keepLines/>
        <w:pBdr>
          <w:bottom w:val="thickThinSmallGap" w:sz="24" w:space="1" w:color="auto"/>
        </w:pBdr>
        <w:shd w:val="clear" w:color="auto" w:fill="DEEAF6" w:themeFill="accent1" w:themeFillTint="33"/>
        <w:spacing w:after="0" w:line="240" w:lineRule="auto"/>
        <w:ind w:left="76" w:right="-851"/>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09" w:name="_Toc73459790"/>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CONCLUSION</w:t>
      </w:r>
      <w:bookmarkEnd w:id="327"/>
      <w:bookmarkEnd w:id="328"/>
      <w:bookmarkEnd w:id="409"/>
    </w:p>
    <w:p w:rsidR="004C4BF0" w:rsidRPr="00A05698" w:rsidRDefault="004C4BF0" w:rsidP="004F4212">
      <w:pPr>
        <w:jc w:val="both"/>
        <w:rPr>
          <w:sz w:val="22"/>
          <w:szCs w:val="22"/>
          <w:lang w:val="fr" w:eastAsia="zh-CN" w:bidi="ar"/>
        </w:rPr>
      </w:pPr>
    </w:p>
    <w:p w:rsidR="00D66A68" w:rsidRPr="00A05698" w:rsidRDefault="005B74B3" w:rsidP="005E613E">
      <w:pPr>
        <w:spacing w:before="120" w:after="120"/>
        <w:ind w:left="-284" w:right="-851"/>
        <w:jc w:val="both"/>
      </w:pPr>
      <w:r w:rsidRPr="00D93545">
        <w:rPr>
          <w:lang w:val="fr" w:eastAsia="zh-CN" w:bidi="ar"/>
        </w:rPr>
        <w:t xml:space="preserve">Le présent document qui </w:t>
      </w:r>
      <w:r w:rsidR="00DD6AE3">
        <w:rPr>
          <w:lang w:val="fr" w:eastAsia="zh-CN" w:bidi="ar"/>
        </w:rPr>
        <w:t xml:space="preserve">est </w:t>
      </w:r>
      <w:r w:rsidRPr="00D93545">
        <w:rPr>
          <w:lang w:val="fr" w:eastAsia="zh-CN" w:bidi="ar"/>
        </w:rPr>
        <w:t xml:space="preserve">un Cadre de Gestion Environnemental et Social (CGES) est élaboré aux fins d’une bonne intégration des aspects environnementaux dans la mise en œuvre des composantes du Projet </w:t>
      </w:r>
      <w:r w:rsidR="00D337BD" w:rsidRPr="00D93545">
        <w:rPr>
          <w:lang w:val="fr" w:eastAsia="zh-CN" w:bidi="ar"/>
        </w:rPr>
        <w:t xml:space="preserve">d’urgence de sécurité alimentaire </w:t>
      </w:r>
      <w:r w:rsidR="00A160BA" w:rsidRPr="00D93545">
        <w:rPr>
          <w:lang w:val="fr" w:eastAsia="zh-CN" w:bidi="ar"/>
        </w:rPr>
        <w:t xml:space="preserve">en Guinée Bissau. </w:t>
      </w:r>
      <w:r w:rsidRPr="00D93545">
        <w:rPr>
          <w:lang w:val="fr" w:eastAsia="zh-CN" w:bidi="ar"/>
        </w:rPr>
        <w:t>Il a pour but de proposer les mesures d’atténuation et de faire des recommandations pour réduire ou annuler les impacts négatifs environnementaux et sociaux liés à la mise en œuvre des activités. A cet effet, l’étude est partie de l’analyse de l’état initial de l’environnement combiné avec les impacts liés à la mise en œuvre des activités du projet</w:t>
      </w:r>
      <w:r w:rsidR="00950ECF" w:rsidRPr="00D93545">
        <w:rPr>
          <w:lang w:val="fr" w:eastAsia="zh-CN" w:bidi="ar"/>
        </w:rPr>
        <w:t xml:space="preserve"> PUSA</w:t>
      </w:r>
      <w:r w:rsidRPr="00D93545">
        <w:rPr>
          <w:lang w:val="fr" w:eastAsia="zh-CN" w:bidi="ar"/>
        </w:rPr>
        <w:t xml:space="preserve"> pour aboutir aux dispositions à observer pour un développement harmonieux du projet avec son milieu.</w:t>
      </w:r>
      <w:r w:rsidR="00DD6AE3">
        <w:rPr>
          <w:lang w:val="fr" w:eastAsia="zh-CN" w:bidi="ar"/>
        </w:rPr>
        <w:t xml:space="preserve"> </w:t>
      </w:r>
      <w:r w:rsidR="00D93545">
        <w:t>Le CGES</w:t>
      </w:r>
      <w:r w:rsidR="00D3691B" w:rsidRPr="00A05698">
        <w:t xml:space="preserve"> </w:t>
      </w:r>
      <w:r w:rsidR="00B154D5" w:rsidRPr="00A05698">
        <w:t xml:space="preserve">de ce </w:t>
      </w:r>
      <w:r w:rsidR="000E1A4B" w:rsidRPr="00A05698">
        <w:t>présent projet montre</w:t>
      </w:r>
      <w:r w:rsidR="00D3691B" w:rsidRPr="00A05698">
        <w:t xml:space="preserve"> toute la </w:t>
      </w:r>
      <w:r w:rsidR="000E1A4B" w:rsidRPr="00A05698">
        <w:t>pertinence des</w:t>
      </w:r>
      <w:r w:rsidR="00B154D5" w:rsidRPr="00A05698">
        <w:t xml:space="preserve"> </w:t>
      </w:r>
      <w:r w:rsidR="00D3691B" w:rsidRPr="00A05698">
        <w:t xml:space="preserve">activités portant sur la mise en place </w:t>
      </w:r>
      <w:r w:rsidR="001E74C1" w:rsidRPr="00A05698">
        <w:t>d’un di</w:t>
      </w:r>
      <w:r w:rsidR="004D7036" w:rsidRPr="00A05698">
        <w:t>s</w:t>
      </w:r>
      <w:r w:rsidR="001E74C1" w:rsidRPr="00A05698">
        <w:t>po</w:t>
      </w:r>
      <w:r w:rsidR="007D287E" w:rsidRPr="00A05698">
        <w:t xml:space="preserve">sitif </w:t>
      </w:r>
      <w:r w:rsidR="004372EA" w:rsidRPr="00A05698">
        <w:t xml:space="preserve">de soutien par rapport aux secteurs </w:t>
      </w:r>
      <w:r w:rsidR="00B85334" w:rsidRPr="00A05698">
        <w:t>agricoles plus précisément</w:t>
      </w:r>
      <w:r w:rsidR="00983F0C" w:rsidRPr="00A05698">
        <w:t xml:space="preserve"> dans le secteur de la</w:t>
      </w:r>
      <w:r w:rsidR="00245B3D" w:rsidRPr="00A05698">
        <w:t xml:space="preserve"> noix de </w:t>
      </w:r>
      <w:r w:rsidR="003F2DC2" w:rsidRPr="00A05698">
        <w:t>cajou</w:t>
      </w:r>
      <w:r w:rsidR="00245B3D" w:rsidRPr="00A05698">
        <w:t xml:space="preserve"> </w:t>
      </w:r>
      <w:r w:rsidR="003F2DC2" w:rsidRPr="00A05698">
        <w:t>très</w:t>
      </w:r>
      <w:r w:rsidR="00245B3D" w:rsidRPr="00A05698">
        <w:t xml:space="preserve"> impacté </w:t>
      </w:r>
      <w:r w:rsidR="00550395" w:rsidRPr="00A05698">
        <w:t>par la</w:t>
      </w:r>
      <w:r w:rsidR="003F2DC2" w:rsidRPr="00A05698">
        <w:t xml:space="preserve"> pandémie de la Covid 19 </w:t>
      </w:r>
      <w:r w:rsidR="00983F0C" w:rsidRPr="00A05698">
        <w:t xml:space="preserve">et dans le secteur des cultures </w:t>
      </w:r>
      <w:r w:rsidR="007D5D4A" w:rsidRPr="00A05698">
        <w:t>vivrière</w:t>
      </w:r>
      <w:r w:rsidR="00A3170F" w:rsidRPr="00A05698">
        <w:t xml:space="preserve"> pour atteindre </w:t>
      </w:r>
      <w:r w:rsidR="00D054D8" w:rsidRPr="00A05698">
        <w:t>l’autosuffisance</w:t>
      </w:r>
      <w:r w:rsidR="00A3170F" w:rsidRPr="00A05698">
        <w:t xml:space="preserve"> alimentaire ou </w:t>
      </w:r>
      <w:r w:rsidR="005B65FB" w:rsidRPr="00A05698">
        <w:t xml:space="preserve">atteindre la </w:t>
      </w:r>
      <w:r w:rsidR="007D5D4A" w:rsidRPr="00A05698">
        <w:t>sécurité</w:t>
      </w:r>
      <w:r w:rsidR="000A6CD5" w:rsidRPr="00A05698">
        <w:t xml:space="preserve"> alimentaire dans </w:t>
      </w:r>
      <w:r w:rsidR="007D5D4A" w:rsidRPr="00A05698">
        <w:t>tout le pays.</w:t>
      </w:r>
    </w:p>
    <w:p w:rsidR="00D3691B" w:rsidRPr="00A05698" w:rsidRDefault="000E1A4B" w:rsidP="005E613E">
      <w:pPr>
        <w:spacing w:before="120" w:after="120"/>
        <w:ind w:left="-284" w:right="-851"/>
        <w:jc w:val="both"/>
      </w:pPr>
      <w:r w:rsidRPr="00A05698">
        <w:t>Ainsi, cette</w:t>
      </w:r>
      <w:r w:rsidR="007A1744" w:rsidRPr="00A05698">
        <w:t xml:space="preserve"> sécurité alimentaire </w:t>
      </w:r>
      <w:r w:rsidR="00CC0C67" w:rsidRPr="00A05698">
        <w:t xml:space="preserve">ne </w:t>
      </w:r>
      <w:r w:rsidR="0061097A" w:rsidRPr="00A05698">
        <w:t xml:space="preserve">pourrait </w:t>
      </w:r>
      <w:r w:rsidR="00FB220B">
        <w:t xml:space="preserve">pas </w:t>
      </w:r>
      <w:r w:rsidR="00D406A3" w:rsidRPr="00A05698">
        <w:t>être</w:t>
      </w:r>
      <w:r w:rsidR="0061097A" w:rsidRPr="00A05698">
        <w:t xml:space="preserve"> attein</w:t>
      </w:r>
      <w:r w:rsidR="00D93545">
        <w:t>t</w:t>
      </w:r>
      <w:r w:rsidR="00DD6AE3">
        <w:t>e</w:t>
      </w:r>
      <w:r w:rsidR="0061097A" w:rsidRPr="00A05698">
        <w:t xml:space="preserve"> </w:t>
      </w:r>
      <w:r w:rsidR="000A6CD5" w:rsidRPr="00A05698">
        <w:t>plus</w:t>
      </w:r>
      <w:r w:rsidR="0061097A" w:rsidRPr="00A05698">
        <w:t xml:space="preserve"> </w:t>
      </w:r>
      <w:r w:rsidR="00D56815" w:rsidRPr="00A05698">
        <w:t>rapidement</w:t>
      </w:r>
      <w:r w:rsidR="001B3CBD" w:rsidRPr="00A05698">
        <w:t xml:space="preserve"> </w:t>
      </w:r>
      <w:r w:rsidR="00DD6AE3">
        <w:t xml:space="preserve">qu’avec </w:t>
      </w:r>
      <w:r w:rsidR="001B3CBD" w:rsidRPr="00A05698">
        <w:t>l’aide</w:t>
      </w:r>
      <w:r w:rsidR="0061097A" w:rsidRPr="00A05698">
        <w:t xml:space="preserve"> des </w:t>
      </w:r>
      <w:r w:rsidR="001B3CBD" w:rsidRPr="00A05698">
        <w:t>infrastructures</w:t>
      </w:r>
      <w:r w:rsidR="00C8247E" w:rsidRPr="00A05698">
        <w:t xml:space="preserve"> de </w:t>
      </w:r>
      <w:r w:rsidR="00202788" w:rsidRPr="00A05698">
        <w:t>base</w:t>
      </w:r>
      <w:r w:rsidR="00A64C44" w:rsidRPr="00A05698">
        <w:t>.</w:t>
      </w:r>
      <w:r w:rsidR="0009139F" w:rsidRPr="00A05698">
        <w:t xml:space="preserve"> </w:t>
      </w:r>
      <w:r w:rsidR="00A64C44" w:rsidRPr="00A05698">
        <w:t>Le</w:t>
      </w:r>
      <w:r w:rsidR="0009139F" w:rsidRPr="00A05698">
        <w:t xml:space="preserve"> projet PUSA</w:t>
      </w:r>
      <w:r w:rsidR="004B4FB6" w:rsidRPr="00A05698">
        <w:t>,</w:t>
      </w:r>
      <w:r w:rsidR="0009139F" w:rsidRPr="00A05698">
        <w:t xml:space="preserve"> </w:t>
      </w:r>
      <w:r w:rsidR="00D45B99" w:rsidRPr="00A05698">
        <w:t xml:space="preserve">dans sa composante 2, </w:t>
      </w:r>
      <w:r w:rsidR="00150358">
        <w:t>a</w:t>
      </w:r>
      <w:r w:rsidR="004B4FB6" w:rsidRPr="00A05698">
        <w:t xml:space="preserve"> prévus la </w:t>
      </w:r>
      <w:r w:rsidR="00A56135" w:rsidRPr="00A05698">
        <w:t>création</w:t>
      </w:r>
      <w:r w:rsidR="004B4FB6" w:rsidRPr="00A05698">
        <w:t xml:space="preserve"> d’</w:t>
      </w:r>
      <w:r w:rsidR="00A56135" w:rsidRPr="00A05698">
        <w:t xml:space="preserve">emplois </w:t>
      </w:r>
      <w:r w:rsidR="00A1777A" w:rsidRPr="00A05698">
        <w:t>(travail compte argent),</w:t>
      </w:r>
      <w:r w:rsidR="00A56135" w:rsidRPr="00A05698">
        <w:t xml:space="preserve"> la réalisation des voies d’accès, des marchés </w:t>
      </w:r>
      <w:r w:rsidR="005A4303" w:rsidRPr="00A05698">
        <w:t xml:space="preserve">locaux, des unités ou </w:t>
      </w:r>
      <w:r w:rsidR="00AB08EE" w:rsidRPr="00A05698">
        <w:t>magasins</w:t>
      </w:r>
      <w:r w:rsidR="005A4303" w:rsidRPr="00A05698">
        <w:t xml:space="preserve"> stockage</w:t>
      </w:r>
      <w:r w:rsidR="00AB08EE" w:rsidRPr="00A05698">
        <w:t>s</w:t>
      </w:r>
      <w:r w:rsidR="00550395" w:rsidRPr="00A05698">
        <w:t xml:space="preserve"> </w:t>
      </w:r>
      <w:r w:rsidR="008943F1" w:rsidRPr="00A05698">
        <w:t>p</w:t>
      </w:r>
      <w:r w:rsidR="00EE60A9" w:rsidRPr="00A05698">
        <w:t xml:space="preserve">our assurer la collecte et </w:t>
      </w:r>
      <w:r w:rsidR="00B154D5" w:rsidRPr="00A05698">
        <w:t xml:space="preserve">les </w:t>
      </w:r>
      <w:r w:rsidR="00EE60A9" w:rsidRPr="00A05698">
        <w:t>stoc</w:t>
      </w:r>
      <w:r w:rsidR="008943F1" w:rsidRPr="00A05698">
        <w:t xml:space="preserve">kages en quantité </w:t>
      </w:r>
      <w:r w:rsidR="00EE60A9" w:rsidRPr="00A05698">
        <w:t>et e</w:t>
      </w:r>
      <w:r w:rsidR="007073BB" w:rsidRPr="00A05698">
        <w:t xml:space="preserve">n qualité des produits agricoles avant leur acheminement </w:t>
      </w:r>
      <w:r w:rsidR="00244E15" w:rsidRPr="00A05698">
        <w:t>pour la commercialisation ou</w:t>
      </w:r>
      <w:r w:rsidR="00D3691B" w:rsidRPr="00A05698">
        <w:t xml:space="preserve"> </w:t>
      </w:r>
      <w:r w:rsidR="007F66D7" w:rsidRPr="00A05698">
        <w:t xml:space="preserve">pour </w:t>
      </w:r>
      <w:r w:rsidR="00D3691B" w:rsidRPr="00A05698">
        <w:t>la transformation</w:t>
      </w:r>
      <w:r w:rsidR="00B154D5" w:rsidRPr="00A05698">
        <w:t>. Celles-ci</w:t>
      </w:r>
      <w:r w:rsidR="007175D2" w:rsidRPr="00A05698">
        <w:t xml:space="preserve"> </w:t>
      </w:r>
      <w:r w:rsidR="00E62856" w:rsidRPr="00A05698">
        <w:t>constituer</w:t>
      </w:r>
      <w:r w:rsidR="0070040C" w:rsidRPr="00A05698">
        <w:t>ont</w:t>
      </w:r>
      <w:r w:rsidR="007175D2" w:rsidRPr="00A05698">
        <w:t xml:space="preserve"> un</w:t>
      </w:r>
      <w:r w:rsidR="00150358">
        <w:t>e</w:t>
      </w:r>
      <w:r w:rsidR="007175D2" w:rsidRPr="00A05698">
        <w:t xml:space="preserve"> avancé</w:t>
      </w:r>
      <w:r w:rsidR="00150358">
        <w:t>e</w:t>
      </w:r>
      <w:r w:rsidR="007175D2" w:rsidRPr="00A05698">
        <w:t xml:space="preserve"> majeure dans le cadre de l’</w:t>
      </w:r>
      <w:r w:rsidR="00AB2CEF" w:rsidRPr="00A05698">
        <w:t xml:space="preserve">augmentation des </w:t>
      </w:r>
      <w:r w:rsidR="00D054D8" w:rsidRPr="00A05698">
        <w:t>revenus</w:t>
      </w:r>
      <w:r w:rsidR="00AB2CEF" w:rsidRPr="00A05698">
        <w:t xml:space="preserve"> pour les agriculteurs</w:t>
      </w:r>
      <w:r w:rsidR="00962567" w:rsidRPr="00A05698">
        <w:t xml:space="preserve"> et de la population</w:t>
      </w:r>
      <w:r w:rsidR="00AB2CEF" w:rsidRPr="00A05698">
        <w:t>.</w:t>
      </w:r>
      <w:r w:rsidR="00244E15" w:rsidRPr="00A05698">
        <w:t> </w:t>
      </w:r>
    </w:p>
    <w:p w:rsidR="00E825AB" w:rsidRPr="00A05698" w:rsidRDefault="009F4E1D" w:rsidP="005E613E">
      <w:pPr>
        <w:spacing w:before="120" w:after="120"/>
        <w:ind w:left="-284" w:right="-851"/>
        <w:jc w:val="both"/>
      </w:pPr>
      <w:r w:rsidRPr="00A05698">
        <w:t xml:space="preserve">De </w:t>
      </w:r>
      <w:r w:rsidR="00930318" w:rsidRPr="00A05698">
        <w:t xml:space="preserve">plus, le projet dans sa composante 3, apportera </w:t>
      </w:r>
      <w:r w:rsidR="00617ADD" w:rsidRPr="00A05698">
        <w:t xml:space="preserve">un soutien considérable par rapport à la gestion </w:t>
      </w:r>
      <w:r w:rsidR="00C05C38" w:rsidRPr="00A05698">
        <w:t>pour l’</w:t>
      </w:r>
      <w:r w:rsidR="00C336F3" w:rsidRPr="00A05698">
        <w:t>atténuation</w:t>
      </w:r>
      <w:r w:rsidR="00C05C38" w:rsidRPr="00A05698">
        <w:t xml:space="preserve"> </w:t>
      </w:r>
      <w:r w:rsidR="00617ADD" w:rsidRPr="00A05698">
        <w:t xml:space="preserve">des </w:t>
      </w:r>
      <w:r w:rsidR="005855F1" w:rsidRPr="00A05698">
        <w:t>risques</w:t>
      </w:r>
      <w:r w:rsidR="00046ADD" w:rsidRPr="00A05698">
        <w:t xml:space="preserve"> car la pandémie de la Covid 19 </w:t>
      </w:r>
      <w:r w:rsidR="0070040C" w:rsidRPr="00A05698">
        <w:t>a</w:t>
      </w:r>
      <w:r w:rsidR="00046ADD" w:rsidRPr="00A05698">
        <w:t xml:space="preserve"> soulev</w:t>
      </w:r>
      <w:r w:rsidR="0070040C" w:rsidRPr="00A05698">
        <w:t>é</w:t>
      </w:r>
      <w:r w:rsidR="00046ADD" w:rsidRPr="00A05698">
        <w:t xml:space="preserve"> </w:t>
      </w:r>
      <w:r w:rsidR="009106B6" w:rsidRPr="00A05698">
        <w:t>d’importante</w:t>
      </w:r>
      <w:r w:rsidR="00150358">
        <w:t>s</w:t>
      </w:r>
      <w:r w:rsidR="009106B6" w:rsidRPr="00A05698">
        <w:t xml:space="preserve"> difficulté</w:t>
      </w:r>
      <w:r w:rsidR="00150358">
        <w:t>s</w:t>
      </w:r>
      <w:r w:rsidR="0070040C" w:rsidRPr="00A05698">
        <w:t xml:space="preserve">. Cette pandémie a également engendré </w:t>
      </w:r>
      <w:r w:rsidR="009106B6" w:rsidRPr="00A05698">
        <w:t xml:space="preserve">de </w:t>
      </w:r>
      <w:r w:rsidR="00E97BD5" w:rsidRPr="00A05698">
        <w:t>problématique</w:t>
      </w:r>
      <w:r w:rsidR="0070040C" w:rsidRPr="00A05698">
        <w:t>s</w:t>
      </w:r>
      <w:r w:rsidR="009106B6" w:rsidRPr="00A05698">
        <w:t xml:space="preserve"> li</w:t>
      </w:r>
      <w:r w:rsidR="00150358">
        <w:t>ée</w:t>
      </w:r>
      <w:r w:rsidR="009106B6" w:rsidRPr="00A05698">
        <w:t xml:space="preserve">s </w:t>
      </w:r>
      <w:r w:rsidR="00C74396" w:rsidRPr="00A05698">
        <w:t xml:space="preserve">à la </w:t>
      </w:r>
      <w:r w:rsidR="002D33F1" w:rsidRPr="00A05698">
        <w:t xml:space="preserve">monoculture et à la </w:t>
      </w:r>
      <w:r w:rsidR="00C74396" w:rsidRPr="00A05698">
        <w:t>domination d</w:t>
      </w:r>
      <w:r w:rsidR="0058320F" w:rsidRPr="00A05698">
        <w:t>e la production de la noix de cajou</w:t>
      </w:r>
      <w:r w:rsidR="002D33F1" w:rsidRPr="00A05698">
        <w:t xml:space="preserve"> dans le pays</w:t>
      </w:r>
      <w:r w:rsidR="00C336F3" w:rsidRPr="00A05698">
        <w:t xml:space="preserve"> </w:t>
      </w:r>
      <w:r w:rsidR="00036FFD" w:rsidRPr="00A05698">
        <w:t>et la situation des marchés</w:t>
      </w:r>
      <w:r w:rsidR="002D33F1" w:rsidRPr="00A05698">
        <w:t>.</w:t>
      </w:r>
      <w:r w:rsidR="00796235" w:rsidRPr="00A05698">
        <w:t xml:space="preserve"> </w:t>
      </w:r>
      <w:r w:rsidR="00A2342C" w:rsidRPr="00A05698">
        <w:t>Cette troisième composante</w:t>
      </w:r>
      <w:r w:rsidR="00796235" w:rsidRPr="00A05698">
        <w:t xml:space="preserve"> </w:t>
      </w:r>
      <w:r w:rsidR="002A21BD" w:rsidRPr="00A05698">
        <w:t xml:space="preserve">du projet permettra </w:t>
      </w:r>
      <w:r w:rsidR="008E6DF7" w:rsidRPr="00A05698">
        <w:t xml:space="preserve">à la </w:t>
      </w:r>
      <w:r w:rsidR="00A2342C" w:rsidRPr="00A05698">
        <w:t>Guinée-Bissau</w:t>
      </w:r>
      <w:r w:rsidR="008E6DF7" w:rsidRPr="00A05698">
        <w:t xml:space="preserve"> de revoir le </w:t>
      </w:r>
      <w:r w:rsidR="00711E1F" w:rsidRPr="00A05698">
        <w:t>fonctionnement des</w:t>
      </w:r>
      <w:r w:rsidR="008D6AD9" w:rsidRPr="00A05698">
        <w:t xml:space="preserve"> </w:t>
      </w:r>
      <w:r w:rsidR="00711E1F" w:rsidRPr="00A05698">
        <w:t>marchés et</w:t>
      </w:r>
      <w:r w:rsidR="008D6AD9" w:rsidRPr="00A05698">
        <w:t xml:space="preserve"> </w:t>
      </w:r>
      <w:r w:rsidR="008E6DF7" w:rsidRPr="00A05698">
        <w:t>de certain</w:t>
      </w:r>
      <w:r w:rsidR="00BE544C">
        <w:t>s</w:t>
      </w:r>
      <w:r w:rsidR="008E6DF7" w:rsidRPr="00A05698">
        <w:t xml:space="preserve"> secteur</w:t>
      </w:r>
      <w:r w:rsidR="00BE544C">
        <w:t>s</w:t>
      </w:r>
      <w:r w:rsidR="008E6DF7" w:rsidRPr="00A05698">
        <w:t xml:space="preserve"> d’activité</w:t>
      </w:r>
      <w:r w:rsidR="00BE544C">
        <w:t>s</w:t>
      </w:r>
      <w:r w:rsidR="008E6DF7" w:rsidRPr="00A05698">
        <w:t xml:space="preserve"> </w:t>
      </w:r>
      <w:r w:rsidR="00394524" w:rsidRPr="00A05698">
        <w:t>prioritaire</w:t>
      </w:r>
      <w:r w:rsidR="00BE544C">
        <w:t>s</w:t>
      </w:r>
      <w:r w:rsidR="00394524" w:rsidRPr="00A05698">
        <w:t xml:space="preserve"> </w:t>
      </w:r>
      <w:r w:rsidR="00464805" w:rsidRPr="00A05698">
        <w:t>mais aussi de pouvoir réorganiser</w:t>
      </w:r>
      <w:r w:rsidR="00B41A80" w:rsidRPr="00A05698">
        <w:t xml:space="preserve"> </w:t>
      </w:r>
      <w:r w:rsidR="00D369F6" w:rsidRPr="00A05698">
        <w:t>et renforcer la résilience du secteur</w:t>
      </w:r>
      <w:r w:rsidR="008D6AD9" w:rsidRPr="00A05698">
        <w:t xml:space="preserve"> de la noix de cajou.</w:t>
      </w:r>
    </w:p>
    <w:p w:rsidR="00D3691B" w:rsidRPr="00A05698" w:rsidRDefault="00D3691B" w:rsidP="005E613E">
      <w:pPr>
        <w:spacing w:before="120" w:after="120"/>
        <w:ind w:left="-284" w:right="-851"/>
        <w:jc w:val="both"/>
      </w:pPr>
      <w:r w:rsidRPr="00A05698">
        <w:t xml:space="preserve">Ces derniers constituent </w:t>
      </w:r>
      <w:r w:rsidR="00167107" w:rsidRPr="00A05698">
        <w:t xml:space="preserve">l’un </w:t>
      </w:r>
      <w:r w:rsidR="00E94A5C" w:rsidRPr="00A05698">
        <w:t>des piliers fondamentaux</w:t>
      </w:r>
      <w:r w:rsidR="00877BDF" w:rsidRPr="00A05698">
        <w:t xml:space="preserve"> pour lutter c</w:t>
      </w:r>
      <w:r w:rsidR="007671F0" w:rsidRPr="00A05698">
        <w:t xml:space="preserve">ontre la pauvreté et la malnutrition dans le pays. Ils </w:t>
      </w:r>
      <w:r w:rsidR="00E94A5C" w:rsidRPr="00A05698">
        <w:t>joueront un</w:t>
      </w:r>
      <w:r w:rsidR="0064131F" w:rsidRPr="00A05698">
        <w:t xml:space="preserve"> rôle moteur de</w:t>
      </w:r>
      <w:r w:rsidRPr="00A05698">
        <w:t xml:space="preserve"> développement à travers l'amélioration de la valeur ajoutée agricole créée au niveau local. De plus, </w:t>
      </w:r>
      <w:r w:rsidR="0070040C" w:rsidRPr="00A05698">
        <w:t xml:space="preserve">ils </w:t>
      </w:r>
      <w:r w:rsidRPr="00A05698">
        <w:t>permettr</w:t>
      </w:r>
      <w:r w:rsidR="0070040C" w:rsidRPr="00A05698">
        <w:t>ont</w:t>
      </w:r>
      <w:r w:rsidRPr="00A05698">
        <w:t xml:space="preserve"> de répondre aux attentes et besoins des populations en ce qui concerne la sécurité alimentaire dans les localités d'intervention du projet</w:t>
      </w:r>
      <w:r w:rsidR="0064131F" w:rsidRPr="00A05698">
        <w:t xml:space="preserve"> PUSA</w:t>
      </w:r>
      <w:r w:rsidRPr="00A05698">
        <w:t xml:space="preserve">, avec la mise en place d’un véritable outil de développement servant à l'identification objective des principaux </w:t>
      </w:r>
      <w:r w:rsidR="00666C3B" w:rsidRPr="00A05698">
        <w:t>bénéficiaires (</w:t>
      </w:r>
      <w:r w:rsidRPr="00A05698">
        <w:rPr>
          <w:b/>
        </w:rPr>
        <w:t>les femmes et les jeunes, les groupements, les o</w:t>
      </w:r>
      <w:r w:rsidR="00494E4E" w:rsidRPr="00A05698">
        <w:rPr>
          <w:b/>
        </w:rPr>
        <w:t xml:space="preserve">pérateurs agricoles, </w:t>
      </w:r>
      <w:r w:rsidR="00666C3B" w:rsidRPr="00A05698">
        <w:rPr>
          <w:b/>
        </w:rPr>
        <w:t>les associations</w:t>
      </w:r>
      <w:r w:rsidRPr="00A05698">
        <w:rPr>
          <w:b/>
        </w:rPr>
        <w:t>, les GIE</w:t>
      </w:r>
      <w:r w:rsidR="00666C3B" w:rsidRPr="00A05698">
        <w:t>)</w:t>
      </w:r>
      <w:r w:rsidRPr="00A05698">
        <w:t xml:space="preserve">. </w:t>
      </w:r>
    </w:p>
    <w:p w:rsidR="00D3691B" w:rsidRPr="00A05698" w:rsidRDefault="00D3691B" w:rsidP="005E613E">
      <w:pPr>
        <w:spacing w:before="120" w:after="120"/>
        <w:ind w:left="-284" w:right="-851"/>
        <w:jc w:val="both"/>
      </w:pPr>
      <w:r w:rsidRPr="00A05698">
        <w:t>En réponse à des vulnérabilités d'origine diverse</w:t>
      </w:r>
      <w:r w:rsidR="00BE544C">
        <w:t>s</w:t>
      </w:r>
      <w:r w:rsidRPr="00A05698">
        <w:t xml:space="preserve">, le projet </w:t>
      </w:r>
      <w:r w:rsidR="00666C3B" w:rsidRPr="00A05698">
        <w:t>PUSA</w:t>
      </w:r>
      <w:r w:rsidRPr="00A05698">
        <w:t xml:space="preserve"> va engendrer des impacts positifs à bonifier mais aussi des impacts négatifs sur les ressources de l'environnement et la santé humaine. Par ailleurs, il est important de rappeler qu'en plus de répondre aux besoins des populations, le projet </w:t>
      </w:r>
      <w:r w:rsidR="00282568" w:rsidRPr="00A05698">
        <w:t xml:space="preserve">PUSA </w:t>
      </w:r>
      <w:r w:rsidRPr="00A05698">
        <w:t xml:space="preserve">vise également la conservation de la biodiversité, de la protection des sols et de la régénération des écosystèmes naturels. </w:t>
      </w:r>
    </w:p>
    <w:p w:rsidR="00890290" w:rsidRDefault="00841B05" w:rsidP="005E613E">
      <w:pPr>
        <w:tabs>
          <w:tab w:val="left" w:pos="3811"/>
        </w:tabs>
        <w:ind w:left="-284" w:right="-851"/>
        <w:jc w:val="both"/>
      </w:pPr>
      <w:r w:rsidRPr="00A05698">
        <w:t>La réalisation de certaine</w:t>
      </w:r>
      <w:r w:rsidR="00BE544C">
        <w:t>s</w:t>
      </w:r>
      <w:r w:rsidRPr="00A05698">
        <w:t xml:space="preserve"> activité</w:t>
      </w:r>
      <w:r w:rsidR="00BE544C">
        <w:t>s</w:t>
      </w:r>
      <w:r w:rsidR="00D3691B" w:rsidRPr="00A05698">
        <w:t xml:space="preserve"> du projet </w:t>
      </w:r>
      <w:r w:rsidR="005F2C7A" w:rsidRPr="00A05698">
        <w:t xml:space="preserve">PUSA </w:t>
      </w:r>
      <w:r w:rsidR="00D3691B" w:rsidRPr="00A05698">
        <w:t xml:space="preserve">ouvre de réels enjeux </w:t>
      </w:r>
      <w:r w:rsidR="005F2C7A" w:rsidRPr="00A05698">
        <w:t>socio-économiques</w:t>
      </w:r>
      <w:r w:rsidR="00D3691B" w:rsidRPr="00A05698">
        <w:t xml:space="preserve">, politiques et environnementaux favorables à la maîtrise des effets néfastes des changements climatiques et de la sécurité alimentaire et la résilience dans les régions cibles. Néanmoins, des risques d'échec sont identifiés dans la mise en œuvre du projet de par l'articulation des stratégies de ciblage des bénéficiaires légitimes, de sélection des sites d'accueil des sous projets, de par les priorités des </w:t>
      </w:r>
      <w:r w:rsidR="005D0569" w:rsidRPr="00A05698">
        <w:t>politiques gouvernementales,</w:t>
      </w:r>
      <w:r w:rsidR="00D3691B" w:rsidRPr="00A05698">
        <w:t xml:space="preserve"> de la transparence, de la dégradation de la qualité d</w:t>
      </w:r>
      <w:r w:rsidR="00623EEE" w:rsidRPr="00A05698">
        <w:t xml:space="preserve">es ressources naturelles, </w:t>
      </w:r>
      <w:r w:rsidR="00D3691B" w:rsidRPr="00A05698">
        <w:t>du manque d'appropriation du projet par les populations.</w:t>
      </w:r>
    </w:p>
    <w:p w:rsidR="008A7638" w:rsidRDefault="008A7638" w:rsidP="005E613E">
      <w:pPr>
        <w:tabs>
          <w:tab w:val="left" w:pos="3811"/>
        </w:tabs>
        <w:ind w:left="-284" w:right="-851"/>
        <w:jc w:val="both"/>
      </w:pPr>
    </w:p>
    <w:p w:rsidR="008A7638" w:rsidRPr="008450CC" w:rsidRDefault="0010259A" w:rsidP="005E613E">
      <w:pPr>
        <w:spacing w:before="120"/>
        <w:ind w:left="-284" w:right="-851"/>
        <w:jc w:val="both"/>
        <w:rPr>
          <w:lang w:bidi="fr-FR"/>
        </w:rPr>
      </w:pPr>
      <w:r>
        <w:rPr>
          <w:lang w:bidi="fr-FR"/>
        </w:rPr>
        <w:t>De plus, il est bien</w:t>
      </w:r>
      <w:r w:rsidR="001C2E51">
        <w:rPr>
          <w:lang w:bidi="fr-FR"/>
        </w:rPr>
        <w:t xml:space="preserve"> de prendre en compte lors du déroulement</w:t>
      </w:r>
      <w:r w:rsidR="003F2BA9">
        <w:rPr>
          <w:lang w:bidi="fr-FR"/>
        </w:rPr>
        <w:t xml:space="preserve"> du projet, </w:t>
      </w:r>
      <w:r w:rsidR="001C2E51">
        <w:rPr>
          <w:lang w:bidi="fr-FR"/>
        </w:rPr>
        <w:t xml:space="preserve">les </w:t>
      </w:r>
      <w:r w:rsidR="003F2BA9">
        <w:rPr>
          <w:lang w:bidi="fr-FR"/>
        </w:rPr>
        <w:t>inquiétudes</w:t>
      </w:r>
      <w:r w:rsidR="001C2E51">
        <w:rPr>
          <w:lang w:bidi="fr-FR"/>
        </w:rPr>
        <w:t xml:space="preserve"> des femmes et jeunes filles </w:t>
      </w:r>
      <w:r w:rsidR="008A7638" w:rsidRPr="008450CC">
        <w:rPr>
          <w:lang w:bidi="fr-FR"/>
        </w:rPr>
        <w:t>pour lutter contre</w:t>
      </w:r>
      <w:r w:rsidR="003F2BA9">
        <w:rPr>
          <w:lang w:bidi="fr-FR"/>
        </w:rPr>
        <w:t xml:space="preserve"> les mariages précoces et forcés,</w:t>
      </w:r>
      <w:r w:rsidR="008A7638" w:rsidRPr="008450CC">
        <w:rPr>
          <w:lang w:bidi="fr-FR"/>
        </w:rPr>
        <w:t xml:space="preserve"> l’Exploitation et les </w:t>
      </w:r>
      <w:r w:rsidR="008A7638">
        <w:rPr>
          <w:lang w:bidi="fr-FR"/>
        </w:rPr>
        <w:t>abus</w:t>
      </w:r>
      <w:r w:rsidR="008A7638" w:rsidRPr="008450CC">
        <w:rPr>
          <w:lang w:bidi="fr-FR"/>
        </w:rPr>
        <w:t xml:space="preserve"> Sexuel</w:t>
      </w:r>
      <w:r w:rsidR="008A7638">
        <w:rPr>
          <w:lang w:bidi="fr-FR"/>
        </w:rPr>
        <w:t>s</w:t>
      </w:r>
      <w:r w:rsidR="008A7638" w:rsidRPr="008450CC">
        <w:rPr>
          <w:lang w:bidi="fr-FR"/>
        </w:rPr>
        <w:t xml:space="preserve">, et le Harcèlement sexuel </w:t>
      </w:r>
      <w:r w:rsidR="008A7638">
        <w:rPr>
          <w:lang w:bidi="fr-FR"/>
        </w:rPr>
        <w:t xml:space="preserve">(NBP-EAS/HS) </w:t>
      </w:r>
      <w:r w:rsidR="008A7638" w:rsidRPr="008450CC">
        <w:rPr>
          <w:lang w:bidi="fr-FR"/>
        </w:rPr>
        <w:t xml:space="preserve">dans le cadre </w:t>
      </w:r>
      <w:r w:rsidR="00BF116C">
        <w:rPr>
          <w:lang w:bidi="fr-FR"/>
        </w:rPr>
        <w:t xml:space="preserve">des </w:t>
      </w:r>
      <w:r w:rsidR="005C5238">
        <w:rPr>
          <w:lang w:bidi="fr-FR"/>
        </w:rPr>
        <w:t>activités</w:t>
      </w:r>
      <w:r w:rsidR="00BF116C">
        <w:rPr>
          <w:lang w:bidi="fr-FR"/>
        </w:rPr>
        <w:t xml:space="preserve"> du projet. </w:t>
      </w:r>
      <w:r w:rsidR="005C5238">
        <w:rPr>
          <w:lang w:bidi="fr-FR"/>
        </w:rPr>
        <w:t xml:space="preserve">Mais aussi </w:t>
      </w:r>
      <w:r w:rsidR="003E7AD0">
        <w:rPr>
          <w:lang w:bidi="fr-FR"/>
        </w:rPr>
        <w:t>au respect</w:t>
      </w:r>
      <w:r w:rsidR="005C5238">
        <w:rPr>
          <w:lang w:bidi="fr-FR"/>
        </w:rPr>
        <w:t xml:space="preserve"> des lois pour permettre </w:t>
      </w:r>
      <w:r w:rsidR="003E7AD0">
        <w:rPr>
          <w:lang w:bidi="fr-FR"/>
        </w:rPr>
        <w:t>à la femme</w:t>
      </w:r>
      <w:r w:rsidR="005C5238">
        <w:rPr>
          <w:lang w:bidi="fr-FR"/>
        </w:rPr>
        <w:t xml:space="preserve"> de pouvoir accéder </w:t>
      </w:r>
      <w:r w:rsidR="003E7AD0">
        <w:rPr>
          <w:lang w:bidi="fr-FR"/>
        </w:rPr>
        <w:t>à la terre</w:t>
      </w:r>
      <w:r w:rsidR="005C5238">
        <w:rPr>
          <w:lang w:bidi="fr-FR"/>
        </w:rPr>
        <w:t xml:space="preserve"> sans </w:t>
      </w:r>
      <w:r w:rsidR="003E7AD0">
        <w:rPr>
          <w:lang w:bidi="fr-FR"/>
        </w:rPr>
        <w:t>discrétion</w:t>
      </w:r>
      <w:r w:rsidR="005C5238">
        <w:rPr>
          <w:lang w:bidi="fr-FR"/>
        </w:rPr>
        <w:t xml:space="preserve"> et de </w:t>
      </w:r>
      <w:r w:rsidR="003E7AD0">
        <w:rPr>
          <w:lang w:bidi="fr-FR"/>
        </w:rPr>
        <w:t>violence</w:t>
      </w:r>
      <w:r w:rsidR="005C5238">
        <w:rPr>
          <w:lang w:bidi="fr-FR"/>
        </w:rPr>
        <w:t xml:space="preserve"> </w:t>
      </w:r>
      <w:r w:rsidR="003E7AD0">
        <w:rPr>
          <w:lang w:bidi="fr-FR"/>
        </w:rPr>
        <w:t>ou conflit familiale.</w:t>
      </w:r>
    </w:p>
    <w:p w:rsidR="001B21FB" w:rsidRPr="00A05698" w:rsidRDefault="001B21FB" w:rsidP="005E613E">
      <w:pPr>
        <w:tabs>
          <w:tab w:val="left" w:pos="3811"/>
        </w:tabs>
        <w:ind w:left="-284" w:right="-851"/>
        <w:jc w:val="both"/>
      </w:pPr>
    </w:p>
    <w:p w:rsidR="001B21FB" w:rsidRPr="00BE544C" w:rsidRDefault="001B21FB" w:rsidP="005E613E">
      <w:pPr>
        <w:autoSpaceDE w:val="0"/>
        <w:autoSpaceDN w:val="0"/>
        <w:adjustRightInd w:val="0"/>
        <w:ind w:left="-284" w:right="-851"/>
        <w:jc w:val="both"/>
        <w:rPr>
          <w:color w:val="000000"/>
          <w:lang w:eastAsia="en-US"/>
        </w:rPr>
      </w:pPr>
      <w:r w:rsidRPr="00BE544C">
        <w:rPr>
          <w:color w:val="000000"/>
          <w:lang w:eastAsia="en-US"/>
        </w:rPr>
        <w:t>En outre, la prise en compte des mesures ci-après permettra de renforcer davantage la prise en charge des impacts potentiels négatifs que pourra g</w:t>
      </w:r>
      <w:r w:rsidR="00BB79DC" w:rsidRPr="00BE544C">
        <w:rPr>
          <w:color w:val="000000"/>
          <w:lang w:eastAsia="en-US"/>
        </w:rPr>
        <w:t>énérer la mise en œuvre du PUSA</w:t>
      </w:r>
      <w:r w:rsidRPr="00BE544C">
        <w:rPr>
          <w:color w:val="000000"/>
          <w:lang w:eastAsia="en-US"/>
        </w:rPr>
        <w:t>. Il s’agit notamment de :</w:t>
      </w:r>
    </w:p>
    <w:p w:rsidR="001B21FB" w:rsidRPr="00BE544C" w:rsidRDefault="001B21FB" w:rsidP="005E613E">
      <w:pPr>
        <w:numPr>
          <w:ilvl w:val="1"/>
          <w:numId w:val="89"/>
        </w:numPr>
        <w:autoSpaceDE w:val="0"/>
        <w:autoSpaceDN w:val="0"/>
        <w:adjustRightInd w:val="0"/>
        <w:ind w:left="1134" w:right="-851" w:hanging="425"/>
        <w:jc w:val="both"/>
        <w:rPr>
          <w:color w:val="000000"/>
          <w:lang w:eastAsia="en-US"/>
        </w:rPr>
      </w:pPr>
      <w:r w:rsidRPr="00BE544C">
        <w:rPr>
          <w:color w:val="000000"/>
          <w:lang w:eastAsia="en-US"/>
        </w:rPr>
        <w:t xml:space="preserve">Promouvoir l’approche participative avec les populations des différentes localités dans tout le </w:t>
      </w:r>
      <w:r w:rsidR="00287D02" w:rsidRPr="00BE544C">
        <w:rPr>
          <w:color w:val="000000"/>
          <w:lang w:eastAsia="en-US"/>
        </w:rPr>
        <w:t>processus ;</w:t>
      </w:r>
      <w:r w:rsidRPr="00BE544C">
        <w:rPr>
          <w:color w:val="000000"/>
          <w:lang w:eastAsia="en-US"/>
        </w:rPr>
        <w:t xml:space="preserve"> </w:t>
      </w:r>
    </w:p>
    <w:p w:rsidR="00287D02" w:rsidRPr="00BE544C" w:rsidRDefault="00287D02" w:rsidP="005E613E">
      <w:pPr>
        <w:numPr>
          <w:ilvl w:val="1"/>
          <w:numId w:val="89"/>
        </w:numPr>
        <w:autoSpaceDE w:val="0"/>
        <w:autoSpaceDN w:val="0"/>
        <w:adjustRightInd w:val="0"/>
        <w:ind w:left="1134" w:right="-851" w:hanging="425"/>
        <w:jc w:val="both"/>
        <w:rPr>
          <w:color w:val="000000"/>
          <w:lang w:eastAsia="en-US"/>
        </w:rPr>
      </w:pPr>
      <w:r w:rsidRPr="00BE544C">
        <w:rPr>
          <w:color w:val="000000"/>
          <w:lang w:eastAsia="en-US"/>
        </w:rPr>
        <w:t>Organiser des campagnes de sensibilisations et de communications sociales du projet PUSA ;</w:t>
      </w:r>
    </w:p>
    <w:p w:rsidR="001B21FB" w:rsidRPr="00BE544C" w:rsidRDefault="001B21FB" w:rsidP="005E613E">
      <w:pPr>
        <w:numPr>
          <w:ilvl w:val="1"/>
          <w:numId w:val="89"/>
        </w:numPr>
        <w:autoSpaceDE w:val="0"/>
        <w:autoSpaceDN w:val="0"/>
        <w:adjustRightInd w:val="0"/>
        <w:ind w:left="1134" w:right="-851" w:hanging="425"/>
        <w:jc w:val="both"/>
        <w:rPr>
          <w:color w:val="000000"/>
          <w:lang w:eastAsia="en-US"/>
        </w:rPr>
      </w:pPr>
      <w:r w:rsidRPr="00BE544C">
        <w:rPr>
          <w:color w:val="000000"/>
          <w:lang w:eastAsia="en-US"/>
        </w:rPr>
        <w:t xml:space="preserve">Diffuser les </w:t>
      </w:r>
      <w:r w:rsidR="00287D02" w:rsidRPr="00BE544C">
        <w:rPr>
          <w:color w:val="000000"/>
          <w:lang w:eastAsia="en-US"/>
        </w:rPr>
        <w:t>informations auprès</w:t>
      </w:r>
      <w:r w:rsidR="004D5776" w:rsidRPr="00BE544C">
        <w:rPr>
          <w:color w:val="000000"/>
          <w:lang w:eastAsia="en-US"/>
        </w:rPr>
        <w:t xml:space="preserve"> de tous les acteurs concernés</w:t>
      </w:r>
      <w:r w:rsidR="00BE544C">
        <w:rPr>
          <w:color w:val="000000"/>
          <w:lang w:eastAsia="en-US"/>
        </w:rPr>
        <w:t>.</w:t>
      </w:r>
    </w:p>
    <w:p w:rsidR="00A10969" w:rsidRPr="00BE544C" w:rsidRDefault="00A10969" w:rsidP="005E613E">
      <w:pPr>
        <w:autoSpaceDE w:val="0"/>
        <w:autoSpaceDN w:val="0"/>
        <w:adjustRightInd w:val="0"/>
        <w:ind w:right="-851"/>
        <w:jc w:val="both"/>
      </w:pPr>
    </w:p>
    <w:p w:rsidR="00E84CDF" w:rsidRPr="00A05698" w:rsidRDefault="00E84CDF" w:rsidP="005E613E">
      <w:pPr>
        <w:ind w:right="-851"/>
        <w:jc w:val="both"/>
        <w:rPr>
          <w:b/>
          <w:u w:val="single"/>
        </w:rPr>
      </w:pPr>
      <w:r w:rsidRPr="00A05698">
        <w:rPr>
          <w:b/>
          <w:u w:val="single"/>
        </w:rPr>
        <w:t>Recommandations spécifiques :</w:t>
      </w:r>
    </w:p>
    <w:p w:rsidR="00E84CDF" w:rsidRPr="00C774AF" w:rsidRDefault="00E84CDF" w:rsidP="005E613E">
      <w:pPr>
        <w:ind w:right="-851"/>
        <w:jc w:val="center"/>
        <w:rPr>
          <w:b/>
          <w:bCs/>
        </w:rPr>
      </w:pPr>
      <w:r w:rsidRPr="00C774AF">
        <w:rPr>
          <w:b/>
          <w:bCs/>
        </w:rPr>
        <w:t>A l’endroit du Gouvernement</w:t>
      </w:r>
      <w:r>
        <w:rPr>
          <w:b/>
          <w:bCs/>
        </w:rPr>
        <w:t>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Allouer des ressources financières suffisantes au service des statistiques agricoles pour assurer les enquêtes agricoles régulières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Appuyer davantage la réalisation des missions conjointes à travers la mise à disposition à temps des moyens adéquats pour couvrir tout le pays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Elaborer un plan de contingence national Gouvernement/partenaires pour faire face à une éventuelle dégradation de la situation alimentaire et nutritionnelle dans les zones inondées des régions de Cacheu, Oio, Bafata, Tombali et Quinara et aussi en cas d’invasion du criquet pèlerin.</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Renforcer la campagne de production des cultures de contresaison (maraîchère et riz irrigué)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Renforcer la surveillance et la lutte contre la progression de chenilles légionnaires et des maladies charbons bactériens et systématiques bovine, PPR (peste des petits ruminants), PPA (peste porcine africaine), et la maladie de Newcastle chez les volailles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Intensifier la campagne de production des cultures de contresaison (maraîchère et riz irrigué) dans toutes les régions du pays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 xml:space="preserve">Décentraliser le GTP dans les régions pour leur permettre de mieux jouer leur rôle de suivi de la campagne agropastorale et de diffusion des avis et conseils </w:t>
      </w:r>
      <w:r w:rsidR="006E7B48" w:rsidRPr="006E121C">
        <w:rPr>
          <w:rFonts w:ascii="Times New Roman" w:hAnsi="Times New Roman"/>
          <w:sz w:val="22"/>
          <w:szCs w:val="22"/>
        </w:rPr>
        <w:t>agro météorologique</w:t>
      </w:r>
      <w:r w:rsidRPr="006E121C">
        <w:rPr>
          <w:rFonts w:ascii="Times New Roman" w:hAnsi="Times New Roman"/>
          <w:sz w:val="22"/>
          <w:szCs w:val="22"/>
        </w:rPr>
        <w:t xml:space="preserve"> auprès des producteurs ;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Renforcer en ressources humaines et techniques les structures régionales d’encadrements.</w:t>
      </w:r>
    </w:p>
    <w:p w:rsidR="00E84CDF" w:rsidRPr="006E121C" w:rsidRDefault="00E84CDF" w:rsidP="005E613E">
      <w:pPr>
        <w:ind w:right="-851"/>
        <w:jc w:val="both"/>
        <w:rPr>
          <w:sz w:val="22"/>
          <w:szCs w:val="22"/>
        </w:rPr>
      </w:pPr>
    </w:p>
    <w:p w:rsidR="00E84CDF" w:rsidRPr="006E121C" w:rsidRDefault="00E84CDF" w:rsidP="005E613E">
      <w:pPr>
        <w:ind w:right="-851"/>
        <w:jc w:val="center"/>
        <w:rPr>
          <w:b/>
          <w:bCs/>
          <w:sz w:val="22"/>
          <w:szCs w:val="22"/>
        </w:rPr>
      </w:pPr>
      <w:r w:rsidRPr="006E121C">
        <w:rPr>
          <w:b/>
          <w:bCs/>
          <w:sz w:val="22"/>
          <w:szCs w:val="22"/>
        </w:rPr>
        <w:t>A l’endroit de la FAO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Soutenir les efforts de l’Etat dans la conduite régulière de l’enquête permanente agricole et le recensement national de l’agriculture et de l’élevage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Appuyer la réalisation de l’enquête de vulnérabilité à l’insécurité Alimentaire et Nutritionnelle des ménages ;</w:t>
      </w:r>
    </w:p>
    <w:p w:rsidR="00E84CDF"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Mobiliser les appuis techniques et ressources financières pour assurer la collecte de données régulière et fiables pour améliorer les analyses du Cadre Harmonisé dans le pays ;</w:t>
      </w:r>
    </w:p>
    <w:p w:rsidR="006E121C" w:rsidRPr="006E121C" w:rsidRDefault="00E84CDF"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Poursuivre l’accompagnement des missions conjointes d’évaluations des récoltes.</w:t>
      </w:r>
    </w:p>
    <w:p w:rsidR="006E121C" w:rsidRPr="006E121C" w:rsidRDefault="006E121C"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Renforcer la campagne de production des cultures de contresaison (maraîchère et riz irrigué) ;</w:t>
      </w:r>
    </w:p>
    <w:p w:rsidR="006E121C" w:rsidRPr="006E121C" w:rsidRDefault="006E121C"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Renforcer la surveillance et la lutte contre la progression de chenilles légionnaires et des maladies charbons bactériens et systématiques bovine, PPR (peste des petits ruminants), PPA (peste porcine africaine), et la maladie de Newcastle chez les volailles ;</w:t>
      </w:r>
    </w:p>
    <w:p w:rsidR="006E121C" w:rsidRDefault="006E121C" w:rsidP="005E613E">
      <w:pPr>
        <w:pStyle w:val="PargrafodaLista"/>
        <w:numPr>
          <w:ilvl w:val="1"/>
          <w:numId w:val="114"/>
        </w:numPr>
        <w:spacing w:after="0"/>
        <w:ind w:left="1560" w:right="-851"/>
        <w:jc w:val="both"/>
        <w:rPr>
          <w:rFonts w:ascii="Times New Roman" w:hAnsi="Times New Roman"/>
          <w:sz w:val="22"/>
          <w:szCs w:val="22"/>
        </w:rPr>
      </w:pPr>
      <w:r w:rsidRPr="006E121C">
        <w:rPr>
          <w:rFonts w:ascii="Times New Roman" w:hAnsi="Times New Roman"/>
          <w:sz w:val="22"/>
          <w:szCs w:val="22"/>
        </w:rPr>
        <w:t>Intensifier la campagne de production des cultures de contresaison (maraîchère et riz irrigué) dans toutes les régions du pays ;</w:t>
      </w:r>
    </w:p>
    <w:p w:rsidR="006E121C" w:rsidRPr="006E121C" w:rsidRDefault="006E121C" w:rsidP="005E613E">
      <w:pPr>
        <w:pStyle w:val="PargrafodaLista"/>
        <w:numPr>
          <w:ilvl w:val="1"/>
          <w:numId w:val="114"/>
        </w:numPr>
        <w:spacing w:after="0"/>
        <w:ind w:left="1560" w:right="-851"/>
        <w:jc w:val="both"/>
        <w:rPr>
          <w:rFonts w:ascii="Times New Roman" w:hAnsi="Times New Roman"/>
          <w:sz w:val="22"/>
          <w:szCs w:val="22"/>
        </w:rPr>
      </w:pPr>
      <w:r>
        <w:rPr>
          <w:rFonts w:ascii="Times New Roman" w:hAnsi="Times New Roman"/>
          <w:sz w:val="22"/>
          <w:szCs w:val="22"/>
        </w:rPr>
        <w:t>ETC ;</w:t>
      </w:r>
      <w:r w:rsidR="006E7B48">
        <w:rPr>
          <w:rFonts w:ascii="Times New Roman" w:hAnsi="Times New Roman"/>
          <w:sz w:val="22"/>
          <w:szCs w:val="22"/>
        </w:rPr>
        <w:t xml:space="preserve"> </w:t>
      </w:r>
    </w:p>
    <w:p w:rsidR="006E121C" w:rsidRPr="00A05698" w:rsidRDefault="006E121C" w:rsidP="005E613E">
      <w:pPr>
        <w:pStyle w:val="PargrafodaLista"/>
        <w:spacing w:after="0"/>
        <w:ind w:left="567" w:right="-851"/>
        <w:jc w:val="both"/>
        <w:rPr>
          <w:rFonts w:ascii="Times New Roman" w:hAnsi="Times New Roman"/>
          <w:sz w:val="24"/>
          <w:szCs w:val="24"/>
        </w:rPr>
      </w:pPr>
    </w:p>
    <w:p w:rsidR="00060D92" w:rsidRPr="00A05698" w:rsidRDefault="00060D92" w:rsidP="005E613E">
      <w:pPr>
        <w:autoSpaceDE w:val="0"/>
        <w:autoSpaceDN w:val="0"/>
        <w:adjustRightInd w:val="0"/>
        <w:ind w:left="709" w:right="-851"/>
        <w:jc w:val="both"/>
      </w:pPr>
    </w:p>
    <w:p w:rsidR="00060D92" w:rsidRPr="00A05698" w:rsidRDefault="00060D92" w:rsidP="004F4212">
      <w:pPr>
        <w:autoSpaceDE w:val="0"/>
        <w:autoSpaceDN w:val="0"/>
        <w:adjustRightInd w:val="0"/>
        <w:ind w:left="709"/>
        <w:jc w:val="both"/>
      </w:pPr>
    </w:p>
    <w:p w:rsidR="00FB762F" w:rsidRDefault="00FB762F" w:rsidP="004F4212">
      <w:pPr>
        <w:autoSpaceDE w:val="0"/>
        <w:autoSpaceDN w:val="0"/>
        <w:adjustRightInd w:val="0"/>
        <w:ind w:left="709"/>
        <w:jc w:val="both"/>
      </w:pPr>
    </w:p>
    <w:p w:rsidR="006E7B48" w:rsidRDefault="006E7B48" w:rsidP="004F4212">
      <w:pPr>
        <w:autoSpaceDE w:val="0"/>
        <w:autoSpaceDN w:val="0"/>
        <w:adjustRightInd w:val="0"/>
        <w:ind w:left="709"/>
        <w:jc w:val="both"/>
      </w:pPr>
    </w:p>
    <w:p w:rsidR="006E7B48" w:rsidRDefault="006E7B48" w:rsidP="004F4212">
      <w:pPr>
        <w:autoSpaceDE w:val="0"/>
        <w:autoSpaceDN w:val="0"/>
        <w:adjustRightInd w:val="0"/>
        <w:ind w:left="709"/>
        <w:jc w:val="both"/>
      </w:pPr>
    </w:p>
    <w:p w:rsidR="006E7B48" w:rsidRDefault="006E7B48" w:rsidP="004F4212">
      <w:pPr>
        <w:autoSpaceDE w:val="0"/>
        <w:autoSpaceDN w:val="0"/>
        <w:adjustRightInd w:val="0"/>
        <w:ind w:left="709"/>
        <w:jc w:val="both"/>
      </w:pPr>
    </w:p>
    <w:p w:rsidR="006E7B48" w:rsidRDefault="006E7B48" w:rsidP="004F4212">
      <w:pPr>
        <w:autoSpaceDE w:val="0"/>
        <w:autoSpaceDN w:val="0"/>
        <w:adjustRightInd w:val="0"/>
        <w:ind w:left="709"/>
        <w:jc w:val="both"/>
      </w:pPr>
    </w:p>
    <w:p w:rsidR="006E7B48" w:rsidRDefault="006E7B48" w:rsidP="004F4212">
      <w:pPr>
        <w:autoSpaceDE w:val="0"/>
        <w:autoSpaceDN w:val="0"/>
        <w:adjustRightInd w:val="0"/>
        <w:ind w:left="709"/>
        <w:jc w:val="both"/>
      </w:pPr>
    </w:p>
    <w:p w:rsidR="006E7B48" w:rsidRDefault="006E7B48" w:rsidP="004F4212">
      <w:pPr>
        <w:autoSpaceDE w:val="0"/>
        <w:autoSpaceDN w:val="0"/>
        <w:adjustRightInd w:val="0"/>
        <w:ind w:left="709"/>
        <w:jc w:val="both"/>
      </w:pPr>
    </w:p>
    <w:p w:rsidR="006E7B48" w:rsidRDefault="006E7B48" w:rsidP="004F4212">
      <w:pPr>
        <w:autoSpaceDE w:val="0"/>
        <w:autoSpaceDN w:val="0"/>
        <w:adjustRightInd w:val="0"/>
        <w:ind w:left="709"/>
        <w:jc w:val="both"/>
      </w:pPr>
    </w:p>
    <w:p w:rsidR="006E7B48" w:rsidRDefault="006E7B48" w:rsidP="004F4212">
      <w:pPr>
        <w:autoSpaceDE w:val="0"/>
        <w:autoSpaceDN w:val="0"/>
        <w:adjustRightInd w:val="0"/>
        <w:ind w:left="709"/>
        <w:jc w:val="both"/>
      </w:pPr>
    </w:p>
    <w:p w:rsidR="00517B9E" w:rsidRDefault="00517B9E" w:rsidP="004F4212">
      <w:pPr>
        <w:autoSpaceDE w:val="0"/>
        <w:autoSpaceDN w:val="0"/>
        <w:adjustRightInd w:val="0"/>
        <w:ind w:left="709"/>
        <w:jc w:val="both"/>
      </w:pPr>
    </w:p>
    <w:p w:rsidR="00517B9E" w:rsidRDefault="00517B9E" w:rsidP="004F4212">
      <w:pPr>
        <w:autoSpaceDE w:val="0"/>
        <w:autoSpaceDN w:val="0"/>
        <w:adjustRightInd w:val="0"/>
        <w:ind w:left="709"/>
        <w:jc w:val="both"/>
      </w:pPr>
    </w:p>
    <w:p w:rsidR="00517B9E" w:rsidRDefault="00517B9E" w:rsidP="004F4212">
      <w:pPr>
        <w:autoSpaceDE w:val="0"/>
        <w:autoSpaceDN w:val="0"/>
        <w:adjustRightInd w:val="0"/>
        <w:ind w:left="709"/>
        <w:jc w:val="both"/>
      </w:pPr>
    </w:p>
    <w:p w:rsidR="00517B9E" w:rsidRDefault="00517B9E" w:rsidP="004F4212">
      <w:pPr>
        <w:autoSpaceDE w:val="0"/>
        <w:autoSpaceDN w:val="0"/>
        <w:adjustRightInd w:val="0"/>
        <w:ind w:left="709"/>
        <w:jc w:val="both"/>
      </w:pPr>
    </w:p>
    <w:p w:rsidR="00517B9E" w:rsidRDefault="00517B9E" w:rsidP="004F4212">
      <w:pPr>
        <w:autoSpaceDE w:val="0"/>
        <w:autoSpaceDN w:val="0"/>
        <w:adjustRightInd w:val="0"/>
        <w:ind w:left="709"/>
        <w:jc w:val="both"/>
      </w:pPr>
    </w:p>
    <w:p w:rsidR="00517B9E" w:rsidRDefault="00517B9E" w:rsidP="004F4212">
      <w:pPr>
        <w:autoSpaceDE w:val="0"/>
        <w:autoSpaceDN w:val="0"/>
        <w:adjustRightInd w:val="0"/>
        <w:ind w:left="709"/>
        <w:jc w:val="both"/>
      </w:pPr>
    </w:p>
    <w:p w:rsidR="007B7194" w:rsidRPr="00A05698" w:rsidRDefault="007B7194" w:rsidP="005571C7">
      <w:pPr>
        <w:autoSpaceDE w:val="0"/>
        <w:autoSpaceDN w:val="0"/>
        <w:adjustRightInd w:val="0"/>
        <w:jc w:val="both"/>
      </w:pPr>
    </w:p>
    <w:p w:rsidR="007B7194" w:rsidRPr="00A05698" w:rsidRDefault="007B7194" w:rsidP="004F4212">
      <w:pPr>
        <w:autoSpaceDE w:val="0"/>
        <w:autoSpaceDN w:val="0"/>
        <w:adjustRightInd w:val="0"/>
        <w:ind w:left="709"/>
        <w:jc w:val="both"/>
      </w:pPr>
    </w:p>
    <w:p w:rsidR="00F736E0" w:rsidRPr="00A05698" w:rsidRDefault="00F736E0" w:rsidP="004F4212">
      <w:pPr>
        <w:autoSpaceDE w:val="0"/>
        <w:autoSpaceDN w:val="0"/>
        <w:adjustRightInd w:val="0"/>
        <w:ind w:left="709"/>
        <w:jc w:val="both"/>
      </w:pPr>
    </w:p>
    <w:p w:rsidR="00F926BE" w:rsidRPr="00A05698" w:rsidRDefault="00F926BE" w:rsidP="004F4212">
      <w:pPr>
        <w:autoSpaceDE w:val="0"/>
        <w:autoSpaceDN w:val="0"/>
        <w:adjustRightInd w:val="0"/>
        <w:ind w:left="709"/>
        <w:jc w:val="both"/>
      </w:pPr>
    </w:p>
    <w:p w:rsidR="00F926BE" w:rsidRPr="00A05698" w:rsidRDefault="00EE708C" w:rsidP="00EE708C">
      <w:pPr>
        <w:autoSpaceDE w:val="0"/>
        <w:autoSpaceDN w:val="0"/>
        <w:adjustRightInd w:val="0"/>
        <w:ind w:left="709"/>
        <w:rPr>
          <w:b/>
          <w:sz w:val="144"/>
          <w:szCs w:val="144"/>
          <w:u w:val="single"/>
        </w:rPr>
      </w:pPr>
      <w:r w:rsidRPr="00EE708C">
        <w:rPr>
          <w:b/>
          <w:sz w:val="144"/>
          <w:szCs w:val="144"/>
        </w:rPr>
        <w:t xml:space="preserve">   </w:t>
      </w:r>
      <w:r w:rsidR="00F926BE" w:rsidRPr="00A05698">
        <w:rPr>
          <w:b/>
          <w:sz w:val="144"/>
          <w:szCs w:val="144"/>
          <w:u w:val="single"/>
        </w:rPr>
        <w:t>ANNEXE</w:t>
      </w:r>
      <w:r w:rsidR="0086411D" w:rsidRPr="00A05698">
        <w:rPr>
          <w:b/>
          <w:sz w:val="144"/>
          <w:szCs w:val="144"/>
          <w:u w:val="single"/>
        </w:rPr>
        <w:t>S</w:t>
      </w:r>
    </w:p>
    <w:p w:rsidR="00F926BE" w:rsidRPr="00A05698" w:rsidRDefault="00F926BE" w:rsidP="004F4212">
      <w:pPr>
        <w:autoSpaceDE w:val="0"/>
        <w:autoSpaceDN w:val="0"/>
        <w:adjustRightInd w:val="0"/>
        <w:ind w:left="709"/>
        <w:jc w:val="both"/>
      </w:pPr>
    </w:p>
    <w:p w:rsidR="00F926BE" w:rsidRPr="00A05698" w:rsidRDefault="00F926BE" w:rsidP="004F4212">
      <w:pPr>
        <w:autoSpaceDE w:val="0"/>
        <w:autoSpaceDN w:val="0"/>
        <w:adjustRightInd w:val="0"/>
        <w:ind w:left="709"/>
        <w:jc w:val="both"/>
      </w:pPr>
    </w:p>
    <w:p w:rsidR="007914A7" w:rsidRDefault="007914A7" w:rsidP="007914A7">
      <w:bookmarkStart w:id="410" w:name="_Toc20690247"/>
      <w:bookmarkStart w:id="411" w:name="_Toc34007113"/>
      <w:bookmarkStart w:id="412" w:name="_Toc50135971"/>
    </w:p>
    <w:p w:rsidR="00BE544C" w:rsidRDefault="00BE544C" w:rsidP="007914A7"/>
    <w:p w:rsidR="00BE544C" w:rsidRDefault="00BE544C" w:rsidP="007914A7"/>
    <w:p w:rsidR="00BE544C" w:rsidRDefault="00BE544C" w:rsidP="007914A7"/>
    <w:p w:rsidR="00BE544C" w:rsidRDefault="00BE544C" w:rsidP="007914A7"/>
    <w:p w:rsidR="00BE544C" w:rsidRDefault="00BE544C" w:rsidP="007914A7"/>
    <w:p w:rsidR="00BE544C" w:rsidRDefault="00BE544C" w:rsidP="007914A7"/>
    <w:p w:rsidR="00BE544C" w:rsidRDefault="00BE544C" w:rsidP="007914A7"/>
    <w:p w:rsidR="00BE544C" w:rsidRDefault="00BE544C" w:rsidP="007914A7"/>
    <w:p w:rsidR="00DF5488" w:rsidRDefault="00DF5488" w:rsidP="007914A7"/>
    <w:p w:rsidR="00DF5488" w:rsidRDefault="00DF5488" w:rsidP="007914A7"/>
    <w:p w:rsidR="00DF5488" w:rsidRDefault="00DF5488" w:rsidP="007914A7"/>
    <w:p w:rsidR="00DF5488" w:rsidRDefault="00DF5488" w:rsidP="007914A7"/>
    <w:p w:rsidR="00DF5488" w:rsidRDefault="00DF5488" w:rsidP="007914A7"/>
    <w:p w:rsidR="00DF5488" w:rsidRDefault="00DF5488" w:rsidP="007914A7"/>
    <w:p w:rsidR="00DF5488" w:rsidRDefault="00DF5488" w:rsidP="007914A7"/>
    <w:p w:rsidR="00DF5488" w:rsidRDefault="00DF5488" w:rsidP="007914A7"/>
    <w:p w:rsidR="00DF5488" w:rsidRDefault="00DF5488" w:rsidP="007914A7"/>
    <w:p w:rsidR="00BE544C" w:rsidRDefault="00BE544C" w:rsidP="007914A7"/>
    <w:p w:rsidR="006E7B48" w:rsidRDefault="006E7B48" w:rsidP="007914A7"/>
    <w:p w:rsidR="006E7B48" w:rsidRDefault="006E7B48" w:rsidP="007914A7"/>
    <w:p w:rsidR="00522FC7" w:rsidRPr="00A05698" w:rsidRDefault="00522FC7" w:rsidP="006111C0">
      <w:pPr>
        <w:pStyle w:val="Cabealho1"/>
        <w:numPr>
          <w:ilvl w:val="0"/>
          <w:numId w:val="0"/>
        </w:numPr>
        <w:pBdr>
          <w:bottom w:val="thickThinSmallGap" w:sz="24" w:space="1" w:color="auto"/>
        </w:pBdr>
        <w:shd w:val="clear" w:color="auto" w:fill="E2EFD9" w:themeFill="accent6" w:themeFillTint="33"/>
        <w:spacing w:after="120"/>
        <w:rPr>
          <w:rFonts w:ascii="Times New Roman" w:hAnsi="Times New Roman"/>
        </w:rPr>
      </w:pPr>
      <w:bookmarkStart w:id="413" w:name="_Toc73459791"/>
      <w:r w:rsidRPr="00A05698">
        <w:rPr>
          <w:rFonts w:ascii="Times New Roman" w:hAnsi="Times New Roman"/>
        </w:rPr>
        <w:t>REFERENCE BIBLIOGRAPHIQUE</w:t>
      </w:r>
      <w:bookmarkEnd w:id="410"/>
      <w:bookmarkEnd w:id="411"/>
      <w:bookmarkEnd w:id="412"/>
      <w:bookmarkEnd w:id="413"/>
    </w:p>
    <w:p w:rsidR="00522FC7" w:rsidRPr="00A05698" w:rsidRDefault="00522FC7" w:rsidP="00522FC7">
      <w:pPr>
        <w:rPr>
          <w:rFonts w:eastAsia="Calibri"/>
          <w:sz w:val="20"/>
          <w:szCs w:val="20"/>
        </w:rPr>
      </w:pPr>
    </w:p>
    <w:p w:rsidR="00187FE5" w:rsidRPr="00187FE5" w:rsidRDefault="00187FE5" w:rsidP="00157035">
      <w:pPr>
        <w:pStyle w:val="PargrafodaLista"/>
        <w:numPr>
          <w:ilvl w:val="0"/>
          <w:numId w:val="116"/>
        </w:numPr>
        <w:spacing w:after="0" w:line="240" w:lineRule="auto"/>
        <w:jc w:val="both"/>
        <w:rPr>
          <w:i/>
        </w:rPr>
      </w:pPr>
      <w:r w:rsidRPr="00187FE5">
        <w:rPr>
          <w:i/>
        </w:rPr>
        <w:t>Cadre de gestion enviro</w:t>
      </w:r>
      <w:r w:rsidR="00055C8C">
        <w:rPr>
          <w:i/>
        </w:rPr>
        <w:t>nnementale et sociale du PEASA II,</w:t>
      </w:r>
      <w:r w:rsidR="007A42C5">
        <w:rPr>
          <w:i/>
        </w:rPr>
        <w:t xml:space="preserve"> </w:t>
      </w:r>
      <w:r w:rsidR="003A3B15">
        <w:rPr>
          <w:i/>
        </w:rPr>
        <w:t xml:space="preserve">Avril </w:t>
      </w:r>
      <w:r w:rsidR="00055C8C">
        <w:rPr>
          <w:i/>
        </w:rPr>
        <w:t xml:space="preserve"> 2014</w:t>
      </w:r>
      <w:r w:rsidRPr="00187FE5">
        <w:rPr>
          <w:i/>
        </w:rPr>
        <w:t xml:space="preserve">; </w:t>
      </w:r>
      <w:r w:rsidRPr="00187FE5">
        <w:rPr>
          <w:rFonts w:ascii="MS Mincho" w:eastAsia="MS Mincho" w:hAnsi="MS Mincho" w:cs="MS Mincho"/>
          <w:i/>
        </w:rPr>
        <w:t> </w:t>
      </w:r>
    </w:p>
    <w:p w:rsidR="00187FE5" w:rsidRPr="00083B97" w:rsidRDefault="00187FE5" w:rsidP="00157035">
      <w:pPr>
        <w:pStyle w:val="PargrafodaLista"/>
        <w:numPr>
          <w:ilvl w:val="0"/>
          <w:numId w:val="116"/>
        </w:numPr>
        <w:spacing w:after="0" w:line="240" w:lineRule="auto"/>
        <w:jc w:val="both"/>
        <w:rPr>
          <w:i/>
        </w:rPr>
      </w:pPr>
      <w:r w:rsidRPr="00187FE5">
        <w:rPr>
          <w:i/>
        </w:rPr>
        <w:t xml:space="preserve">Document de projet du PEASA </w:t>
      </w:r>
      <w:r w:rsidR="001D607E">
        <w:rPr>
          <w:i/>
        </w:rPr>
        <w:t>2</w:t>
      </w:r>
      <w:r w:rsidR="007A42C5">
        <w:rPr>
          <w:i/>
        </w:rPr>
        <w:t xml:space="preserve"> (</w:t>
      </w:r>
      <w:r w:rsidR="007A42C5" w:rsidRPr="007A42C5">
        <w:rPr>
          <w:i/>
        </w:rPr>
        <w:t>P174336-GB Food Security Draft SEP.docx</w:t>
      </w:r>
      <w:r w:rsidR="007A42C5">
        <w:rPr>
          <w:i/>
        </w:rPr>
        <w:t>) 2021</w:t>
      </w:r>
      <w:r w:rsidRPr="00187FE5">
        <w:rPr>
          <w:rFonts w:ascii="MS Mincho" w:eastAsia="MS Mincho" w:hAnsi="MS Mincho" w:cs="MS Mincho"/>
          <w:i/>
        </w:rPr>
        <w:t> </w:t>
      </w:r>
      <w:r w:rsidR="007A42C5">
        <w:rPr>
          <w:rFonts w:ascii="MS Mincho" w:eastAsia="MS Mincho" w:hAnsi="MS Mincho" w:cs="MS Mincho"/>
          <w:i/>
        </w:rPr>
        <w:t> </w:t>
      </w:r>
    </w:p>
    <w:p w:rsidR="00522FC7" w:rsidRPr="00A05698" w:rsidRDefault="00522FC7" w:rsidP="00157035">
      <w:pPr>
        <w:pStyle w:val="PargrafodaLista"/>
        <w:numPr>
          <w:ilvl w:val="0"/>
          <w:numId w:val="116"/>
        </w:numPr>
        <w:spacing w:after="0" w:line="240" w:lineRule="auto"/>
        <w:jc w:val="both"/>
        <w:rPr>
          <w:rFonts w:ascii="Times New Roman" w:hAnsi="Times New Roman"/>
          <w:i/>
        </w:rPr>
      </w:pPr>
      <w:r w:rsidRPr="00A05698">
        <w:rPr>
          <w:rFonts w:ascii="Times New Roman" w:hAnsi="Times New Roman"/>
          <w:bCs/>
          <w:i/>
          <w:color w:val="000000"/>
        </w:rPr>
        <w:t xml:space="preserve">Le Décret 14/2011 du 22 février sur les forêts </w:t>
      </w:r>
      <w:r w:rsidRPr="00A05698">
        <w:rPr>
          <w:rFonts w:ascii="Times New Roman" w:hAnsi="Times New Roman"/>
          <w:i/>
        </w:rPr>
        <w:t>en Guinée Bissau</w:t>
      </w:r>
    </w:p>
    <w:p w:rsidR="00522FC7" w:rsidRPr="00A05698" w:rsidRDefault="00522FC7" w:rsidP="00157035">
      <w:pPr>
        <w:pStyle w:val="PargrafodaLista"/>
        <w:numPr>
          <w:ilvl w:val="0"/>
          <w:numId w:val="116"/>
        </w:numPr>
        <w:spacing w:after="0" w:line="240" w:lineRule="auto"/>
        <w:jc w:val="both"/>
        <w:rPr>
          <w:rFonts w:ascii="Times New Roman" w:hAnsi="Times New Roman"/>
          <w:i/>
          <w:color w:val="000000"/>
        </w:rPr>
      </w:pPr>
      <w:r w:rsidRPr="00A05698">
        <w:rPr>
          <w:rFonts w:ascii="Times New Roman" w:hAnsi="Times New Roman"/>
          <w:bCs/>
          <w:i/>
          <w:color w:val="000000"/>
        </w:rPr>
        <w:t>Loi n° 2/98 portant sur le foncier</w:t>
      </w:r>
      <w:r w:rsidRPr="00A05698">
        <w:rPr>
          <w:rFonts w:ascii="Times New Roman" w:hAnsi="Times New Roman"/>
          <w:i/>
        </w:rPr>
        <w:t xml:space="preserve"> en Guinée Bissau</w:t>
      </w:r>
    </w:p>
    <w:p w:rsidR="00522FC7" w:rsidRPr="00A05698" w:rsidRDefault="00522FC7" w:rsidP="00157035">
      <w:pPr>
        <w:pStyle w:val="PargrafodaLista"/>
        <w:numPr>
          <w:ilvl w:val="0"/>
          <w:numId w:val="116"/>
        </w:numPr>
        <w:spacing w:after="0" w:line="240" w:lineRule="auto"/>
        <w:jc w:val="both"/>
        <w:rPr>
          <w:rFonts w:ascii="Times New Roman" w:hAnsi="Times New Roman"/>
          <w:i/>
          <w:color w:val="000000"/>
        </w:rPr>
      </w:pPr>
      <w:r w:rsidRPr="00A05698">
        <w:rPr>
          <w:rFonts w:ascii="Times New Roman" w:hAnsi="Times New Roman"/>
          <w:bCs/>
          <w:i/>
          <w:color w:val="000000"/>
        </w:rPr>
        <w:t>La Loi n°10/2010 du 24 septembre 2010 sur l’évaluation environnementale</w:t>
      </w:r>
    </w:p>
    <w:p w:rsidR="00522FC7" w:rsidRPr="00A05698" w:rsidRDefault="00522FC7" w:rsidP="00157035">
      <w:pPr>
        <w:pStyle w:val="PargrafodaLista"/>
        <w:numPr>
          <w:ilvl w:val="0"/>
          <w:numId w:val="116"/>
        </w:numPr>
        <w:spacing w:after="0" w:line="240" w:lineRule="auto"/>
        <w:jc w:val="both"/>
        <w:rPr>
          <w:rFonts w:ascii="Times New Roman" w:hAnsi="Times New Roman"/>
          <w:i/>
          <w:color w:val="000000"/>
        </w:rPr>
      </w:pPr>
      <w:r w:rsidRPr="00A05698">
        <w:rPr>
          <w:rFonts w:ascii="Times New Roman" w:hAnsi="Times New Roman"/>
          <w:i/>
          <w:color w:val="000000"/>
        </w:rPr>
        <w:t>Loi de base n°1/2011</w:t>
      </w:r>
      <w:r w:rsidRPr="00A05698">
        <w:rPr>
          <w:rFonts w:ascii="Times New Roman" w:hAnsi="Times New Roman"/>
          <w:i/>
        </w:rPr>
        <w:t xml:space="preserve"> en Guinée Bissau</w:t>
      </w:r>
    </w:p>
    <w:p w:rsidR="00522FC7" w:rsidRPr="00A05698" w:rsidRDefault="00522FC7" w:rsidP="00157035">
      <w:pPr>
        <w:pStyle w:val="PargrafodaLista"/>
        <w:numPr>
          <w:ilvl w:val="0"/>
          <w:numId w:val="116"/>
        </w:numPr>
        <w:spacing w:after="0" w:line="240" w:lineRule="auto"/>
        <w:jc w:val="both"/>
        <w:rPr>
          <w:rFonts w:ascii="Times New Roman" w:hAnsi="Times New Roman"/>
          <w:i/>
          <w:color w:val="000000"/>
        </w:rPr>
      </w:pPr>
      <w:r w:rsidRPr="00A05698">
        <w:rPr>
          <w:rFonts w:ascii="Times New Roman" w:hAnsi="Times New Roman"/>
          <w:i/>
        </w:rPr>
        <w:t>Loi de base sur l’environnement en Guinée Bissau</w:t>
      </w:r>
    </w:p>
    <w:p w:rsidR="00522FC7" w:rsidRPr="00A05698" w:rsidRDefault="00522FC7" w:rsidP="00157035">
      <w:pPr>
        <w:pStyle w:val="PargrafodaLista"/>
        <w:numPr>
          <w:ilvl w:val="0"/>
          <w:numId w:val="116"/>
        </w:numPr>
        <w:spacing w:after="0" w:line="240" w:lineRule="auto"/>
        <w:jc w:val="both"/>
        <w:rPr>
          <w:rFonts w:ascii="Times New Roman" w:hAnsi="Times New Roman"/>
          <w:i/>
        </w:rPr>
      </w:pPr>
      <w:r w:rsidRPr="00A05698">
        <w:rPr>
          <w:rFonts w:ascii="Times New Roman" w:hAnsi="Times New Roman"/>
          <w:i/>
          <w:color w:val="000000"/>
        </w:rPr>
        <w:t>Le décret n°15/2010 en</w:t>
      </w:r>
      <w:r w:rsidRPr="00A05698">
        <w:rPr>
          <w:rFonts w:ascii="Times New Roman" w:hAnsi="Times New Roman"/>
          <w:i/>
        </w:rPr>
        <w:t xml:space="preserve"> Guinée Bissau</w:t>
      </w:r>
    </w:p>
    <w:p w:rsidR="00522FC7" w:rsidRPr="00A05698" w:rsidRDefault="00522FC7" w:rsidP="00157035">
      <w:pPr>
        <w:pStyle w:val="PargrafodaLista"/>
        <w:numPr>
          <w:ilvl w:val="0"/>
          <w:numId w:val="117"/>
        </w:numPr>
        <w:spacing w:line="240" w:lineRule="auto"/>
        <w:jc w:val="both"/>
        <w:rPr>
          <w:rFonts w:ascii="Times New Roman" w:hAnsi="Times New Roman"/>
          <w:i/>
        </w:rPr>
      </w:pPr>
      <w:r w:rsidRPr="00A05698">
        <w:rPr>
          <w:rFonts w:ascii="Times New Roman" w:hAnsi="Times New Roman"/>
          <w:i/>
          <w:color w:val="000000"/>
        </w:rPr>
        <w:t>Le décret d’application n° 7/2012 en</w:t>
      </w:r>
      <w:r w:rsidRPr="00A05698">
        <w:rPr>
          <w:rFonts w:ascii="Times New Roman" w:hAnsi="Times New Roman"/>
          <w:i/>
        </w:rPr>
        <w:t xml:space="preserve"> Guinée Bissau</w:t>
      </w:r>
    </w:p>
    <w:p w:rsidR="00522FC7" w:rsidRPr="00A05698" w:rsidRDefault="00522FC7" w:rsidP="00157035">
      <w:pPr>
        <w:pStyle w:val="PargrafodaLista"/>
        <w:numPr>
          <w:ilvl w:val="0"/>
          <w:numId w:val="117"/>
        </w:numPr>
        <w:spacing w:after="0" w:line="240" w:lineRule="auto"/>
        <w:jc w:val="both"/>
        <w:rPr>
          <w:rFonts w:ascii="Times New Roman" w:hAnsi="Times New Roman"/>
          <w:i/>
        </w:rPr>
      </w:pPr>
      <w:r w:rsidRPr="00A05698">
        <w:rPr>
          <w:rFonts w:ascii="Times New Roman" w:hAnsi="Times New Roman"/>
          <w:i/>
          <w:color w:val="000000"/>
        </w:rPr>
        <w:t>Le décret n°13/2010 en</w:t>
      </w:r>
      <w:r w:rsidRPr="00A05698">
        <w:rPr>
          <w:rFonts w:ascii="Times New Roman" w:hAnsi="Times New Roman"/>
          <w:i/>
        </w:rPr>
        <w:t xml:space="preserve"> Guinée Bissau</w:t>
      </w:r>
    </w:p>
    <w:p w:rsidR="00522FC7" w:rsidRPr="00A05698" w:rsidRDefault="00522FC7" w:rsidP="00157035">
      <w:pPr>
        <w:pStyle w:val="PargrafodaLista"/>
        <w:numPr>
          <w:ilvl w:val="0"/>
          <w:numId w:val="117"/>
        </w:numPr>
        <w:spacing w:after="0" w:line="240" w:lineRule="auto"/>
        <w:jc w:val="both"/>
        <w:rPr>
          <w:rFonts w:ascii="Times New Roman" w:hAnsi="Times New Roman"/>
          <w:i/>
        </w:rPr>
      </w:pPr>
      <w:r w:rsidRPr="00A05698">
        <w:rPr>
          <w:rFonts w:ascii="Times New Roman" w:hAnsi="Times New Roman"/>
          <w:i/>
          <w:color w:val="000000"/>
        </w:rPr>
        <w:t>Le décret n°14/2010 en</w:t>
      </w:r>
      <w:r w:rsidRPr="00A05698">
        <w:rPr>
          <w:rFonts w:ascii="Times New Roman" w:hAnsi="Times New Roman"/>
          <w:i/>
        </w:rPr>
        <w:t xml:space="preserve"> Guinée Bissau</w:t>
      </w:r>
    </w:p>
    <w:p w:rsidR="00522FC7" w:rsidRPr="00A05698" w:rsidRDefault="00522FC7" w:rsidP="00157035">
      <w:pPr>
        <w:pStyle w:val="PargrafodaLista"/>
        <w:numPr>
          <w:ilvl w:val="0"/>
          <w:numId w:val="117"/>
        </w:numPr>
        <w:spacing w:after="0" w:line="240" w:lineRule="auto"/>
        <w:jc w:val="both"/>
        <w:rPr>
          <w:rFonts w:ascii="Times New Roman" w:hAnsi="Times New Roman"/>
          <w:i/>
        </w:rPr>
      </w:pPr>
      <w:r w:rsidRPr="00A05698">
        <w:rPr>
          <w:rFonts w:ascii="Times New Roman" w:hAnsi="Times New Roman"/>
          <w:i/>
        </w:rPr>
        <w:t>Rapport sur la mise en œuvre de la stratégie nationale et le plan d’action sur la diversité biologique en guinée Bissau, 2016</w:t>
      </w:r>
    </w:p>
    <w:p w:rsidR="00522FC7" w:rsidRPr="00A05698" w:rsidRDefault="00522FC7" w:rsidP="00157035">
      <w:pPr>
        <w:pStyle w:val="PargrafodaLista"/>
        <w:numPr>
          <w:ilvl w:val="0"/>
          <w:numId w:val="117"/>
        </w:numPr>
        <w:spacing w:line="240" w:lineRule="auto"/>
        <w:jc w:val="both"/>
        <w:rPr>
          <w:rFonts w:ascii="Times New Roman" w:hAnsi="Times New Roman"/>
          <w:i/>
        </w:rPr>
      </w:pPr>
      <w:r w:rsidRPr="00A05698">
        <w:rPr>
          <w:rFonts w:ascii="Times New Roman" w:hAnsi="Times New Roman"/>
          <w:i/>
        </w:rPr>
        <w:t xml:space="preserve">Programme d’action nationale d’adaptation aux changements climatiques en Guinée Bissau, 2010, </w:t>
      </w:r>
      <w:r w:rsidR="00F73AD1" w:rsidRPr="00A05698">
        <w:rPr>
          <w:rFonts w:ascii="Times New Roman" w:hAnsi="Times New Roman"/>
          <w:i/>
        </w:rPr>
        <w:t>ministère des ressources naturelles et de l</w:t>
      </w:r>
      <w:r w:rsidRPr="00A05698">
        <w:rPr>
          <w:rFonts w:ascii="Times New Roman" w:eastAsia="SimHei" w:hAnsi="Times New Roman"/>
          <w:i/>
        </w:rPr>
        <w:t>'</w:t>
      </w:r>
      <w:r w:rsidR="00F73AD1" w:rsidRPr="00A05698">
        <w:rPr>
          <w:rFonts w:ascii="Times New Roman" w:hAnsi="Times New Roman"/>
          <w:i/>
        </w:rPr>
        <w:t>environnement</w:t>
      </w:r>
      <w:r w:rsidR="00F73AD1">
        <w:rPr>
          <w:rFonts w:ascii="Times New Roman" w:hAnsi="Times New Roman"/>
          <w:i/>
        </w:rPr>
        <w:t xml:space="preserve"> </w:t>
      </w:r>
      <w:r w:rsidR="00F73AD1" w:rsidRPr="00A05698">
        <w:rPr>
          <w:rFonts w:ascii="Times New Roman" w:hAnsi="Times New Roman"/>
          <w:i/>
        </w:rPr>
        <w:t>gouvernement de la Guinée-Bissau</w:t>
      </w:r>
    </w:p>
    <w:p w:rsidR="00522FC7" w:rsidRPr="00A05698" w:rsidRDefault="00522FC7" w:rsidP="00157035">
      <w:pPr>
        <w:pStyle w:val="PargrafodaLista"/>
        <w:numPr>
          <w:ilvl w:val="0"/>
          <w:numId w:val="117"/>
        </w:numPr>
        <w:spacing w:after="0" w:line="240" w:lineRule="auto"/>
        <w:jc w:val="both"/>
        <w:rPr>
          <w:rFonts w:ascii="Times New Roman" w:hAnsi="Times New Roman"/>
          <w:i/>
          <w:color w:val="000000"/>
        </w:rPr>
      </w:pPr>
      <w:r w:rsidRPr="00A05698">
        <w:rPr>
          <w:rFonts w:ascii="Times New Roman" w:hAnsi="Times New Roman"/>
          <w:i/>
        </w:rPr>
        <w:t xml:space="preserve">Procédure de gestion administrative des évaluations environnementales en Guinée </w:t>
      </w:r>
      <w:r w:rsidRPr="00A05698">
        <w:rPr>
          <w:rFonts w:ascii="Times New Roman" w:hAnsi="Times New Roman"/>
          <w:i/>
          <w:color w:val="000000"/>
        </w:rPr>
        <w:t>Bissau 06 Aout 2009</w:t>
      </w:r>
    </w:p>
    <w:p w:rsidR="00522FC7" w:rsidRPr="00A05698" w:rsidRDefault="00522FC7" w:rsidP="00157035">
      <w:pPr>
        <w:pStyle w:val="PargrafodaLista"/>
        <w:numPr>
          <w:ilvl w:val="0"/>
          <w:numId w:val="117"/>
        </w:numPr>
        <w:spacing w:after="0" w:line="240" w:lineRule="auto"/>
        <w:jc w:val="both"/>
        <w:rPr>
          <w:rFonts w:ascii="Times New Roman" w:hAnsi="Times New Roman"/>
          <w:i/>
        </w:rPr>
      </w:pPr>
      <w:r w:rsidRPr="00A05698">
        <w:rPr>
          <w:rFonts w:ascii="Times New Roman" w:hAnsi="Times New Roman"/>
          <w:i/>
        </w:rPr>
        <w:t xml:space="preserve">Document de politique de développement forestière </w:t>
      </w:r>
      <w:r w:rsidR="00757656">
        <w:rPr>
          <w:rFonts w:ascii="Times New Roman" w:hAnsi="Times New Roman"/>
          <w:i/>
        </w:rPr>
        <w:t xml:space="preserve">de la guinée </w:t>
      </w:r>
      <w:r w:rsidR="00046A04">
        <w:rPr>
          <w:rFonts w:ascii="Times New Roman" w:hAnsi="Times New Roman"/>
          <w:i/>
        </w:rPr>
        <w:t>Bissau</w:t>
      </w:r>
      <w:r w:rsidR="00757656">
        <w:rPr>
          <w:rFonts w:ascii="Times New Roman" w:hAnsi="Times New Roman"/>
          <w:i/>
        </w:rPr>
        <w:t xml:space="preserve"> </w:t>
      </w:r>
      <w:r w:rsidRPr="00A05698">
        <w:rPr>
          <w:rFonts w:ascii="Times New Roman" w:hAnsi="Times New Roman"/>
          <w:i/>
          <w:color w:val="000000"/>
        </w:rPr>
        <w:t>Aout 2012</w:t>
      </w:r>
    </w:p>
    <w:p w:rsidR="00522FC7" w:rsidRPr="00A05698" w:rsidRDefault="00522FC7" w:rsidP="00157035">
      <w:pPr>
        <w:pStyle w:val="PargrafodaLista"/>
        <w:numPr>
          <w:ilvl w:val="0"/>
          <w:numId w:val="117"/>
        </w:numPr>
        <w:spacing w:after="0" w:line="240" w:lineRule="auto"/>
        <w:jc w:val="both"/>
        <w:rPr>
          <w:rFonts w:ascii="Times New Roman" w:hAnsi="Times New Roman"/>
          <w:i/>
          <w:color w:val="000000"/>
        </w:rPr>
      </w:pPr>
      <w:r w:rsidRPr="00A05698">
        <w:rPr>
          <w:rFonts w:ascii="Times New Roman" w:hAnsi="Times New Roman"/>
          <w:i/>
          <w:color w:val="000000"/>
        </w:rPr>
        <w:t xml:space="preserve">Elaboration du profil environnemental de pays – Guinée Bissau </w:t>
      </w:r>
      <w:r w:rsidRPr="00A05698">
        <w:rPr>
          <w:rFonts w:ascii="Times New Roman" w:hAnsi="Times New Roman"/>
          <w:b/>
          <w:i/>
          <w:color w:val="000000"/>
        </w:rPr>
        <w:t>Rapport final 2007</w:t>
      </w:r>
    </w:p>
    <w:p w:rsidR="00522FC7" w:rsidRPr="00A05698" w:rsidRDefault="00522FC7" w:rsidP="00157035">
      <w:pPr>
        <w:pStyle w:val="PargrafodaLista"/>
        <w:numPr>
          <w:ilvl w:val="0"/>
          <w:numId w:val="117"/>
        </w:numPr>
        <w:spacing w:after="0" w:line="240" w:lineRule="auto"/>
        <w:jc w:val="both"/>
        <w:rPr>
          <w:rFonts w:ascii="Times New Roman" w:hAnsi="Times New Roman"/>
          <w:i/>
          <w:color w:val="000000"/>
        </w:rPr>
      </w:pPr>
      <w:r w:rsidRPr="00A05698">
        <w:rPr>
          <w:rFonts w:ascii="Times New Roman" w:hAnsi="Times New Roman"/>
          <w:i/>
          <w:color w:val="000000"/>
        </w:rPr>
        <w:t>Rapport sur la mise en œuvre de la stratégie nationale et le plan d’action sur la diversité biologique en Guinée-Bissau 20 Septembre 2008</w:t>
      </w:r>
    </w:p>
    <w:p w:rsidR="00522FC7" w:rsidRPr="00A05698" w:rsidRDefault="00522FC7" w:rsidP="00157035">
      <w:pPr>
        <w:pStyle w:val="PargrafodaLista"/>
        <w:numPr>
          <w:ilvl w:val="0"/>
          <w:numId w:val="117"/>
        </w:numPr>
        <w:spacing w:after="0" w:line="240" w:lineRule="auto"/>
        <w:jc w:val="both"/>
        <w:rPr>
          <w:rFonts w:ascii="Times New Roman" w:hAnsi="Times New Roman"/>
          <w:i/>
          <w:color w:val="000000"/>
          <w:lang w:val="pt-BR"/>
        </w:rPr>
      </w:pPr>
      <w:r w:rsidRPr="00A05698">
        <w:rPr>
          <w:rFonts w:ascii="Times New Roman" w:hAnsi="Times New Roman"/>
          <w:i/>
          <w:color w:val="000000"/>
          <w:lang w:val="pt-BR"/>
        </w:rPr>
        <w:t xml:space="preserve">Stratégie national para as areas protégeas e a </w:t>
      </w:r>
      <w:r w:rsidR="00D400AD">
        <w:rPr>
          <w:rFonts w:ascii="Times New Roman" w:hAnsi="Times New Roman"/>
          <w:i/>
          <w:color w:val="000000"/>
          <w:lang w:val="pt-BR"/>
        </w:rPr>
        <w:t>conserva</w:t>
      </w:r>
      <w:r w:rsidR="008C4B7A">
        <w:rPr>
          <w:rFonts w:ascii="Times New Roman" w:hAnsi="Times New Roman"/>
          <w:i/>
          <w:color w:val="000000"/>
          <w:lang w:val="pt-BR"/>
        </w:rPr>
        <w:t>çã</w:t>
      </w:r>
      <w:r w:rsidR="00D400AD">
        <w:rPr>
          <w:rFonts w:ascii="Times New Roman" w:hAnsi="Times New Roman"/>
          <w:i/>
          <w:color w:val="000000"/>
          <w:lang w:val="pt-BR"/>
        </w:rPr>
        <w:t xml:space="preserve">o </w:t>
      </w:r>
      <w:r w:rsidRPr="00A05698">
        <w:rPr>
          <w:rFonts w:ascii="Times New Roman" w:hAnsi="Times New Roman"/>
          <w:i/>
          <w:color w:val="000000"/>
          <w:lang w:val="pt-BR"/>
        </w:rPr>
        <w:t xml:space="preserve"> da biodiversidade na Guinée-Bissau 2014 – 2020</w:t>
      </w:r>
    </w:p>
    <w:p w:rsidR="00522FC7" w:rsidRPr="004F6402" w:rsidRDefault="00522FC7" w:rsidP="00157035">
      <w:pPr>
        <w:pStyle w:val="PargrafodaLista"/>
        <w:numPr>
          <w:ilvl w:val="0"/>
          <w:numId w:val="117"/>
        </w:numPr>
        <w:jc w:val="both"/>
        <w:rPr>
          <w:i/>
          <w:color w:val="000000"/>
        </w:rPr>
      </w:pPr>
      <w:r w:rsidRPr="00A05698">
        <w:rPr>
          <w:rFonts w:ascii="Times New Roman" w:hAnsi="Times New Roman"/>
          <w:i/>
          <w:color w:val="000000"/>
        </w:rPr>
        <w:t>Genèse des plans nationaux de conservation</w:t>
      </w:r>
      <w:r w:rsidR="00CB3509">
        <w:rPr>
          <w:rFonts w:ascii="Times New Roman" w:hAnsi="Times New Roman"/>
          <w:i/>
          <w:color w:val="000000"/>
        </w:rPr>
        <w:t xml:space="preserve"> </w:t>
      </w:r>
      <w:r w:rsidR="00CB3509" w:rsidRPr="00CB3509">
        <w:rPr>
          <w:i/>
          <w:color w:val="000000"/>
        </w:rPr>
        <w:t xml:space="preserve">Octobre 2008 </w:t>
      </w:r>
    </w:p>
    <w:p w:rsidR="00522FC7" w:rsidRPr="00A05698" w:rsidRDefault="00522FC7" w:rsidP="00157035">
      <w:pPr>
        <w:pStyle w:val="PargrafodaLista"/>
        <w:numPr>
          <w:ilvl w:val="0"/>
          <w:numId w:val="117"/>
        </w:numPr>
        <w:spacing w:after="0" w:line="240" w:lineRule="auto"/>
        <w:jc w:val="both"/>
        <w:rPr>
          <w:rFonts w:ascii="Times New Roman" w:hAnsi="Times New Roman"/>
          <w:i/>
          <w:color w:val="000000"/>
        </w:rPr>
      </w:pPr>
      <w:r w:rsidRPr="00A05698">
        <w:rPr>
          <w:rFonts w:ascii="Times New Roman" w:hAnsi="Times New Roman"/>
          <w:i/>
          <w:color w:val="000000"/>
        </w:rPr>
        <w:t>L’Etude prospective du secteur forestier en Afrique (FOSA), 2018</w:t>
      </w:r>
    </w:p>
    <w:p w:rsidR="006C279E" w:rsidRPr="00A05698" w:rsidRDefault="006C279E" w:rsidP="00157035">
      <w:pPr>
        <w:pStyle w:val="PargrafodaLista"/>
        <w:numPr>
          <w:ilvl w:val="0"/>
          <w:numId w:val="117"/>
        </w:numPr>
        <w:jc w:val="both"/>
        <w:rPr>
          <w:rFonts w:ascii="Times New Roman" w:hAnsi="Times New Roman"/>
          <w:i/>
          <w:color w:val="000000"/>
        </w:rPr>
      </w:pPr>
      <w:r w:rsidRPr="00A05698">
        <w:rPr>
          <w:rFonts w:ascii="Times New Roman" w:hAnsi="Times New Roman"/>
          <w:i/>
          <w:color w:val="000000"/>
        </w:rPr>
        <w:t>Recontre regionale de concertation technique pour la validation des productions previsionnelles 2020/2021 et des bilans cerealiers, alimentaires et ex-post 2019/2020 et previsionnels 2020/2021 dans les pays du sahel et en afrique l’ouest (lomé/togo le 26 novembre 2020)</w:t>
      </w:r>
    </w:p>
    <w:p w:rsidR="00175139" w:rsidRPr="00A05698" w:rsidRDefault="00175139" w:rsidP="00157035">
      <w:pPr>
        <w:pStyle w:val="PargrafodaLista"/>
        <w:numPr>
          <w:ilvl w:val="0"/>
          <w:numId w:val="117"/>
        </w:numPr>
        <w:jc w:val="both"/>
        <w:rPr>
          <w:rFonts w:ascii="Times New Roman" w:hAnsi="Times New Roman"/>
          <w:i/>
          <w:color w:val="000000"/>
        </w:rPr>
      </w:pPr>
      <w:r w:rsidRPr="00A05698">
        <w:rPr>
          <w:rFonts w:ascii="Times New Roman" w:hAnsi="Times New Roman"/>
          <w:i/>
          <w:color w:val="000000"/>
        </w:rPr>
        <w:t>Résultats de l’analyse de la situation de l’insécurité alimentaire aiguë actuelle</w:t>
      </w:r>
      <w:r w:rsidRPr="00A05698">
        <w:rPr>
          <w:rFonts w:ascii="Times New Roman" w:hAnsi="Times New Roman"/>
          <w:i/>
          <w:color w:val="000000"/>
        </w:rPr>
        <w:tab/>
        <w:t>Valable : octobre à décembre 2020 ; Créé le : 13/11/2020</w:t>
      </w:r>
    </w:p>
    <w:p w:rsidR="006C279E" w:rsidRDefault="00F73AD1" w:rsidP="00157035">
      <w:pPr>
        <w:pStyle w:val="PargrafodaLista"/>
        <w:numPr>
          <w:ilvl w:val="0"/>
          <w:numId w:val="117"/>
        </w:numPr>
        <w:jc w:val="both"/>
        <w:rPr>
          <w:rFonts w:ascii="Times New Roman" w:hAnsi="Times New Roman"/>
          <w:i/>
          <w:color w:val="000000"/>
        </w:rPr>
      </w:pPr>
      <w:r w:rsidRPr="00A05698">
        <w:rPr>
          <w:rFonts w:ascii="Times New Roman" w:hAnsi="Times New Roman"/>
          <w:i/>
          <w:color w:val="000000"/>
        </w:rPr>
        <w:t xml:space="preserve">situation de la securite alimentaire et nutritionnelle au sahel et en afrique de l’ouest - courante </w:t>
      </w:r>
      <w:r w:rsidR="00175139" w:rsidRPr="00A05698">
        <w:rPr>
          <w:rFonts w:ascii="Times New Roman" w:hAnsi="Times New Roman"/>
          <w:i/>
          <w:color w:val="000000"/>
        </w:rPr>
        <w:t>(Octobre-Décembre 2020) et PROJETEE (Juin- Août 20 21)</w:t>
      </w:r>
    </w:p>
    <w:p w:rsidR="001248D1" w:rsidRPr="00083B97" w:rsidRDefault="001248D1" w:rsidP="00157035">
      <w:pPr>
        <w:pStyle w:val="PargrafodaLista"/>
        <w:numPr>
          <w:ilvl w:val="0"/>
          <w:numId w:val="117"/>
        </w:numPr>
        <w:jc w:val="both"/>
        <w:rPr>
          <w:rFonts w:ascii="Times New Roman" w:hAnsi="Times New Roman"/>
          <w:i/>
          <w:color w:val="000000"/>
          <w:lang w:val="pt-BR"/>
        </w:rPr>
      </w:pPr>
      <w:r w:rsidRPr="00083B97">
        <w:rPr>
          <w:rFonts w:ascii="Times New Roman" w:hAnsi="Times New Roman"/>
          <w:i/>
          <w:color w:val="000000"/>
          <w:lang w:val="pt-BR"/>
        </w:rPr>
        <w:t>Ministério dos Recursos Naturais e do Ambiente, Proposta do Projecto lei sobre a  Avaliação ambiental, Bissau, 10 de Janeiro de 2008  </w:t>
      </w:r>
    </w:p>
    <w:p w:rsidR="00487298" w:rsidRPr="00083B97" w:rsidRDefault="00487298" w:rsidP="00157035">
      <w:pPr>
        <w:pStyle w:val="PargrafodaLista"/>
        <w:numPr>
          <w:ilvl w:val="0"/>
          <w:numId w:val="117"/>
        </w:numPr>
        <w:jc w:val="both"/>
        <w:rPr>
          <w:rFonts w:ascii="Times New Roman" w:hAnsi="Times New Roman"/>
          <w:i/>
          <w:color w:val="000000"/>
          <w:lang w:val="pt-BR"/>
        </w:rPr>
      </w:pPr>
      <w:r w:rsidRPr="00083B97">
        <w:rPr>
          <w:rFonts w:ascii="Times New Roman" w:hAnsi="Times New Roman"/>
          <w:i/>
          <w:color w:val="000000"/>
          <w:lang w:val="pt-BR"/>
        </w:rPr>
        <w:t>Ministério dos Recursos Naturais e Ambiente, Direcção Geral do Ambiente, Projecto da  Lei de Bases do Ambiente  </w:t>
      </w:r>
    </w:p>
    <w:p w:rsidR="00487298" w:rsidRPr="00BA2787" w:rsidRDefault="008255DF" w:rsidP="00157035">
      <w:pPr>
        <w:pStyle w:val="PargrafodaLista"/>
        <w:numPr>
          <w:ilvl w:val="0"/>
          <w:numId w:val="117"/>
        </w:numPr>
        <w:jc w:val="both"/>
        <w:rPr>
          <w:rFonts w:ascii="Times New Roman" w:hAnsi="Times New Roman"/>
          <w:i/>
          <w:color w:val="000000"/>
        </w:rPr>
      </w:pPr>
      <w:r w:rsidRPr="00BA2787">
        <w:rPr>
          <w:rFonts w:ascii="Times New Roman" w:hAnsi="Times New Roman"/>
          <w:i/>
          <w:color w:val="000000"/>
        </w:rPr>
        <w:t>3_Version complète_PEAS_ Séance de sensibilisation PEAS et RPA 74 slides</w:t>
      </w:r>
      <w:r w:rsidR="009E41F6" w:rsidRPr="00BA2787">
        <w:rPr>
          <w:rFonts w:ascii="Times New Roman" w:hAnsi="Times New Roman"/>
          <w:i/>
          <w:color w:val="000000"/>
        </w:rPr>
        <w:t>, 2020</w:t>
      </w:r>
    </w:p>
    <w:p w:rsidR="003A47F4" w:rsidRDefault="009E41F6" w:rsidP="00157035">
      <w:pPr>
        <w:pStyle w:val="PargrafodaLista"/>
        <w:numPr>
          <w:ilvl w:val="0"/>
          <w:numId w:val="117"/>
        </w:numPr>
        <w:jc w:val="both"/>
        <w:rPr>
          <w:rFonts w:ascii="Times New Roman" w:hAnsi="Times New Roman"/>
          <w:i/>
          <w:color w:val="000000"/>
          <w:lang w:val="en-US"/>
        </w:rPr>
      </w:pPr>
      <w:r w:rsidRPr="00083B97">
        <w:rPr>
          <w:rFonts w:ascii="Times New Roman" w:hAnsi="Times New Roman"/>
          <w:i/>
          <w:color w:val="000000"/>
          <w:lang w:val="en-US"/>
        </w:rPr>
        <w:t>ESF-Guidance-Note-3-Resource-Efficiency-and-Pollution-Prevention-and-Management-French</w:t>
      </w:r>
      <w:r w:rsidR="00FA0631" w:rsidRPr="00083B97">
        <w:rPr>
          <w:rFonts w:ascii="Times New Roman" w:hAnsi="Times New Roman"/>
          <w:i/>
          <w:color w:val="000000"/>
          <w:lang w:val="en-US"/>
        </w:rPr>
        <w:t>, 2020</w:t>
      </w:r>
    </w:p>
    <w:p w:rsidR="00F739E1" w:rsidRPr="001851C0" w:rsidRDefault="003A47F4" w:rsidP="00157035">
      <w:pPr>
        <w:pStyle w:val="PargrafodaLista"/>
        <w:numPr>
          <w:ilvl w:val="0"/>
          <w:numId w:val="117"/>
        </w:numPr>
        <w:jc w:val="both"/>
        <w:rPr>
          <w:i/>
          <w:color w:val="000000"/>
        </w:rPr>
      </w:pPr>
      <w:r w:rsidRPr="001851C0">
        <w:rPr>
          <w:i/>
          <w:color w:val="000000"/>
        </w:rPr>
        <w:t>SIXIÈME RAPPORT NATIONAL SUR LA DIVERSITÉ BIOLOGIQUE DE LA RÉPUBLIQUE DE LA GUINÉE-BISSAU</w:t>
      </w:r>
      <w:r w:rsidRPr="001851C0">
        <w:rPr>
          <w:rFonts w:ascii="Times" w:hAnsi="Times" w:cs="Times"/>
          <w:color w:val="000000"/>
          <w:sz w:val="29"/>
          <w:szCs w:val="29"/>
          <w:lang w:eastAsia="en-US"/>
        </w:rPr>
        <w:t xml:space="preserve"> </w:t>
      </w:r>
      <w:r w:rsidRPr="001851C0">
        <w:rPr>
          <w:i/>
          <w:color w:val="000000"/>
        </w:rPr>
        <w:t>Mai 2019</w:t>
      </w:r>
    </w:p>
    <w:p w:rsidR="003A47F4" w:rsidRPr="00946E7A" w:rsidRDefault="00F739E1" w:rsidP="00157035">
      <w:pPr>
        <w:pStyle w:val="PargrafodaLista"/>
        <w:numPr>
          <w:ilvl w:val="0"/>
          <w:numId w:val="117"/>
        </w:numPr>
        <w:jc w:val="both"/>
        <w:rPr>
          <w:b/>
          <w:bCs/>
          <w:i/>
          <w:color w:val="000000"/>
          <w:lang w:val="en-US"/>
        </w:rPr>
      </w:pPr>
      <w:r w:rsidRPr="00946E7A">
        <w:rPr>
          <w:i/>
          <w:color w:val="000000"/>
          <w:lang w:val="en-US"/>
        </w:rPr>
        <w:t xml:space="preserve">Strategy and National Action Plan for the Biodiversity </w:t>
      </w:r>
      <w:r w:rsidRPr="00946E7A">
        <w:rPr>
          <w:b/>
          <w:bCs/>
          <w:i/>
          <w:color w:val="000000"/>
          <w:lang w:val="en-US"/>
        </w:rPr>
        <w:t xml:space="preserve">2015 - 2020 </w:t>
      </w:r>
    </w:p>
    <w:p w:rsidR="001851C0" w:rsidRPr="001851C0" w:rsidRDefault="001851C0" w:rsidP="00157035">
      <w:pPr>
        <w:pStyle w:val="PargrafodaLista"/>
        <w:numPr>
          <w:ilvl w:val="0"/>
          <w:numId w:val="117"/>
        </w:numPr>
        <w:jc w:val="both"/>
        <w:rPr>
          <w:i/>
          <w:color w:val="000000"/>
        </w:rPr>
      </w:pPr>
      <w:r w:rsidRPr="001851C0">
        <w:rPr>
          <w:i/>
          <w:color w:val="000000"/>
        </w:rPr>
        <w:t xml:space="preserve">2016. « Cadre environnemental et social de la Banque mondiale. </w:t>
      </w:r>
    </w:p>
    <w:p w:rsidR="00655F42" w:rsidRPr="00A05698" w:rsidRDefault="00655F42" w:rsidP="00157035">
      <w:pPr>
        <w:pStyle w:val="PargrafodaLista"/>
        <w:numPr>
          <w:ilvl w:val="0"/>
          <w:numId w:val="117"/>
        </w:numPr>
        <w:jc w:val="both"/>
        <w:rPr>
          <w:rFonts w:ascii="Times New Roman" w:hAnsi="Times New Roman"/>
          <w:i/>
          <w:color w:val="000000"/>
        </w:rPr>
      </w:pPr>
      <w:r>
        <w:rPr>
          <w:rFonts w:ascii="Times New Roman" w:hAnsi="Times New Roman"/>
          <w:i/>
          <w:color w:val="000000"/>
        </w:rPr>
        <w:t xml:space="preserve">Site web de IBAP, </w:t>
      </w:r>
    </w:p>
    <w:p w:rsidR="006C279E" w:rsidRPr="00A05698" w:rsidRDefault="006C279E" w:rsidP="00175139">
      <w:pPr>
        <w:pStyle w:val="PargrafodaLista"/>
        <w:jc w:val="both"/>
        <w:rPr>
          <w:rFonts w:ascii="Times New Roman" w:hAnsi="Times New Roman"/>
          <w:i/>
          <w:color w:val="000000"/>
        </w:rPr>
      </w:pPr>
    </w:p>
    <w:p w:rsidR="00175139" w:rsidRPr="00A05698" w:rsidRDefault="00175139" w:rsidP="00175139">
      <w:pPr>
        <w:pStyle w:val="PargrafodaLista"/>
        <w:jc w:val="both"/>
        <w:rPr>
          <w:rFonts w:ascii="Times New Roman" w:hAnsi="Times New Roman"/>
          <w:i/>
          <w:color w:val="000000"/>
        </w:rPr>
      </w:pPr>
    </w:p>
    <w:p w:rsidR="003D1623" w:rsidRPr="00A05698" w:rsidRDefault="003D1623" w:rsidP="00175139">
      <w:pPr>
        <w:pStyle w:val="PargrafodaLista"/>
        <w:jc w:val="both"/>
        <w:rPr>
          <w:rFonts w:ascii="Times New Roman" w:hAnsi="Times New Roman"/>
          <w:i/>
          <w:color w:val="000000"/>
        </w:rPr>
      </w:pPr>
    </w:p>
    <w:p w:rsidR="003D1623" w:rsidRPr="00A05698" w:rsidRDefault="003D1623" w:rsidP="00175139">
      <w:pPr>
        <w:pStyle w:val="PargrafodaLista"/>
        <w:jc w:val="both"/>
        <w:rPr>
          <w:rFonts w:ascii="Times New Roman" w:hAnsi="Times New Roman"/>
          <w:i/>
          <w:color w:val="000000"/>
        </w:rPr>
      </w:pPr>
    </w:p>
    <w:p w:rsidR="003D1623" w:rsidRDefault="003D1623" w:rsidP="00175139">
      <w:pPr>
        <w:pStyle w:val="PargrafodaLista"/>
        <w:jc w:val="both"/>
        <w:rPr>
          <w:rFonts w:ascii="Times New Roman" w:hAnsi="Times New Roman"/>
          <w:i/>
          <w:color w:val="000000"/>
        </w:rPr>
      </w:pPr>
    </w:p>
    <w:p w:rsidR="00EE708C" w:rsidRDefault="00EE708C" w:rsidP="00175139">
      <w:pPr>
        <w:pStyle w:val="PargrafodaLista"/>
        <w:jc w:val="both"/>
        <w:rPr>
          <w:rFonts w:ascii="Times New Roman" w:hAnsi="Times New Roman"/>
          <w:i/>
          <w:color w:val="000000"/>
        </w:rPr>
      </w:pPr>
    </w:p>
    <w:p w:rsidR="00EE708C" w:rsidRDefault="00EE708C" w:rsidP="00175139">
      <w:pPr>
        <w:pStyle w:val="PargrafodaLista"/>
        <w:jc w:val="both"/>
        <w:rPr>
          <w:rFonts w:ascii="Times New Roman" w:hAnsi="Times New Roman"/>
          <w:i/>
          <w:color w:val="000000"/>
        </w:rPr>
      </w:pPr>
    </w:p>
    <w:p w:rsidR="003D1623" w:rsidRPr="00A05698" w:rsidRDefault="003D1623" w:rsidP="00EE708C">
      <w:pPr>
        <w:pStyle w:val="Cabealho1"/>
        <w:numPr>
          <w:ilvl w:val="0"/>
          <w:numId w:val="0"/>
        </w:numPr>
        <w:pBdr>
          <w:bottom w:val="thickThinSmallGap" w:sz="24" w:space="1" w:color="auto"/>
        </w:pBdr>
        <w:shd w:val="clear" w:color="auto" w:fill="E2EFD9" w:themeFill="accent6" w:themeFillTint="33"/>
        <w:spacing w:after="120"/>
        <w:ind w:left="-284" w:right="-50"/>
        <w:rPr>
          <w:rFonts w:ascii="Times New Roman" w:hAnsi="Times New Roman"/>
          <w:sz w:val="28"/>
          <w:szCs w:val="28"/>
        </w:rPr>
      </w:pPr>
      <w:bookmarkStart w:id="414" w:name="_Toc55465409"/>
      <w:bookmarkStart w:id="415" w:name="_Toc73459792"/>
      <w:r w:rsidRPr="00A05698">
        <w:rPr>
          <w:rFonts w:ascii="Times New Roman" w:hAnsi="Times New Roman"/>
          <w:sz w:val="28"/>
          <w:szCs w:val="28"/>
        </w:rPr>
        <w:t xml:space="preserve">ANNEXE </w:t>
      </w:r>
      <w:r w:rsidRPr="00A05698">
        <w:rPr>
          <w:rFonts w:ascii="Times New Roman" w:hAnsi="Times New Roman"/>
          <w:sz w:val="28"/>
          <w:szCs w:val="28"/>
        </w:rPr>
        <w:fldChar w:fldCharType="begin"/>
      </w:r>
      <w:r w:rsidRPr="00A05698">
        <w:rPr>
          <w:rFonts w:ascii="Times New Roman" w:hAnsi="Times New Roman"/>
          <w:sz w:val="28"/>
          <w:szCs w:val="28"/>
        </w:rPr>
        <w:instrText xml:space="preserve"> </w:instrText>
      </w:r>
      <w:r w:rsidR="006C5620">
        <w:rPr>
          <w:rFonts w:ascii="Times New Roman" w:hAnsi="Times New Roman"/>
          <w:sz w:val="28"/>
          <w:szCs w:val="28"/>
        </w:rPr>
        <w:instrText>SEQ</w:instrText>
      </w:r>
      <w:r w:rsidRPr="00A05698">
        <w:rPr>
          <w:rFonts w:ascii="Times New Roman" w:hAnsi="Times New Roman"/>
          <w:sz w:val="28"/>
          <w:szCs w:val="28"/>
        </w:rPr>
        <w:instrText xml:space="preserve"> ANNEXE \* ARABIC </w:instrText>
      </w:r>
      <w:r w:rsidRPr="00A05698">
        <w:rPr>
          <w:rFonts w:ascii="Times New Roman" w:hAnsi="Times New Roman"/>
          <w:sz w:val="28"/>
          <w:szCs w:val="28"/>
        </w:rPr>
        <w:fldChar w:fldCharType="separate"/>
      </w:r>
      <w:r w:rsidR="00D51AB3">
        <w:rPr>
          <w:rFonts w:ascii="Times New Roman" w:hAnsi="Times New Roman"/>
          <w:noProof/>
          <w:sz w:val="28"/>
          <w:szCs w:val="28"/>
        </w:rPr>
        <w:t>1</w:t>
      </w:r>
      <w:r w:rsidRPr="00A05698">
        <w:rPr>
          <w:rFonts w:ascii="Times New Roman" w:hAnsi="Times New Roman"/>
          <w:sz w:val="28"/>
          <w:szCs w:val="28"/>
        </w:rPr>
        <w:fldChar w:fldCharType="end"/>
      </w:r>
      <w:r w:rsidRPr="00A05698">
        <w:rPr>
          <w:rFonts w:ascii="Times New Roman" w:hAnsi="Times New Roman"/>
          <w:sz w:val="28"/>
          <w:szCs w:val="28"/>
        </w:rPr>
        <w:t>. CHECK-LIST DE CONTROLE ENVIRONNEMENTAL ET SOCIAL</w:t>
      </w:r>
      <w:bookmarkEnd w:id="414"/>
      <w:bookmarkEnd w:id="415"/>
    </w:p>
    <w:p w:rsidR="003D1623" w:rsidRPr="00A05698" w:rsidRDefault="003D1623" w:rsidP="00FF53FE">
      <w:pPr>
        <w:autoSpaceDE w:val="0"/>
        <w:autoSpaceDN w:val="0"/>
        <w:adjustRightInd w:val="0"/>
        <w:jc w:val="center"/>
        <w:rPr>
          <w:rFonts w:eastAsia="Calibri"/>
        </w:rPr>
      </w:pPr>
      <w:r w:rsidRPr="00A05698">
        <w:rPr>
          <w:rFonts w:eastAsia="Calibri"/>
        </w:rPr>
        <w:t>Pour chaque microprojet proposé, remplir la section correspondante de la liste de contrôle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670"/>
        <w:gridCol w:w="709"/>
        <w:gridCol w:w="709"/>
        <w:gridCol w:w="1162"/>
      </w:tblGrid>
      <w:tr w:rsidR="00FB762F" w:rsidRPr="00FF53FE" w:rsidTr="00FB762F">
        <w:tc>
          <w:tcPr>
            <w:tcW w:w="1384" w:type="dxa"/>
            <w:shd w:val="clear" w:color="auto" w:fill="92D050"/>
            <w:vAlign w:val="center"/>
          </w:tcPr>
          <w:p w:rsidR="003D1623" w:rsidRPr="00FF53FE" w:rsidRDefault="003D1623" w:rsidP="00FF53FE">
            <w:pPr>
              <w:autoSpaceDE w:val="0"/>
              <w:autoSpaceDN w:val="0"/>
              <w:adjustRightInd w:val="0"/>
              <w:jc w:val="center"/>
              <w:rPr>
                <w:rFonts w:eastAsia="Calibri"/>
                <w:b/>
                <w:bCs/>
                <w:sz w:val="20"/>
                <w:szCs w:val="20"/>
              </w:rPr>
            </w:pPr>
            <w:r w:rsidRPr="00FF53FE">
              <w:rPr>
                <w:rFonts w:eastAsia="Calibri"/>
                <w:b/>
                <w:bCs/>
                <w:sz w:val="20"/>
                <w:szCs w:val="20"/>
              </w:rPr>
              <w:t>Projet</w:t>
            </w:r>
          </w:p>
        </w:tc>
        <w:tc>
          <w:tcPr>
            <w:tcW w:w="5670" w:type="dxa"/>
            <w:shd w:val="clear" w:color="auto" w:fill="92D050"/>
            <w:vAlign w:val="center"/>
          </w:tcPr>
          <w:p w:rsidR="003D1623" w:rsidRPr="00FF53FE" w:rsidRDefault="003D1623" w:rsidP="00FF53FE">
            <w:pPr>
              <w:autoSpaceDE w:val="0"/>
              <w:autoSpaceDN w:val="0"/>
              <w:adjustRightInd w:val="0"/>
              <w:jc w:val="both"/>
              <w:rPr>
                <w:rFonts w:eastAsia="Calibri"/>
                <w:b/>
                <w:bCs/>
                <w:sz w:val="20"/>
                <w:szCs w:val="20"/>
              </w:rPr>
            </w:pPr>
            <w:r w:rsidRPr="00FF53FE">
              <w:rPr>
                <w:rFonts w:eastAsia="Calibri"/>
                <w:b/>
                <w:bCs/>
                <w:sz w:val="20"/>
                <w:szCs w:val="20"/>
              </w:rPr>
              <w:t>Questions nécessitant une réponse</w:t>
            </w:r>
          </w:p>
        </w:tc>
        <w:tc>
          <w:tcPr>
            <w:tcW w:w="709" w:type="dxa"/>
            <w:shd w:val="clear" w:color="auto" w:fill="92D050"/>
            <w:vAlign w:val="center"/>
          </w:tcPr>
          <w:p w:rsidR="003D1623" w:rsidRPr="00FF53FE" w:rsidRDefault="003D1623" w:rsidP="00FF53FE">
            <w:pPr>
              <w:autoSpaceDE w:val="0"/>
              <w:autoSpaceDN w:val="0"/>
              <w:adjustRightInd w:val="0"/>
              <w:jc w:val="center"/>
              <w:rPr>
                <w:rFonts w:eastAsia="Calibri"/>
                <w:b/>
                <w:bCs/>
                <w:sz w:val="20"/>
                <w:szCs w:val="20"/>
              </w:rPr>
            </w:pPr>
            <w:r w:rsidRPr="00FF53FE">
              <w:rPr>
                <w:rFonts w:eastAsia="Calibri"/>
                <w:b/>
                <w:bCs/>
                <w:sz w:val="20"/>
                <w:szCs w:val="20"/>
              </w:rPr>
              <w:t>Oui</w:t>
            </w:r>
          </w:p>
        </w:tc>
        <w:tc>
          <w:tcPr>
            <w:tcW w:w="709" w:type="dxa"/>
            <w:shd w:val="clear" w:color="auto" w:fill="92D050"/>
            <w:vAlign w:val="center"/>
          </w:tcPr>
          <w:p w:rsidR="003D1623" w:rsidRPr="00FF53FE" w:rsidRDefault="003D1623" w:rsidP="00FF53FE">
            <w:pPr>
              <w:autoSpaceDE w:val="0"/>
              <w:autoSpaceDN w:val="0"/>
              <w:adjustRightInd w:val="0"/>
              <w:jc w:val="center"/>
              <w:rPr>
                <w:rFonts w:eastAsia="Calibri"/>
                <w:b/>
                <w:bCs/>
                <w:sz w:val="20"/>
                <w:szCs w:val="20"/>
              </w:rPr>
            </w:pPr>
            <w:r w:rsidRPr="00FF53FE">
              <w:rPr>
                <w:rFonts w:eastAsia="Calibri"/>
                <w:b/>
                <w:bCs/>
                <w:sz w:val="20"/>
                <w:szCs w:val="20"/>
              </w:rPr>
              <w:t>Non</w:t>
            </w:r>
          </w:p>
        </w:tc>
        <w:tc>
          <w:tcPr>
            <w:tcW w:w="1162" w:type="dxa"/>
            <w:shd w:val="clear" w:color="auto" w:fill="92D050"/>
            <w:vAlign w:val="center"/>
          </w:tcPr>
          <w:p w:rsidR="003D1623" w:rsidRPr="00FF53FE" w:rsidRDefault="003D1623" w:rsidP="00FF53FE">
            <w:pPr>
              <w:autoSpaceDE w:val="0"/>
              <w:autoSpaceDN w:val="0"/>
              <w:adjustRightInd w:val="0"/>
              <w:jc w:val="center"/>
              <w:rPr>
                <w:rFonts w:eastAsia="Calibri"/>
                <w:b/>
                <w:bCs/>
                <w:sz w:val="20"/>
                <w:szCs w:val="20"/>
              </w:rPr>
            </w:pPr>
            <w:r w:rsidRPr="00FF53FE">
              <w:rPr>
                <w:rFonts w:eastAsia="Calibri"/>
                <w:b/>
                <w:bCs/>
                <w:sz w:val="20"/>
                <w:szCs w:val="20"/>
              </w:rPr>
              <w:t>Si oui,</w:t>
            </w:r>
          </w:p>
        </w:tc>
      </w:tr>
      <w:tr w:rsidR="00FB762F" w:rsidRPr="00FF53FE" w:rsidTr="00FB762F">
        <w:trPr>
          <w:trHeight w:val="1305"/>
        </w:trPr>
        <w:tc>
          <w:tcPr>
            <w:tcW w:w="1384" w:type="dxa"/>
            <w:vAlign w:val="center"/>
          </w:tcPr>
          <w:p w:rsidR="00D12A28" w:rsidRPr="00FF53FE" w:rsidRDefault="00D12A28" w:rsidP="00FF53FE">
            <w:pPr>
              <w:autoSpaceDE w:val="0"/>
              <w:autoSpaceDN w:val="0"/>
              <w:adjustRightInd w:val="0"/>
              <w:rPr>
                <w:rFonts w:eastAsia="Calibri"/>
                <w:b/>
                <w:i/>
                <w:iCs/>
                <w:sz w:val="20"/>
                <w:szCs w:val="20"/>
              </w:rPr>
            </w:pPr>
            <w:r w:rsidRPr="00FF53FE">
              <w:rPr>
                <w:rFonts w:eastAsia="Calibri"/>
                <w:b/>
                <w:i/>
                <w:iCs/>
                <w:sz w:val="20"/>
                <w:szCs w:val="20"/>
              </w:rPr>
              <w:t>Du point Du point de vue du milieu biophysique</w:t>
            </w:r>
            <w:r w:rsidR="00D116D9" w:rsidRPr="00FF53FE">
              <w:rPr>
                <w:rFonts w:eastAsia="Calibri"/>
                <w:b/>
                <w:i/>
                <w:iCs/>
                <w:sz w:val="20"/>
                <w:szCs w:val="20"/>
              </w:rPr>
              <w:t xml:space="preserve"> (air, sol, eaux</w:t>
            </w:r>
            <w:r w:rsidR="00D75EE8" w:rsidRPr="00FF53FE">
              <w:rPr>
                <w:rFonts w:eastAsia="Calibri"/>
                <w:b/>
                <w:i/>
                <w:iCs/>
                <w:sz w:val="20"/>
                <w:szCs w:val="20"/>
              </w:rPr>
              <w:t>, flore, faune)</w:t>
            </w:r>
          </w:p>
          <w:p w:rsidR="00D116D9" w:rsidRPr="00FF53FE" w:rsidRDefault="00D116D9" w:rsidP="00FF53FE">
            <w:pPr>
              <w:autoSpaceDE w:val="0"/>
              <w:autoSpaceDN w:val="0"/>
              <w:adjustRightInd w:val="0"/>
              <w:rPr>
                <w:rFonts w:eastAsia="Calibri"/>
                <w:b/>
                <w:i/>
                <w:iCs/>
                <w:sz w:val="20"/>
                <w:szCs w:val="20"/>
              </w:rPr>
            </w:pPr>
          </w:p>
          <w:p w:rsidR="00D116D9" w:rsidRPr="00FF53FE" w:rsidRDefault="00D116D9" w:rsidP="00FF53FE">
            <w:pPr>
              <w:autoSpaceDE w:val="0"/>
              <w:autoSpaceDN w:val="0"/>
              <w:adjustRightInd w:val="0"/>
              <w:rPr>
                <w:rFonts w:eastAsia="Calibri"/>
                <w:i/>
                <w:iCs/>
                <w:sz w:val="20"/>
                <w:szCs w:val="20"/>
              </w:rPr>
            </w:pPr>
          </w:p>
          <w:p w:rsidR="003D1623" w:rsidRPr="00FF53FE" w:rsidRDefault="003D1623" w:rsidP="00FF53FE">
            <w:pPr>
              <w:rPr>
                <w:rFonts w:eastAsia="Calibri"/>
                <w:b/>
                <w:i/>
                <w:iCs/>
                <w:sz w:val="20"/>
                <w:szCs w:val="20"/>
              </w:rPr>
            </w:pPr>
          </w:p>
          <w:p w:rsidR="003D1623" w:rsidRPr="00FF53FE" w:rsidRDefault="003D1623" w:rsidP="00FF53FE">
            <w:pPr>
              <w:rPr>
                <w:rFonts w:eastAsia="Calibri"/>
                <w:b/>
                <w:i/>
                <w:iCs/>
                <w:sz w:val="20"/>
                <w:szCs w:val="20"/>
              </w:rPr>
            </w:pPr>
          </w:p>
          <w:p w:rsidR="003D1623" w:rsidRPr="00FF53FE" w:rsidRDefault="003D1623" w:rsidP="00FF53FE">
            <w:pPr>
              <w:rPr>
                <w:rFonts w:eastAsia="Calibri"/>
                <w:b/>
                <w:i/>
                <w:iCs/>
                <w:sz w:val="20"/>
                <w:szCs w:val="20"/>
              </w:rPr>
            </w:pPr>
          </w:p>
          <w:p w:rsidR="003D1623" w:rsidRPr="00FF53FE" w:rsidRDefault="003D1623" w:rsidP="00FF53FE">
            <w:pPr>
              <w:rPr>
                <w:rFonts w:eastAsia="Calibri"/>
                <w:b/>
                <w:i/>
                <w:iCs/>
                <w:sz w:val="20"/>
                <w:szCs w:val="20"/>
              </w:rPr>
            </w:pPr>
          </w:p>
          <w:p w:rsidR="003D1623" w:rsidRPr="00FF53FE" w:rsidRDefault="003D1623" w:rsidP="00FF53FE">
            <w:pPr>
              <w:rPr>
                <w:rFonts w:eastAsia="Calibri"/>
                <w:b/>
                <w:i/>
                <w:iCs/>
                <w:sz w:val="20"/>
                <w:szCs w:val="20"/>
              </w:rPr>
            </w:pPr>
          </w:p>
          <w:p w:rsidR="003D1623" w:rsidRPr="00FF53FE" w:rsidRDefault="003D1623" w:rsidP="00FF53FE">
            <w:pPr>
              <w:rPr>
                <w:rFonts w:eastAsia="Calibri"/>
                <w:b/>
                <w:i/>
                <w:iCs/>
                <w:sz w:val="20"/>
                <w:szCs w:val="20"/>
              </w:rPr>
            </w:pPr>
          </w:p>
          <w:p w:rsidR="003D1623" w:rsidRPr="00FF53FE" w:rsidRDefault="003D1623" w:rsidP="00FF53FE">
            <w:pPr>
              <w:autoSpaceDE w:val="0"/>
              <w:autoSpaceDN w:val="0"/>
              <w:adjustRightInd w:val="0"/>
              <w:rPr>
                <w:rFonts w:eastAsia="Calibri"/>
                <w:b/>
                <w:i/>
                <w:iCs/>
                <w:sz w:val="20"/>
                <w:szCs w:val="20"/>
              </w:rPr>
            </w:pPr>
          </w:p>
          <w:p w:rsidR="003D1623" w:rsidRPr="00FF53FE" w:rsidRDefault="003D1623" w:rsidP="00FF53FE">
            <w:pPr>
              <w:autoSpaceDE w:val="0"/>
              <w:autoSpaceDN w:val="0"/>
              <w:adjustRightInd w:val="0"/>
              <w:rPr>
                <w:rFonts w:eastAsia="Calibri"/>
                <w:i/>
                <w:iCs/>
                <w:sz w:val="20"/>
                <w:szCs w:val="20"/>
              </w:rPr>
            </w:pPr>
          </w:p>
          <w:p w:rsidR="003D1623" w:rsidRPr="00FF53FE" w:rsidRDefault="003D1623" w:rsidP="00FF53FE">
            <w:pPr>
              <w:autoSpaceDE w:val="0"/>
              <w:autoSpaceDN w:val="0"/>
              <w:adjustRightInd w:val="0"/>
              <w:rPr>
                <w:rFonts w:eastAsia="Calibri"/>
                <w:i/>
                <w:iCs/>
                <w:sz w:val="20"/>
                <w:szCs w:val="20"/>
              </w:rPr>
            </w:pPr>
          </w:p>
          <w:p w:rsidR="003D1623" w:rsidRPr="00FF53FE" w:rsidRDefault="003D1623" w:rsidP="00FF53FE">
            <w:pPr>
              <w:autoSpaceDE w:val="0"/>
              <w:autoSpaceDN w:val="0"/>
              <w:adjustRightInd w:val="0"/>
              <w:rPr>
                <w:rFonts w:eastAsia="Calibri"/>
                <w:i/>
                <w:iCs/>
                <w:sz w:val="20"/>
                <w:szCs w:val="20"/>
              </w:rPr>
            </w:pPr>
          </w:p>
          <w:p w:rsidR="003D1623" w:rsidRPr="00FF53FE" w:rsidRDefault="003D1623" w:rsidP="00FF53FE">
            <w:pPr>
              <w:autoSpaceDE w:val="0"/>
              <w:autoSpaceDN w:val="0"/>
              <w:adjustRightInd w:val="0"/>
              <w:rPr>
                <w:rFonts w:eastAsia="Calibri"/>
                <w:i/>
                <w:iCs/>
                <w:sz w:val="20"/>
                <w:szCs w:val="20"/>
              </w:rPr>
            </w:pPr>
          </w:p>
          <w:p w:rsidR="00D75EE8" w:rsidRPr="00FF53FE" w:rsidRDefault="00D75EE8" w:rsidP="00FF53FE">
            <w:pPr>
              <w:autoSpaceDE w:val="0"/>
              <w:autoSpaceDN w:val="0"/>
              <w:adjustRightInd w:val="0"/>
              <w:rPr>
                <w:rFonts w:eastAsia="Calibri"/>
                <w:i/>
                <w:iCs/>
                <w:sz w:val="20"/>
                <w:szCs w:val="20"/>
              </w:rPr>
            </w:pPr>
          </w:p>
          <w:p w:rsidR="00D75EE8" w:rsidRPr="00FF53FE" w:rsidRDefault="00D75EE8" w:rsidP="00FF53FE">
            <w:pPr>
              <w:autoSpaceDE w:val="0"/>
              <w:autoSpaceDN w:val="0"/>
              <w:adjustRightInd w:val="0"/>
              <w:rPr>
                <w:rFonts w:eastAsia="Calibri"/>
                <w:i/>
                <w:iCs/>
                <w:sz w:val="20"/>
                <w:szCs w:val="20"/>
              </w:rPr>
            </w:pPr>
          </w:p>
          <w:p w:rsidR="00D75EE8" w:rsidRPr="00FF53FE" w:rsidRDefault="00D75EE8" w:rsidP="00FF53FE">
            <w:pPr>
              <w:autoSpaceDE w:val="0"/>
              <w:autoSpaceDN w:val="0"/>
              <w:adjustRightInd w:val="0"/>
              <w:rPr>
                <w:rFonts w:eastAsia="Calibri"/>
                <w:i/>
                <w:iCs/>
                <w:sz w:val="20"/>
                <w:szCs w:val="20"/>
              </w:rPr>
            </w:pPr>
          </w:p>
          <w:p w:rsidR="00D75EE8" w:rsidRPr="00FF53FE" w:rsidRDefault="00D75EE8" w:rsidP="00FF53FE">
            <w:pPr>
              <w:autoSpaceDE w:val="0"/>
              <w:autoSpaceDN w:val="0"/>
              <w:adjustRightInd w:val="0"/>
              <w:rPr>
                <w:rFonts w:eastAsia="Calibri"/>
                <w:i/>
                <w:iCs/>
                <w:sz w:val="20"/>
                <w:szCs w:val="20"/>
              </w:rPr>
            </w:pPr>
          </w:p>
          <w:p w:rsidR="00D75EE8" w:rsidRPr="00FF53FE" w:rsidRDefault="00D75EE8" w:rsidP="00FF53FE">
            <w:pPr>
              <w:autoSpaceDE w:val="0"/>
              <w:autoSpaceDN w:val="0"/>
              <w:adjustRightInd w:val="0"/>
              <w:rPr>
                <w:rFonts w:eastAsia="Calibri"/>
                <w:i/>
                <w:iCs/>
                <w:sz w:val="20"/>
                <w:szCs w:val="20"/>
              </w:rPr>
            </w:pPr>
          </w:p>
          <w:p w:rsidR="00D75EE8" w:rsidRPr="00FF53FE" w:rsidRDefault="00D75EE8" w:rsidP="00FF53FE">
            <w:pPr>
              <w:autoSpaceDE w:val="0"/>
              <w:autoSpaceDN w:val="0"/>
              <w:adjustRightInd w:val="0"/>
              <w:rPr>
                <w:rFonts w:eastAsia="Calibri"/>
                <w:i/>
                <w:iCs/>
                <w:sz w:val="20"/>
                <w:szCs w:val="20"/>
              </w:rPr>
            </w:pPr>
          </w:p>
          <w:p w:rsidR="00D75EE8" w:rsidRPr="00FF53FE" w:rsidRDefault="00D75EE8" w:rsidP="00FF53FE">
            <w:pPr>
              <w:autoSpaceDE w:val="0"/>
              <w:autoSpaceDN w:val="0"/>
              <w:adjustRightInd w:val="0"/>
              <w:rPr>
                <w:rFonts w:eastAsia="Calibri"/>
                <w:i/>
                <w:iCs/>
                <w:sz w:val="20"/>
                <w:szCs w:val="20"/>
              </w:rPr>
            </w:pPr>
          </w:p>
          <w:p w:rsidR="003D1623" w:rsidRPr="00FF53FE" w:rsidRDefault="003D1623" w:rsidP="00FF53FE">
            <w:pPr>
              <w:autoSpaceDE w:val="0"/>
              <w:autoSpaceDN w:val="0"/>
              <w:adjustRightInd w:val="0"/>
              <w:rPr>
                <w:rFonts w:eastAsia="Calibri"/>
                <w:i/>
                <w:iCs/>
                <w:sz w:val="20"/>
                <w:szCs w:val="20"/>
              </w:rPr>
            </w:pPr>
          </w:p>
          <w:p w:rsidR="003D1623" w:rsidRPr="00FF53FE" w:rsidRDefault="003D1623" w:rsidP="00FF53FE">
            <w:pPr>
              <w:autoSpaceDE w:val="0"/>
              <w:autoSpaceDN w:val="0"/>
              <w:adjustRightInd w:val="0"/>
              <w:rPr>
                <w:rFonts w:eastAsia="Calibri"/>
                <w:b/>
                <w:bCs/>
                <w:sz w:val="20"/>
                <w:szCs w:val="20"/>
              </w:rPr>
            </w:pPr>
          </w:p>
          <w:p w:rsidR="003D1623" w:rsidRPr="00FF53FE" w:rsidRDefault="003D1623" w:rsidP="00FF53FE">
            <w:pPr>
              <w:autoSpaceDE w:val="0"/>
              <w:autoSpaceDN w:val="0"/>
              <w:adjustRightInd w:val="0"/>
              <w:rPr>
                <w:rFonts w:eastAsia="Calibri"/>
                <w:b/>
                <w:bCs/>
                <w:i/>
                <w:sz w:val="20"/>
                <w:szCs w:val="20"/>
              </w:rPr>
            </w:pPr>
            <w:r w:rsidRPr="00FF53FE">
              <w:rPr>
                <w:rFonts w:eastAsia="Calibri"/>
                <w:b/>
                <w:bCs/>
                <w:i/>
                <w:sz w:val="20"/>
                <w:szCs w:val="20"/>
              </w:rPr>
              <w:t>Du point de vue économique et social</w:t>
            </w:r>
          </w:p>
        </w:tc>
        <w:tc>
          <w:tcPr>
            <w:tcW w:w="5670" w:type="dxa"/>
            <w:vAlign w:val="center"/>
          </w:tcPr>
          <w:p w:rsidR="003D1623" w:rsidRPr="00FF53FE" w:rsidRDefault="003D1623" w:rsidP="00FF53FE">
            <w:pPr>
              <w:jc w:val="both"/>
              <w:rPr>
                <w:rFonts w:eastAsia="Calibri"/>
                <w:sz w:val="20"/>
                <w:szCs w:val="20"/>
              </w:rPr>
            </w:pPr>
            <w:r w:rsidRPr="00FF53FE">
              <w:rPr>
                <w:rFonts w:eastAsia="Calibri"/>
                <w:sz w:val="20"/>
                <w:szCs w:val="20"/>
              </w:rPr>
              <w:t>Quelles sont les utilisations et les activités du territoire où l’on désire réaliser l’ouvrage ?</w:t>
            </w:r>
          </w:p>
          <w:p w:rsidR="003D1623" w:rsidRPr="00FF53FE" w:rsidRDefault="003D1623" w:rsidP="00FF53FE">
            <w:pPr>
              <w:jc w:val="both"/>
              <w:rPr>
                <w:rFonts w:eastAsia="Calibri"/>
                <w:sz w:val="20"/>
                <w:szCs w:val="20"/>
              </w:rPr>
            </w:pPr>
            <w:r w:rsidRPr="00FF53FE">
              <w:rPr>
                <w:rFonts w:eastAsia="Calibri"/>
                <w:sz w:val="20"/>
                <w:szCs w:val="20"/>
              </w:rPr>
              <w:t>- Quelles sont les infrastructures présentes ? Quel est le plan d’urbanisme ?</w:t>
            </w:r>
          </w:p>
          <w:p w:rsidR="003D1623" w:rsidRPr="00FF53FE" w:rsidRDefault="003D1623" w:rsidP="00FF53FE">
            <w:pPr>
              <w:jc w:val="both"/>
              <w:rPr>
                <w:rFonts w:eastAsia="Calibri"/>
                <w:sz w:val="20"/>
                <w:szCs w:val="20"/>
              </w:rPr>
            </w:pPr>
            <w:r w:rsidRPr="00FF53FE">
              <w:rPr>
                <w:rFonts w:eastAsia="Calibri"/>
                <w:sz w:val="20"/>
                <w:szCs w:val="20"/>
              </w:rPr>
              <w:t>- Quels types de paysages, de faunes et de flores sont présents et sont-ils menacés ?</w:t>
            </w:r>
          </w:p>
          <w:p w:rsidR="003D1623" w:rsidRPr="00FF53FE" w:rsidRDefault="003D1623" w:rsidP="00FF53FE">
            <w:pPr>
              <w:jc w:val="both"/>
              <w:rPr>
                <w:rFonts w:eastAsia="Calibri"/>
                <w:sz w:val="20"/>
                <w:szCs w:val="20"/>
              </w:rPr>
            </w:pPr>
            <w:r w:rsidRPr="00FF53FE">
              <w:rPr>
                <w:rFonts w:eastAsia="Calibri"/>
                <w:sz w:val="20"/>
                <w:szCs w:val="20"/>
              </w:rPr>
              <w:t>- Ont-ils une importance particulière ?</w:t>
            </w:r>
          </w:p>
          <w:p w:rsidR="003D1623" w:rsidRPr="00FF53FE" w:rsidRDefault="003D1623" w:rsidP="00FF53FE">
            <w:pPr>
              <w:jc w:val="both"/>
              <w:rPr>
                <w:rFonts w:eastAsia="Calibri"/>
                <w:sz w:val="20"/>
                <w:szCs w:val="20"/>
              </w:rPr>
            </w:pPr>
            <w:r w:rsidRPr="00FF53FE">
              <w:rPr>
                <w:rFonts w:eastAsia="Calibri"/>
                <w:sz w:val="20"/>
                <w:szCs w:val="20"/>
              </w:rPr>
              <w:t>- Existe-t-il des plans d’eau à proximité, des surfaces boisées, des marécages ou autres sites vulnérables ?</w:t>
            </w:r>
          </w:p>
          <w:p w:rsidR="003D1623" w:rsidRPr="00FF53FE" w:rsidRDefault="003D1623" w:rsidP="00FF53FE">
            <w:pPr>
              <w:jc w:val="both"/>
              <w:rPr>
                <w:rFonts w:eastAsia="Calibri"/>
                <w:sz w:val="20"/>
                <w:szCs w:val="20"/>
              </w:rPr>
            </w:pPr>
            <w:r w:rsidRPr="00FF53FE">
              <w:rPr>
                <w:rFonts w:eastAsia="Calibri"/>
                <w:sz w:val="20"/>
                <w:szCs w:val="20"/>
              </w:rPr>
              <w:t>- Est-on en présence d’un site à risques : risques d’inondation… ?</w:t>
            </w:r>
          </w:p>
          <w:p w:rsidR="009A1FB0" w:rsidRPr="00FF53FE" w:rsidRDefault="009A1FB0" w:rsidP="00FF53FE">
            <w:pPr>
              <w:jc w:val="both"/>
              <w:rPr>
                <w:sz w:val="20"/>
                <w:szCs w:val="20"/>
                <w:lang w:eastAsia="en-US"/>
              </w:rPr>
            </w:pPr>
            <w:r w:rsidRPr="00FF53FE">
              <w:rPr>
                <w:sz w:val="20"/>
                <w:szCs w:val="20"/>
                <w:lang w:eastAsia="en-US"/>
              </w:rPr>
              <w:t xml:space="preserve">- Y </w:t>
            </w:r>
            <w:r w:rsidR="00130DEB" w:rsidRPr="00FF53FE">
              <w:rPr>
                <w:sz w:val="20"/>
                <w:szCs w:val="20"/>
                <w:lang w:eastAsia="en-US"/>
              </w:rPr>
              <w:t>va-t-il</w:t>
            </w:r>
            <w:r w:rsidRPr="00FF53FE">
              <w:rPr>
                <w:sz w:val="20"/>
                <w:szCs w:val="20"/>
                <w:lang w:eastAsia="en-US"/>
              </w:rPr>
              <w:t xml:space="preserve"> des zones de possible instabilité géologique ou du sol (prédisposition à l’érosion, aux glissements</w:t>
            </w:r>
          </w:p>
          <w:p w:rsidR="009A1FB0" w:rsidRPr="00FF53FE" w:rsidRDefault="009A1FB0" w:rsidP="00FF53FE">
            <w:pPr>
              <w:jc w:val="both"/>
              <w:rPr>
                <w:rFonts w:eastAsia="Calibri"/>
                <w:sz w:val="20"/>
                <w:szCs w:val="20"/>
              </w:rPr>
            </w:pPr>
            <w:r w:rsidRPr="00FF53FE">
              <w:rPr>
                <w:sz w:val="20"/>
                <w:szCs w:val="20"/>
                <w:lang w:eastAsia="en-US"/>
              </w:rPr>
              <w:t>de terrains, à l’affaissement)?</w:t>
            </w:r>
          </w:p>
          <w:p w:rsidR="0014730B" w:rsidRPr="00FF53FE" w:rsidRDefault="00042922" w:rsidP="00FF53FE">
            <w:pPr>
              <w:jc w:val="both"/>
              <w:rPr>
                <w:bCs/>
                <w:sz w:val="20"/>
                <w:szCs w:val="20"/>
                <w:lang w:eastAsia="en-US"/>
              </w:rPr>
            </w:pPr>
            <w:r w:rsidRPr="00FF53FE">
              <w:rPr>
                <w:sz w:val="20"/>
                <w:szCs w:val="20"/>
                <w:lang w:eastAsia="en-US"/>
              </w:rPr>
              <w:t xml:space="preserve">- Y a-t-il possibilité que les travaux affectent négativement l’aspect esthétique du paysage </w:t>
            </w:r>
            <w:r w:rsidR="000628F6" w:rsidRPr="00FF53FE">
              <w:rPr>
                <w:sz w:val="20"/>
                <w:szCs w:val="20"/>
                <w:lang w:eastAsia="en-US"/>
              </w:rPr>
              <w:t>local ?</w:t>
            </w:r>
          </w:p>
          <w:p w:rsidR="003D1623" w:rsidRPr="00FF53FE" w:rsidRDefault="003D1623" w:rsidP="00FF53FE">
            <w:pPr>
              <w:jc w:val="both"/>
              <w:rPr>
                <w:rFonts w:eastAsia="Calibri"/>
                <w:sz w:val="20"/>
                <w:szCs w:val="20"/>
              </w:rPr>
            </w:pPr>
            <w:r w:rsidRPr="00FF53FE">
              <w:rPr>
                <w:rFonts w:eastAsia="Calibri"/>
                <w:sz w:val="20"/>
                <w:szCs w:val="20"/>
              </w:rPr>
              <w:t>- Quelles sont les différentes activités de préparation du site et de construction ?</w:t>
            </w:r>
          </w:p>
          <w:p w:rsidR="003D1623" w:rsidRPr="00FF53FE" w:rsidRDefault="003D1623" w:rsidP="00FF53FE">
            <w:pPr>
              <w:jc w:val="both"/>
              <w:rPr>
                <w:rFonts w:eastAsia="Calibri"/>
                <w:sz w:val="20"/>
                <w:szCs w:val="20"/>
              </w:rPr>
            </w:pPr>
            <w:r w:rsidRPr="00FF53FE">
              <w:rPr>
                <w:rFonts w:eastAsia="Calibri"/>
                <w:sz w:val="20"/>
                <w:szCs w:val="20"/>
              </w:rPr>
              <w:t>- Y aurait-il des travaux de démolition, d’excavation, de nivellement, de déboisement, de dénudation du sol, de remplissage, de remblayage, d’assèchement des terres ?</w:t>
            </w:r>
          </w:p>
          <w:p w:rsidR="003D1623" w:rsidRPr="00FF53FE" w:rsidRDefault="003D1623" w:rsidP="00FF53FE">
            <w:pPr>
              <w:jc w:val="both"/>
              <w:rPr>
                <w:rFonts w:eastAsia="Calibri"/>
                <w:sz w:val="20"/>
                <w:szCs w:val="20"/>
              </w:rPr>
            </w:pPr>
            <w:r w:rsidRPr="00FF53FE">
              <w:rPr>
                <w:rFonts w:eastAsia="Calibri"/>
                <w:sz w:val="20"/>
                <w:szCs w:val="20"/>
              </w:rPr>
              <w:t>- Quels sont les types, les quantités et la provenance des matériaux nécessaires à la construction ?</w:t>
            </w:r>
          </w:p>
          <w:p w:rsidR="00C15CAE" w:rsidRPr="00FF53FE" w:rsidRDefault="00C15CAE" w:rsidP="00FF53FE">
            <w:pPr>
              <w:jc w:val="both"/>
              <w:rPr>
                <w:rFonts w:eastAsia="Calibri"/>
                <w:sz w:val="20"/>
                <w:szCs w:val="20"/>
              </w:rPr>
            </w:pPr>
            <w:r w:rsidRPr="00FF53FE">
              <w:rPr>
                <w:rFonts w:eastAsia="Calibri"/>
                <w:sz w:val="20"/>
                <w:szCs w:val="20"/>
              </w:rPr>
              <w:t xml:space="preserve">-Le niveau de bruit pendant la mise en </w:t>
            </w:r>
            <w:r w:rsidR="00DD3346" w:rsidRPr="00FF53FE">
              <w:rPr>
                <w:rFonts w:eastAsia="Calibri"/>
                <w:sz w:val="20"/>
                <w:szCs w:val="20"/>
              </w:rPr>
              <w:t>œuvre</w:t>
            </w:r>
            <w:r w:rsidRPr="00FF53FE">
              <w:rPr>
                <w:rFonts w:eastAsia="Calibri"/>
                <w:sz w:val="20"/>
                <w:szCs w:val="20"/>
              </w:rPr>
              <w:t xml:space="preserve"> du projet concerné va-t-il dépasser les limites de bruit</w:t>
            </w:r>
          </w:p>
          <w:p w:rsidR="00C15CAE" w:rsidRPr="00FF53FE" w:rsidRDefault="000628F6" w:rsidP="00FF53FE">
            <w:pPr>
              <w:jc w:val="both"/>
              <w:rPr>
                <w:rFonts w:eastAsia="Calibri"/>
                <w:sz w:val="20"/>
                <w:szCs w:val="20"/>
              </w:rPr>
            </w:pPr>
            <w:r w:rsidRPr="00FF53FE">
              <w:rPr>
                <w:rFonts w:eastAsia="Calibri"/>
                <w:sz w:val="20"/>
                <w:szCs w:val="20"/>
              </w:rPr>
              <w:t>acceptables ?</w:t>
            </w:r>
          </w:p>
          <w:p w:rsidR="00605A9A" w:rsidRPr="00FF53FE" w:rsidRDefault="00605A9A" w:rsidP="00FF53FE">
            <w:pPr>
              <w:autoSpaceDE w:val="0"/>
              <w:autoSpaceDN w:val="0"/>
              <w:adjustRightInd w:val="0"/>
              <w:jc w:val="both"/>
              <w:rPr>
                <w:sz w:val="20"/>
                <w:szCs w:val="20"/>
                <w:lang w:eastAsia="en-US"/>
              </w:rPr>
            </w:pPr>
            <w:r w:rsidRPr="00FF53FE">
              <w:rPr>
                <w:sz w:val="20"/>
                <w:szCs w:val="20"/>
                <w:lang w:eastAsia="en-US"/>
              </w:rPr>
              <w:t>La zone se trouvant autour du site du projet se trouve-t-elle à l’intérieur ou est-elle adjacente à des aires</w:t>
            </w:r>
          </w:p>
          <w:p w:rsidR="00605A9A" w:rsidRPr="00FF53FE" w:rsidRDefault="00605A9A" w:rsidP="00FF53FE">
            <w:pPr>
              <w:autoSpaceDE w:val="0"/>
              <w:autoSpaceDN w:val="0"/>
              <w:adjustRightInd w:val="0"/>
              <w:jc w:val="both"/>
              <w:rPr>
                <w:sz w:val="20"/>
                <w:szCs w:val="20"/>
                <w:lang w:eastAsia="en-US"/>
              </w:rPr>
            </w:pPr>
            <w:r w:rsidRPr="00FF53FE">
              <w:rPr>
                <w:sz w:val="20"/>
                <w:szCs w:val="20"/>
                <w:lang w:eastAsia="en-US"/>
              </w:rPr>
              <w:t>protégées quelconques tracées par le gouvernement (parc national, réserve nationale, site d’héritage</w:t>
            </w:r>
          </w:p>
          <w:p w:rsidR="00605A9A" w:rsidRPr="00FF53FE" w:rsidRDefault="00605A9A" w:rsidP="00FF53FE">
            <w:pPr>
              <w:jc w:val="both"/>
              <w:rPr>
                <w:rFonts w:eastAsia="Calibri"/>
                <w:sz w:val="20"/>
                <w:szCs w:val="20"/>
              </w:rPr>
            </w:pPr>
            <w:r w:rsidRPr="00FF53FE">
              <w:rPr>
                <w:sz w:val="20"/>
                <w:szCs w:val="20"/>
                <w:lang w:eastAsia="en-US"/>
              </w:rPr>
              <w:t>mondial, etc.)?</w:t>
            </w:r>
          </w:p>
          <w:p w:rsidR="003D1623" w:rsidRPr="00FF53FE" w:rsidRDefault="003D1623" w:rsidP="00FF53FE">
            <w:pPr>
              <w:jc w:val="both"/>
              <w:rPr>
                <w:rFonts w:eastAsia="Calibri"/>
                <w:sz w:val="20"/>
                <w:szCs w:val="20"/>
              </w:rPr>
            </w:pPr>
            <w:r w:rsidRPr="00FF53FE">
              <w:rPr>
                <w:rFonts w:eastAsia="Calibri"/>
                <w:sz w:val="20"/>
                <w:szCs w:val="20"/>
              </w:rPr>
              <w:t>- Comment seront-ils acheminés sur le site ?</w:t>
            </w:r>
          </w:p>
          <w:p w:rsidR="003D1623" w:rsidRPr="00FF53FE" w:rsidRDefault="003D1623" w:rsidP="00FF53FE">
            <w:pPr>
              <w:jc w:val="both"/>
              <w:rPr>
                <w:rFonts w:eastAsia="Calibri"/>
                <w:sz w:val="20"/>
                <w:szCs w:val="20"/>
              </w:rPr>
            </w:pPr>
            <w:r w:rsidRPr="00FF53FE">
              <w:rPr>
                <w:rFonts w:eastAsia="Calibri"/>
                <w:sz w:val="20"/>
                <w:szCs w:val="20"/>
              </w:rPr>
              <w:t>- Quels sont la superficie, la hauteur, le style et la disposition des constructions ? L’ouvrage peut-il entraîner des empiètements des altérations ou la des destructions de milieux, de sites d’importance économique, écologique, archéologique, culturelle ou historique</w:t>
            </w:r>
          </w:p>
          <w:p w:rsidR="003D1623" w:rsidRPr="00FF53FE" w:rsidRDefault="003D1623" w:rsidP="00FF53FE">
            <w:pPr>
              <w:autoSpaceDE w:val="0"/>
              <w:autoSpaceDN w:val="0"/>
              <w:adjustRightInd w:val="0"/>
              <w:jc w:val="both"/>
              <w:rPr>
                <w:rFonts w:eastAsia="Calibri"/>
                <w:sz w:val="20"/>
                <w:szCs w:val="20"/>
              </w:rPr>
            </w:pPr>
            <w:r w:rsidRPr="00FF53FE">
              <w:rPr>
                <w:rFonts w:eastAsia="Calibri"/>
                <w:sz w:val="20"/>
                <w:szCs w:val="20"/>
              </w:rPr>
              <w:t>Y va-t-il des services adéquats pour l’évacuation des déchets prévus pendant l’exploitation ?</w:t>
            </w:r>
          </w:p>
          <w:p w:rsidR="003D1623" w:rsidRPr="00FF53FE" w:rsidRDefault="003D1623" w:rsidP="00FF53FE">
            <w:pPr>
              <w:autoSpaceDE w:val="0"/>
              <w:autoSpaceDN w:val="0"/>
              <w:adjustRightInd w:val="0"/>
              <w:jc w:val="both"/>
              <w:rPr>
                <w:rFonts w:eastAsia="Calibri"/>
                <w:sz w:val="20"/>
                <w:szCs w:val="20"/>
              </w:rPr>
            </w:pPr>
            <w:r w:rsidRPr="00FF53FE">
              <w:rPr>
                <w:rFonts w:eastAsia="Calibri"/>
                <w:sz w:val="20"/>
                <w:szCs w:val="20"/>
              </w:rPr>
              <w:t>• Les rejets générés pendant la mise en œuvre et l’exploitation seront-ils nettoyés et éliminés</w:t>
            </w:r>
            <w:r w:rsidR="001713E0" w:rsidRPr="00FF53FE">
              <w:rPr>
                <w:rFonts w:eastAsia="Calibri"/>
                <w:sz w:val="20"/>
                <w:szCs w:val="20"/>
              </w:rPr>
              <w:t xml:space="preserve"> </w:t>
            </w:r>
            <w:r w:rsidRPr="00FF53FE">
              <w:rPr>
                <w:rFonts w:eastAsia="Calibri"/>
                <w:sz w:val="20"/>
                <w:szCs w:val="20"/>
              </w:rPr>
              <w:t>Écologiquement ?</w:t>
            </w:r>
          </w:p>
          <w:p w:rsidR="0013316E" w:rsidRPr="00FF53FE" w:rsidRDefault="000628F6" w:rsidP="00FF53FE">
            <w:pPr>
              <w:autoSpaceDE w:val="0"/>
              <w:autoSpaceDN w:val="0"/>
              <w:adjustRightInd w:val="0"/>
              <w:jc w:val="both"/>
              <w:rPr>
                <w:sz w:val="20"/>
                <w:szCs w:val="20"/>
                <w:lang w:eastAsia="en-US"/>
              </w:rPr>
            </w:pPr>
            <w:r w:rsidRPr="00FF53FE">
              <w:rPr>
                <w:sz w:val="20"/>
                <w:szCs w:val="20"/>
                <w:lang w:eastAsia="en-US"/>
              </w:rPr>
              <w:t>Le</w:t>
            </w:r>
            <w:r w:rsidR="0013316E" w:rsidRPr="00FF53FE">
              <w:rPr>
                <w:sz w:val="20"/>
                <w:szCs w:val="20"/>
                <w:lang w:eastAsia="en-US"/>
              </w:rPr>
              <w:t xml:space="preserve"> projet dispose-t-il d’un plan pour leur ramassage et leur </w:t>
            </w:r>
            <w:r w:rsidRPr="00FF53FE">
              <w:rPr>
                <w:sz w:val="20"/>
                <w:szCs w:val="20"/>
                <w:lang w:eastAsia="en-US"/>
              </w:rPr>
              <w:t>évacuation ?</w:t>
            </w:r>
          </w:p>
          <w:p w:rsidR="00856323" w:rsidRPr="00FF53FE" w:rsidRDefault="00856323" w:rsidP="00FF53FE">
            <w:pPr>
              <w:autoSpaceDE w:val="0"/>
              <w:autoSpaceDN w:val="0"/>
              <w:adjustRightInd w:val="0"/>
              <w:jc w:val="both"/>
              <w:rPr>
                <w:sz w:val="20"/>
                <w:szCs w:val="20"/>
                <w:lang w:eastAsia="en-US"/>
              </w:rPr>
            </w:pPr>
            <w:r w:rsidRPr="00FF53FE">
              <w:rPr>
                <w:sz w:val="20"/>
                <w:szCs w:val="20"/>
                <w:lang w:eastAsia="en-US"/>
              </w:rPr>
              <w:t>Si l’exécution/mise en service du sous projet s’effectuent en dehors d’une aire protégée (ou dans ses environs), est-elle susceptible d’affecter négativement l’écologie de l’aire protégée (exemple :</w:t>
            </w:r>
          </w:p>
          <w:p w:rsidR="00856323" w:rsidRPr="00FF53FE" w:rsidRDefault="000628F6" w:rsidP="00FF53FE">
            <w:pPr>
              <w:autoSpaceDE w:val="0"/>
              <w:autoSpaceDN w:val="0"/>
              <w:adjustRightInd w:val="0"/>
              <w:jc w:val="both"/>
              <w:rPr>
                <w:sz w:val="20"/>
                <w:szCs w:val="20"/>
                <w:lang w:eastAsia="en-US"/>
              </w:rPr>
            </w:pPr>
            <w:r w:rsidRPr="00FF53FE">
              <w:rPr>
                <w:sz w:val="20"/>
                <w:szCs w:val="20"/>
                <w:lang w:eastAsia="en-US"/>
              </w:rPr>
              <w:t>Interférence</w:t>
            </w:r>
            <w:r w:rsidR="00856323" w:rsidRPr="00FF53FE">
              <w:rPr>
                <w:sz w:val="20"/>
                <w:szCs w:val="20"/>
                <w:lang w:eastAsia="en-US"/>
              </w:rPr>
              <w:t xml:space="preserve"> les routes de migration de mammifères ou d’oiseaux</w:t>
            </w:r>
            <w:r w:rsidRPr="00FF53FE">
              <w:rPr>
                <w:sz w:val="20"/>
                <w:szCs w:val="20"/>
                <w:lang w:eastAsia="en-US"/>
              </w:rPr>
              <w:t>) ?</w:t>
            </w:r>
          </w:p>
          <w:p w:rsidR="00856323" w:rsidRDefault="00856323" w:rsidP="00FF53FE">
            <w:pPr>
              <w:autoSpaceDE w:val="0"/>
              <w:autoSpaceDN w:val="0"/>
              <w:adjustRightInd w:val="0"/>
              <w:jc w:val="both"/>
              <w:rPr>
                <w:sz w:val="20"/>
                <w:szCs w:val="20"/>
                <w:lang w:eastAsia="en-US"/>
              </w:rPr>
            </w:pPr>
            <w:r w:rsidRPr="00FF53FE">
              <w:rPr>
                <w:sz w:val="20"/>
                <w:szCs w:val="20"/>
                <w:lang w:eastAsia="en-US"/>
              </w:rPr>
              <w:t xml:space="preserve">Y a-t-il possibilité que les travaux affectent négativement l’aspect esthétique du paysage </w:t>
            </w:r>
            <w:r w:rsidR="000628F6" w:rsidRPr="00FF53FE">
              <w:rPr>
                <w:sz w:val="20"/>
                <w:szCs w:val="20"/>
                <w:lang w:eastAsia="en-US"/>
              </w:rPr>
              <w:t>local ?</w:t>
            </w:r>
          </w:p>
          <w:p w:rsidR="006B03BB" w:rsidRPr="00FF53FE" w:rsidRDefault="006B03BB" w:rsidP="00FF53FE">
            <w:pPr>
              <w:autoSpaceDE w:val="0"/>
              <w:autoSpaceDN w:val="0"/>
              <w:adjustRightInd w:val="0"/>
              <w:jc w:val="both"/>
              <w:rPr>
                <w:rFonts w:eastAsia="Calibri"/>
                <w:sz w:val="20"/>
                <w:szCs w:val="20"/>
              </w:rPr>
            </w:pPr>
            <w:r w:rsidRPr="00FF53FE">
              <w:rPr>
                <w:bCs/>
                <w:sz w:val="20"/>
                <w:szCs w:val="20"/>
                <w:lang w:eastAsia="en-US"/>
              </w:rPr>
              <w:t>Compensation et ou acquisition des terres, Perte de récoltes, arbres fruitiers, et infrastructures domestiques</w:t>
            </w:r>
          </w:p>
          <w:p w:rsidR="003D1623" w:rsidRPr="00FF53FE" w:rsidRDefault="003D1623" w:rsidP="00FF53FE">
            <w:pPr>
              <w:autoSpaceDE w:val="0"/>
              <w:autoSpaceDN w:val="0"/>
              <w:adjustRightInd w:val="0"/>
              <w:jc w:val="both"/>
              <w:rPr>
                <w:rFonts w:eastAsia="Calibri"/>
                <w:sz w:val="20"/>
                <w:szCs w:val="20"/>
              </w:rPr>
            </w:pPr>
            <w:r w:rsidRPr="00FF53FE">
              <w:rPr>
                <w:rFonts w:eastAsia="Calibri"/>
                <w:sz w:val="20"/>
                <w:szCs w:val="20"/>
              </w:rPr>
              <w:t>• Les équipements et matériel de sécurité et de</w:t>
            </w:r>
          </w:p>
          <w:p w:rsidR="003D1623" w:rsidRPr="00FF53FE" w:rsidRDefault="003D1623" w:rsidP="00FF53FE">
            <w:pPr>
              <w:autoSpaceDE w:val="0"/>
              <w:autoSpaceDN w:val="0"/>
              <w:adjustRightInd w:val="0"/>
              <w:jc w:val="both"/>
              <w:rPr>
                <w:rFonts w:eastAsia="Calibri"/>
                <w:sz w:val="20"/>
                <w:szCs w:val="20"/>
              </w:rPr>
            </w:pPr>
            <w:r w:rsidRPr="00FF53FE">
              <w:rPr>
                <w:rFonts w:eastAsia="Calibri"/>
                <w:sz w:val="20"/>
                <w:szCs w:val="20"/>
              </w:rPr>
              <w:t>Secours en cas d’accident seront-ils disponibles pendant la mise en œuvre et l’exploitation ?</w:t>
            </w:r>
          </w:p>
          <w:p w:rsidR="003D1623" w:rsidRPr="00FF53FE" w:rsidRDefault="003D1623" w:rsidP="00FF53FE">
            <w:pPr>
              <w:autoSpaceDE w:val="0"/>
              <w:autoSpaceDN w:val="0"/>
              <w:adjustRightInd w:val="0"/>
              <w:jc w:val="both"/>
              <w:rPr>
                <w:rFonts w:eastAsia="Calibri"/>
                <w:sz w:val="20"/>
                <w:szCs w:val="20"/>
              </w:rPr>
            </w:pPr>
            <w:r w:rsidRPr="00FF53FE">
              <w:rPr>
                <w:rFonts w:eastAsia="Calibri"/>
                <w:sz w:val="20"/>
                <w:szCs w:val="20"/>
              </w:rPr>
              <w:t>• Y va-t-il des risques de pollution des eaux souterraines ou superficielles par les activités du projet ?</w:t>
            </w:r>
          </w:p>
          <w:p w:rsidR="003D1623" w:rsidRPr="00FF53FE" w:rsidRDefault="003D1623" w:rsidP="00FF53FE">
            <w:pPr>
              <w:autoSpaceDE w:val="0"/>
              <w:autoSpaceDN w:val="0"/>
              <w:adjustRightInd w:val="0"/>
              <w:jc w:val="both"/>
              <w:rPr>
                <w:rFonts w:eastAsia="Calibri"/>
                <w:sz w:val="20"/>
                <w:szCs w:val="20"/>
              </w:rPr>
            </w:pPr>
            <w:r w:rsidRPr="00FF53FE">
              <w:rPr>
                <w:rFonts w:eastAsia="Calibri"/>
                <w:sz w:val="20"/>
                <w:szCs w:val="20"/>
              </w:rPr>
              <w:t xml:space="preserve">• Y va-t-il des zones écologiques </w:t>
            </w:r>
            <w:r w:rsidR="00FF53FE" w:rsidRPr="00FF53FE">
              <w:rPr>
                <w:rFonts w:eastAsia="Calibri"/>
                <w:sz w:val="20"/>
                <w:szCs w:val="20"/>
              </w:rPr>
              <w:t>sensibles dans</w:t>
            </w:r>
            <w:r w:rsidRPr="00FF53FE">
              <w:rPr>
                <w:rFonts w:eastAsia="Calibri"/>
                <w:sz w:val="20"/>
                <w:szCs w:val="20"/>
              </w:rPr>
              <w:t xml:space="preserve"> les environs de la zone d’exploitation qui pourraient être impactés négativement ?</w:t>
            </w:r>
          </w:p>
          <w:p w:rsidR="003D1623" w:rsidRPr="00FF53FE" w:rsidRDefault="003D1623" w:rsidP="00FF53FE">
            <w:pPr>
              <w:jc w:val="both"/>
              <w:rPr>
                <w:rFonts w:eastAsia="Calibri"/>
                <w:sz w:val="20"/>
                <w:szCs w:val="20"/>
              </w:rPr>
            </w:pPr>
            <w:r w:rsidRPr="00FF53FE">
              <w:rPr>
                <w:rFonts w:eastAsia="Calibri"/>
                <w:sz w:val="20"/>
                <w:szCs w:val="20"/>
              </w:rPr>
              <w:t>• Risque- t-on de provoquer une plus grande affluence dans le secteur en raison de migrations ?</w:t>
            </w:r>
          </w:p>
          <w:p w:rsidR="003D1623" w:rsidRPr="00FF53FE" w:rsidRDefault="003D1623" w:rsidP="00FF53FE">
            <w:pPr>
              <w:jc w:val="both"/>
              <w:rPr>
                <w:rFonts w:eastAsia="Calibri"/>
                <w:sz w:val="20"/>
                <w:szCs w:val="20"/>
              </w:rPr>
            </w:pPr>
            <w:r w:rsidRPr="00FF53FE">
              <w:rPr>
                <w:rFonts w:eastAsia="Calibri"/>
                <w:sz w:val="20"/>
                <w:szCs w:val="20"/>
              </w:rPr>
              <w:t>• Cela favori serait-il le développement d’établissements humains spontanés non planifiés ?</w:t>
            </w:r>
          </w:p>
          <w:p w:rsidR="003D1623" w:rsidRPr="00FF53FE" w:rsidRDefault="003D1623" w:rsidP="00FF53FE">
            <w:pPr>
              <w:jc w:val="both"/>
              <w:rPr>
                <w:rFonts w:eastAsia="Calibri"/>
                <w:sz w:val="20"/>
                <w:szCs w:val="20"/>
              </w:rPr>
            </w:pPr>
            <w:r w:rsidRPr="00FF53FE">
              <w:rPr>
                <w:rFonts w:eastAsia="Calibri"/>
                <w:sz w:val="20"/>
                <w:szCs w:val="20"/>
              </w:rPr>
              <w:t>• Y aurait-il une augmentation de la demande en ressources naturelles notamment en terres ?</w:t>
            </w:r>
          </w:p>
          <w:p w:rsidR="003D1623" w:rsidRPr="00FF53FE" w:rsidRDefault="003D1623" w:rsidP="00FF53FE">
            <w:pPr>
              <w:jc w:val="both"/>
              <w:rPr>
                <w:rFonts w:eastAsia="Calibri"/>
                <w:sz w:val="20"/>
                <w:szCs w:val="20"/>
              </w:rPr>
            </w:pPr>
            <w:r w:rsidRPr="00FF53FE">
              <w:rPr>
                <w:rFonts w:eastAsia="Calibri"/>
                <w:sz w:val="20"/>
                <w:szCs w:val="20"/>
              </w:rPr>
              <w:t xml:space="preserve">• Selon l’utilisation de l’ouvrage, ses technologies et ses procédés, utilisera-t-on ou </w:t>
            </w:r>
            <w:r w:rsidR="000628F6" w:rsidRPr="00FF53FE">
              <w:rPr>
                <w:rFonts w:eastAsia="Calibri"/>
                <w:sz w:val="20"/>
                <w:szCs w:val="20"/>
              </w:rPr>
              <w:t>générera-t</w:t>
            </w:r>
            <w:r w:rsidRPr="00FF53FE">
              <w:rPr>
                <w:rFonts w:eastAsia="Calibri"/>
                <w:sz w:val="20"/>
                <w:szCs w:val="20"/>
              </w:rPr>
              <w:t>-on des substances polluantes (déchets liquides, solides ou gazeux) ?</w:t>
            </w:r>
          </w:p>
          <w:p w:rsidR="003D1623" w:rsidRPr="00FF53FE" w:rsidRDefault="003D1623" w:rsidP="00FF53FE">
            <w:pPr>
              <w:jc w:val="both"/>
              <w:rPr>
                <w:rFonts w:eastAsia="Calibri"/>
                <w:sz w:val="20"/>
                <w:szCs w:val="20"/>
              </w:rPr>
            </w:pPr>
            <w:r w:rsidRPr="00FF53FE">
              <w:rPr>
                <w:rFonts w:eastAsia="Calibri"/>
                <w:sz w:val="20"/>
                <w:szCs w:val="20"/>
              </w:rPr>
              <w:t>• Ces substances risquent-elles de s’infiltrer ou d’être rejetées dans les eaux de surface et souterraines, les sols, les habitats et l’air ?</w:t>
            </w:r>
          </w:p>
          <w:p w:rsidR="003D1623" w:rsidRPr="00FF53FE" w:rsidRDefault="003D1623" w:rsidP="00FF53FE">
            <w:pPr>
              <w:jc w:val="both"/>
              <w:rPr>
                <w:rFonts w:eastAsia="Calibri"/>
                <w:sz w:val="20"/>
                <w:szCs w:val="20"/>
              </w:rPr>
            </w:pPr>
            <w:r w:rsidRPr="00FF53FE">
              <w:rPr>
                <w:rFonts w:eastAsia="Calibri"/>
                <w:sz w:val="20"/>
                <w:szCs w:val="20"/>
              </w:rPr>
              <w:t>• Comment les gérera-t-on ?</w:t>
            </w:r>
          </w:p>
          <w:p w:rsidR="003D1623" w:rsidRPr="00FF53FE" w:rsidRDefault="003D1623" w:rsidP="00FF53FE">
            <w:pPr>
              <w:autoSpaceDE w:val="0"/>
              <w:autoSpaceDN w:val="0"/>
              <w:adjustRightInd w:val="0"/>
              <w:jc w:val="both"/>
              <w:rPr>
                <w:rFonts w:eastAsia="Calibri"/>
                <w:sz w:val="20"/>
                <w:szCs w:val="20"/>
              </w:rPr>
            </w:pPr>
            <w:r w:rsidRPr="00FF53FE">
              <w:rPr>
                <w:rFonts w:eastAsia="Calibri"/>
                <w:sz w:val="20"/>
                <w:szCs w:val="20"/>
              </w:rPr>
              <w:t>• Ces substances polluantes sont-elles associées à des nuisances (bruits, odeurs, vibrations, poussières, fumées, trafic), des risques d’accidents (de transport, déversements, explosions, feux, etc.) et des risques pour la santé (insalubrité, intoxication, problèmes respiratoires, cutanés) pour les travailleurs et les usagers des bâtiments et la population ?</w:t>
            </w:r>
          </w:p>
          <w:p w:rsidR="001713E0" w:rsidRPr="00FF53FE" w:rsidRDefault="00C20615" w:rsidP="00FF53FE">
            <w:pPr>
              <w:autoSpaceDE w:val="0"/>
              <w:autoSpaceDN w:val="0"/>
              <w:adjustRightInd w:val="0"/>
              <w:jc w:val="both"/>
              <w:rPr>
                <w:rFonts w:eastAsia="Calibri"/>
                <w:b/>
                <w:bCs/>
                <w:sz w:val="20"/>
                <w:szCs w:val="20"/>
              </w:rPr>
            </w:pPr>
            <w:r>
              <w:rPr>
                <w:sz w:val="20"/>
                <w:szCs w:val="20"/>
                <w:lang w:eastAsia="en-US"/>
              </w:rPr>
              <w:t xml:space="preserve">Y </w:t>
            </w:r>
            <w:r w:rsidRPr="00FF53FE">
              <w:rPr>
                <w:sz w:val="20"/>
                <w:szCs w:val="20"/>
                <w:lang w:eastAsia="en-US"/>
              </w:rPr>
              <w:t>a-t-il possibilité que les travaux affectent</w:t>
            </w:r>
            <w:r w:rsidR="001713E0" w:rsidRPr="00FF53FE">
              <w:rPr>
                <w:rFonts w:eastAsia="Calibri"/>
                <w:sz w:val="20"/>
                <w:szCs w:val="20"/>
              </w:rPr>
              <w:t> </w:t>
            </w:r>
            <w:r w:rsidR="003A237B">
              <w:rPr>
                <w:rFonts w:eastAsia="Calibri"/>
                <w:sz w:val="20"/>
                <w:szCs w:val="20"/>
              </w:rPr>
              <w:t xml:space="preserve">des </w:t>
            </w:r>
            <w:r w:rsidR="003A237B">
              <w:rPr>
                <w:rFonts w:eastAsia="Calibri"/>
                <w:bCs/>
                <w:sz w:val="20"/>
                <w:szCs w:val="20"/>
              </w:rPr>
              <w:t>s</w:t>
            </w:r>
            <w:r w:rsidR="001713E0" w:rsidRPr="00FF53FE">
              <w:rPr>
                <w:rFonts w:eastAsia="Calibri"/>
                <w:bCs/>
                <w:sz w:val="20"/>
                <w:szCs w:val="20"/>
              </w:rPr>
              <w:t>ite</w:t>
            </w:r>
            <w:r w:rsidR="003A237B">
              <w:rPr>
                <w:rFonts w:eastAsia="Calibri"/>
                <w:bCs/>
                <w:sz w:val="20"/>
                <w:szCs w:val="20"/>
              </w:rPr>
              <w:t>s</w:t>
            </w:r>
            <w:r w:rsidR="001713E0" w:rsidRPr="00FF53FE">
              <w:rPr>
                <w:rFonts w:eastAsia="Calibri"/>
                <w:bCs/>
                <w:sz w:val="20"/>
                <w:szCs w:val="20"/>
              </w:rPr>
              <w:t xml:space="preserve"> historique</w:t>
            </w:r>
            <w:r w:rsidR="003A237B">
              <w:rPr>
                <w:rFonts w:eastAsia="Calibri"/>
                <w:bCs/>
                <w:sz w:val="20"/>
                <w:szCs w:val="20"/>
              </w:rPr>
              <w:t>s</w:t>
            </w:r>
            <w:r w:rsidR="001713E0" w:rsidRPr="00FF53FE">
              <w:rPr>
                <w:rFonts w:eastAsia="Calibri"/>
                <w:bCs/>
                <w:sz w:val="20"/>
                <w:szCs w:val="20"/>
              </w:rPr>
              <w:t>, archéologique</w:t>
            </w:r>
            <w:r w:rsidR="003A237B">
              <w:rPr>
                <w:rFonts w:eastAsia="Calibri"/>
                <w:bCs/>
                <w:sz w:val="20"/>
                <w:szCs w:val="20"/>
              </w:rPr>
              <w:t>s</w:t>
            </w:r>
            <w:r w:rsidR="001713E0" w:rsidRPr="00FF53FE">
              <w:rPr>
                <w:rFonts w:eastAsia="Calibri"/>
                <w:bCs/>
                <w:sz w:val="20"/>
                <w:szCs w:val="20"/>
              </w:rPr>
              <w:t xml:space="preserve"> ou d’héritage culturel</w:t>
            </w:r>
            <w:r w:rsidR="001713E0" w:rsidRPr="00FF53FE">
              <w:rPr>
                <w:rFonts w:eastAsia="Calibri"/>
                <w:sz w:val="20"/>
                <w:szCs w:val="20"/>
              </w:rPr>
              <w:t>.</w:t>
            </w:r>
          </w:p>
        </w:tc>
        <w:tc>
          <w:tcPr>
            <w:tcW w:w="709" w:type="dxa"/>
            <w:vAlign w:val="center"/>
          </w:tcPr>
          <w:p w:rsidR="003D1623" w:rsidRPr="00FF53FE" w:rsidRDefault="003D1623" w:rsidP="00FF53FE">
            <w:pPr>
              <w:autoSpaceDE w:val="0"/>
              <w:autoSpaceDN w:val="0"/>
              <w:adjustRightInd w:val="0"/>
              <w:rPr>
                <w:rFonts w:eastAsia="Calibri"/>
                <w:b/>
                <w:bCs/>
                <w:sz w:val="20"/>
                <w:szCs w:val="20"/>
              </w:rPr>
            </w:pPr>
          </w:p>
        </w:tc>
        <w:tc>
          <w:tcPr>
            <w:tcW w:w="709" w:type="dxa"/>
            <w:vAlign w:val="center"/>
          </w:tcPr>
          <w:p w:rsidR="003D1623" w:rsidRPr="00FF53FE" w:rsidRDefault="003D1623" w:rsidP="00FF53FE">
            <w:pPr>
              <w:autoSpaceDE w:val="0"/>
              <w:autoSpaceDN w:val="0"/>
              <w:adjustRightInd w:val="0"/>
              <w:rPr>
                <w:rFonts w:eastAsia="Calibri"/>
                <w:b/>
                <w:bCs/>
                <w:sz w:val="20"/>
                <w:szCs w:val="20"/>
              </w:rPr>
            </w:pPr>
          </w:p>
        </w:tc>
        <w:tc>
          <w:tcPr>
            <w:tcW w:w="1162" w:type="dxa"/>
            <w:vAlign w:val="center"/>
          </w:tcPr>
          <w:p w:rsidR="003D1623" w:rsidRPr="00FF53FE" w:rsidRDefault="003D1623" w:rsidP="00FF53FE">
            <w:pPr>
              <w:autoSpaceDE w:val="0"/>
              <w:autoSpaceDN w:val="0"/>
              <w:adjustRightInd w:val="0"/>
              <w:rPr>
                <w:rFonts w:eastAsia="Calibri"/>
                <w:sz w:val="20"/>
                <w:szCs w:val="20"/>
              </w:rPr>
            </w:pPr>
            <w:r w:rsidRPr="00FF53FE">
              <w:rPr>
                <w:rFonts w:eastAsia="Calibri"/>
                <w:sz w:val="20"/>
                <w:szCs w:val="20"/>
              </w:rPr>
              <w:t>Si Oui, s’inspirer des mesures adéquates</w:t>
            </w:r>
          </w:p>
          <w:p w:rsidR="003D1623" w:rsidRPr="00FF53FE" w:rsidRDefault="003D1623" w:rsidP="00FF53FE">
            <w:pPr>
              <w:autoSpaceDE w:val="0"/>
              <w:autoSpaceDN w:val="0"/>
              <w:adjustRightInd w:val="0"/>
              <w:rPr>
                <w:rFonts w:eastAsia="Calibri"/>
                <w:sz w:val="20"/>
                <w:szCs w:val="20"/>
              </w:rPr>
            </w:pPr>
            <w:r w:rsidRPr="00FF53FE">
              <w:rPr>
                <w:rFonts w:eastAsia="Calibri"/>
                <w:sz w:val="20"/>
                <w:szCs w:val="20"/>
              </w:rPr>
              <w:t>D’atténuation décrite</w:t>
            </w:r>
          </w:p>
          <w:p w:rsidR="003D1623" w:rsidRPr="00FF53FE" w:rsidRDefault="003D1623" w:rsidP="00FF53FE">
            <w:pPr>
              <w:autoSpaceDE w:val="0"/>
              <w:autoSpaceDN w:val="0"/>
              <w:adjustRightInd w:val="0"/>
              <w:rPr>
                <w:rFonts w:eastAsia="Calibri"/>
                <w:b/>
                <w:bCs/>
                <w:sz w:val="20"/>
                <w:szCs w:val="20"/>
              </w:rPr>
            </w:pPr>
            <w:r w:rsidRPr="00FF53FE">
              <w:rPr>
                <w:rFonts w:eastAsia="Calibri"/>
                <w:sz w:val="20"/>
                <w:szCs w:val="20"/>
              </w:rPr>
              <w:t>dans l’Annexe ….</w:t>
            </w:r>
          </w:p>
        </w:tc>
      </w:tr>
    </w:tbl>
    <w:p w:rsidR="003D1623" w:rsidRPr="00A05698" w:rsidRDefault="003D1623" w:rsidP="006111C0">
      <w:pPr>
        <w:pStyle w:val="Cabealho1"/>
        <w:numPr>
          <w:ilvl w:val="0"/>
          <w:numId w:val="0"/>
        </w:numPr>
        <w:pBdr>
          <w:bottom w:val="thickThinSmallGap" w:sz="24" w:space="1" w:color="auto"/>
        </w:pBdr>
        <w:shd w:val="clear" w:color="auto" w:fill="E2EFD9" w:themeFill="accent6" w:themeFillTint="33"/>
        <w:spacing w:after="120"/>
        <w:rPr>
          <w:rFonts w:ascii="Times New Roman" w:hAnsi="Times New Roman"/>
          <w:sz w:val="28"/>
          <w:szCs w:val="28"/>
        </w:rPr>
      </w:pPr>
      <w:bookmarkStart w:id="416" w:name="_Toc55465410"/>
      <w:bookmarkStart w:id="417" w:name="_Toc73459793"/>
      <w:r w:rsidRPr="00A05698">
        <w:rPr>
          <w:rFonts w:ascii="Times New Roman" w:hAnsi="Times New Roman"/>
          <w:sz w:val="28"/>
          <w:szCs w:val="28"/>
        </w:rPr>
        <w:t xml:space="preserve">ANNEXE </w:t>
      </w:r>
      <w:r w:rsidRPr="00A05698">
        <w:rPr>
          <w:rFonts w:ascii="Times New Roman" w:hAnsi="Times New Roman"/>
          <w:sz w:val="28"/>
          <w:szCs w:val="28"/>
        </w:rPr>
        <w:fldChar w:fldCharType="begin"/>
      </w:r>
      <w:r w:rsidRPr="00A05698">
        <w:rPr>
          <w:rFonts w:ascii="Times New Roman" w:hAnsi="Times New Roman"/>
          <w:sz w:val="28"/>
          <w:szCs w:val="28"/>
        </w:rPr>
        <w:instrText xml:space="preserve"> </w:instrText>
      </w:r>
      <w:r w:rsidR="006C5620">
        <w:rPr>
          <w:rFonts w:ascii="Times New Roman" w:hAnsi="Times New Roman"/>
          <w:sz w:val="28"/>
          <w:szCs w:val="28"/>
        </w:rPr>
        <w:instrText>SEQ</w:instrText>
      </w:r>
      <w:r w:rsidRPr="00A05698">
        <w:rPr>
          <w:rFonts w:ascii="Times New Roman" w:hAnsi="Times New Roman"/>
          <w:sz w:val="28"/>
          <w:szCs w:val="28"/>
        </w:rPr>
        <w:instrText xml:space="preserve"> ANNEXE \* ARABIC </w:instrText>
      </w:r>
      <w:r w:rsidRPr="00A05698">
        <w:rPr>
          <w:rFonts w:ascii="Times New Roman" w:hAnsi="Times New Roman"/>
          <w:sz w:val="28"/>
          <w:szCs w:val="28"/>
        </w:rPr>
        <w:fldChar w:fldCharType="separate"/>
      </w:r>
      <w:r w:rsidR="00D51AB3">
        <w:rPr>
          <w:rFonts w:ascii="Times New Roman" w:hAnsi="Times New Roman"/>
          <w:noProof/>
          <w:sz w:val="28"/>
          <w:szCs w:val="28"/>
        </w:rPr>
        <w:t>2</w:t>
      </w:r>
      <w:r w:rsidRPr="00A05698">
        <w:rPr>
          <w:rFonts w:ascii="Times New Roman" w:hAnsi="Times New Roman"/>
          <w:sz w:val="28"/>
          <w:szCs w:val="28"/>
        </w:rPr>
        <w:fldChar w:fldCharType="end"/>
      </w:r>
      <w:r w:rsidRPr="00A05698">
        <w:rPr>
          <w:rFonts w:ascii="Times New Roman" w:hAnsi="Times New Roman"/>
          <w:sz w:val="28"/>
          <w:szCs w:val="28"/>
        </w:rPr>
        <w:t>. GRILLE DE SELECTION ENVIRONNEMENTALE</w:t>
      </w:r>
      <w:bookmarkEnd w:id="416"/>
      <w:bookmarkEnd w:id="417"/>
    </w:p>
    <w:p w:rsidR="003D1623" w:rsidRPr="00126FE8" w:rsidRDefault="003D1623" w:rsidP="00126FE8">
      <w:pPr>
        <w:rPr>
          <w:sz w:val="20"/>
          <w:szCs w:val="20"/>
        </w:rPr>
      </w:pPr>
      <w:r w:rsidRPr="00126FE8">
        <w:rPr>
          <w:sz w:val="20"/>
          <w:szCs w:val="20"/>
        </w:rPr>
        <w:t xml:space="preserve">Intitulé du projet :………………………………………………………………….. </w:t>
      </w:r>
    </w:p>
    <w:p w:rsidR="003D1623" w:rsidRPr="00126FE8" w:rsidRDefault="003D1623" w:rsidP="00126FE8">
      <w:pPr>
        <w:rPr>
          <w:sz w:val="20"/>
          <w:szCs w:val="20"/>
        </w:rPr>
      </w:pPr>
      <w:r w:rsidRPr="00126FE8">
        <w:rPr>
          <w:sz w:val="20"/>
          <w:szCs w:val="20"/>
        </w:rPr>
        <w:t xml:space="preserve">Secteur :………...………...………...………...………...………...………...……….. </w:t>
      </w:r>
    </w:p>
    <w:p w:rsidR="003D1623" w:rsidRPr="00126FE8" w:rsidRDefault="003D1623" w:rsidP="00126FE8">
      <w:pPr>
        <w:rPr>
          <w:sz w:val="20"/>
          <w:szCs w:val="20"/>
        </w:rPr>
      </w:pPr>
      <w:r w:rsidRPr="00126FE8">
        <w:rPr>
          <w:sz w:val="20"/>
          <w:szCs w:val="20"/>
        </w:rPr>
        <w:t xml:space="preserve">Situation : Région :…………………………………/ Département :…………….…………….…………… </w:t>
      </w:r>
    </w:p>
    <w:p w:rsidR="003D1623" w:rsidRPr="00126FE8" w:rsidRDefault="003D1623" w:rsidP="00126FE8">
      <w:pPr>
        <w:rPr>
          <w:sz w:val="20"/>
          <w:szCs w:val="20"/>
        </w:rPr>
      </w:pPr>
      <w:r w:rsidRPr="00126FE8">
        <w:rPr>
          <w:sz w:val="20"/>
          <w:szCs w:val="20"/>
        </w:rPr>
        <w:t>Commune :……………………………….….……/ Village :</w:t>
      </w:r>
      <w:r w:rsidR="00126FE8">
        <w:rPr>
          <w:sz w:val="20"/>
          <w:szCs w:val="20"/>
        </w:rPr>
        <w:t>……………….……………………….. ……...</w:t>
      </w:r>
    </w:p>
    <w:p w:rsidR="003D1623" w:rsidRPr="00126FE8" w:rsidRDefault="003D1623" w:rsidP="00126FE8">
      <w:pPr>
        <w:rPr>
          <w:sz w:val="20"/>
          <w:szCs w:val="20"/>
        </w:rPr>
      </w:pPr>
      <w:r w:rsidRPr="00126FE8">
        <w:rPr>
          <w:sz w:val="20"/>
          <w:szCs w:val="20"/>
        </w:rPr>
        <w:t>Commune :……………………..……….……..……… / Qu</w:t>
      </w:r>
      <w:r w:rsidR="00126FE8">
        <w:rPr>
          <w:sz w:val="20"/>
          <w:szCs w:val="20"/>
        </w:rPr>
        <w:t xml:space="preserve">artier :……………………………….……………. </w:t>
      </w:r>
    </w:p>
    <w:p w:rsidR="003D1623" w:rsidRPr="00126FE8" w:rsidRDefault="003D1623" w:rsidP="00126FE8">
      <w:pPr>
        <w:rPr>
          <w:sz w:val="20"/>
          <w:szCs w:val="20"/>
        </w:rPr>
      </w:pPr>
      <w:r w:rsidRPr="00126FE8">
        <w:rPr>
          <w:sz w:val="20"/>
          <w:szCs w:val="20"/>
        </w:rPr>
        <w:t xml:space="preserve">(Rayer la mention inutile) </w:t>
      </w:r>
    </w:p>
    <w:p w:rsidR="003D1623" w:rsidRPr="00126FE8" w:rsidRDefault="003D1623" w:rsidP="00126FE8">
      <w:pPr>
        <w:rPr>
          <w:sz w:val="20"/>
          <w:szCs w:val="20"/>
        </w:rPr>
      </w:pPr>
      <w:r w:rsidRPr="00126FE8">
        <w:rPr>
          <w:sz w:val="20"/>
          <w:szCs w:val="20"/>
        </w:rPr>
        <w:t xml:space="preserve">Responsables (personnes à contacter) : </w:t>
      </w:r>
    </w:p>
    <w:p w:rsidR="003D1623" w:rsidRPr="00126FE8" w:rsidRDefault="003D1623" w:rsidP="00126FE8">
      <w:pPr>
        <w:rPr>
          <w:sz w:val="20"/>
          <w:szCs w:val="20"/>
        </w:rPr>
      </w:pPr>
      <w:r w:rsidRPr="00126FE8">
        <w:rPr>
          <w:sz w:val="20"/>
          <w:szCs w:val="20"/>
        </w:rPr>
        <w:t xml:space="preserve">(1)……………………………………………………………..................................................... … </w:t>
      </w:r>
    </w:p>
    <w:p w:rsidR="003D1623" w:rsidRPr="00126FE8" w:rsidRDefault="003D1623" w:rsidP="00126FE8">
      <w:pPr>
        <w:rPr>
          <w:sz w:val="20"/>
          <w:szCs w:val="20"/>
        </w:rPr>
      </w:pPr>
      <w:r w:rsidRPr="00126FE8">
        <w:rPr>
          <w:sz w:val="20"/>
          <w:szCs w:val="20"/>
        </w:rPr>
        <w:t>(2)………………………………………………………………….</w:t>
      </w:r>
      <w:r w:rsidR="00126FE8">
        <w:rPr>
          <w:sz w:val="20"/>
          <w:szCs w:val="20"/>
        </w:rPr>
        <w:t xml:space="preserve"> ……...………...………...………...</w:t>
      </w:r>
    </w:p>
    <w:p w:rsidR="003D1623" w:rsidRPr="00126FE8" w:rsidRDefault="003D1623" w:rsidP="00126FE8">
      <w:pPr>
        <w:rPr>
          <w:sz w:val="20"/>
          <w:szCs w:val="20"/>
        </w:rPr>
      </w:pPr>
      <w:r w:rsidRPr="00126FE8">
        <w:rPr>
          <w:sz w:val="20"/>
          <w:szCs w:val="20"/>
        </w:rPr>
        <w:t xml:space="preserve">Personne chargée de remplir le présent formulaire : </w:t>
      </w:r>
    </w:p>
    <w:p w:rsidR="003D1623" w:rsidRPr="00126FE8" w:rsidRDefault="003D1623" w:rsidP="00126FE8">
      <w:pPr>
        <w:rPr>
          <w:sz w:val="20"/>
          <w:szCs w:val="20"/>
        </w:rPr>
      </w:pPr>
      <w:r w:rsidRPr="00126FE8">
        <w:rPr>
          <w:sz w:val="20"/>
          <w:szCs w:val="20"/>
        </w:rPr>
        <w:t>Prénom et Nom :………………………………….... Fonction :………………………...……….</w:t>
      </w:r>
      <w:r w:rsidR="00126FE8">
        <w:rPr>
          <w:sz w:val="20"/>
          <w:szCs w:val="20"/>
        </w:rPr>
        <w:t xml:space="preserve"> .………</w:t>
      </w:r>
    </w:p>
    <w:p w:rsidR="003D1623" w:rsidRPr="00126FE8" w:rsidRDefault="003D1623" w:rsidP="00126FE8">
      <w:pPr>
        <w:rPr>
          <w:sz w:val="20"/>
          <w:szCs w:val="20"/>
        </w:rPr>
      </w:pPr>
      <w:r w:rsidRPr="00126FE8">
        <w:rPr>
          <w:sz w:val="20"/>
          <w:szCs w:val="20"/>
        </w:rPr>
        <w:t xml:space="preserve">Téléphone :………………..….. E-mail :……………………. ……...………...………...………. </w:t>
      </w:r>
    </w:p>
    <w:p w:rsidR="003D1623" w:rsidRPr="00126FE8" w:rsidRDefault="003D1623" w:rsidP="00126FE8">
      <w:pPr>
        <w:rPr>
          <w:sz w:val="20"/>
          <w:szCs w:val="20"/>
        </w:rPr>
      </w:pPr>
      <w:r w:rsidRPr="00126FE8">
        <w:rPr>
          <w:sz w:val="20"/>
          <w:szCs w:val="20"/>
        </w:rPr>
        <w:t xml:space="preserve">Date :………………………………………. Signatures </w:t>
      </w:r>
    </w:p>
    <w:p w:rsidR="003D1623" w:rsidRPr="00126FE8" w:rsidRDefault="003D1623" w:rsidP="00126FE8">
      <w:pPr>
        <w:rPr>
          <w:b/>
          <w:sz w:val="20"/>
          <w:szCs w:val="20"/>
          <w:u w:val="single"/>
        </w:rPr>
      </w:pPr>
      <w:r w:rsidRPr="00126FE8">
        <w:rPr>
          <w:b/>
          <w:sz w:val="20"/>
          <w:szCs w:val="20"/>
          <w:u w:val="single"/>
        </w:rPr>
        <w:t xml:space="preserve">PARTIE A : Brève description du projet </w:t>
      </w:r>
    </w:p>
    <w:p w:rsidR="003D1623" w:rsidRPr="00126FE8" w:rsidRDefault="003D1623" w:rsidP="00126FE8">
      <w:pPr>
        <w:rPr>
          <w:sz w:val="20"/>
          <w:szCs w:val="20"/>
        </w:rPr>
      </w:pPr>
      <w:r w:rsidRPr="00126FE8">
        <w:rPr>
          <w:sz w:val="20"/>
          <w:szCs w:val="20"/>
        </w:rPr>
        <w:t xml:space="preserve">Informations sur le type et les dimensions du projet : </w:t>
      </w:r>
    </w:p>
    <w:p w:rsidR="003D1623" w:rsidRPr="00126FE8" w:rsidRDefault="003D1623" w:rsidP="00126FE8">
      <w:pPr>
        <w:rPr>
          <w:sz w:val="20"/>
          <w:szCs w:val="20"/>
        </w:rPr>
      </w:pPr>
      <w:r w:rsidRPr="00126FE8">
        <w:rPr>
          <w:sz w:val="20"/>
          <w:szCs w:val="20"/>
        </w:rPr>
        <w:t xml:space="preserve">Informations sur toutes les activités à mener : </w:t>
      </w:r>
    </w:p>
    <w:tbl>
      <w:tblPr>
        <w:tblStyle w:val="Tabelacomgrelha"/>
        <w:tblpPr w:leftFromText="141" w:rightFromText="141" w:vertAnchor="text" w:horzAnchor="margin" w:tblpY="184"/>
        <w:tblW w:w="5000" w:type="pct"/>
        <w:tblLook w:val="04A0" w:firstRow="1" w:lastRow="0" w:firstColumn="1" w:lastColumn="0" w:noHBand="0" w:noVBand="1"/>
      </w:tblPr>
      <w:tblGrid>
        <w:gridCol w:w="4642"/>
        <w:gridCol w:w="4646"/>
      </w:tblGrid>
      <w:tr w:rsidR="003D1623" w:rsidRPr="00126FE8" w:rsidTr="00FF19FC">
        <w:tc>
          <w:tcPr>
            <w:tcW w:w="2499" w:type="pct"/>
          </w:tcPr>
          <w:p w:rsidR="003D1623" w:rsidRPr="00126FE8" w:rsidRDefault="003D1623" w:rsidP="00126FE8">
            <w:pPr>
              <w:jc w:val="center"/>
              <w:rPr>
                <w:sz w:val="20"/>
                <w:szCs w:val="20"/>
              </w:rPr>
            </w:pPr>
            <w:r w:rsidRPr="00126FE8">
              <w:rPr>
                <w:sz w:val="20"/>
                <w:szCs w:val="20"/>
              </w:rPr>
              <w:t>Phases de préparation du terrain</w:t>
            </w:r>
          </w:p>
        </w:tc>
        <w:tc>
          <w:tcPr>
            <w:tcW w:w="2501" w:type="pct"/>
          </w:tcPr>
          <w:p w:rsidR="003D1623" w:rsidRPr="00126FE8" w:rsidRDefault="003D1623" w:rsidP="00126FE8">
            <w:pPr>
              <w:jc w:val="center"/>
              <w:rPr>
                <w:sz w:val="20"/>
                <w:szCs w:val="20"/>
              </w:rPr>
            </w:pPr>
            <w:r w:rsidRPr="00126FE8">
              <w:rPr>
                <w:sz w:val="20"/>
                <w:szCs w:val="20"/>
              </w:rPr>
              <w:t>Phases de construction</w:t>
            </w:r>
          </w:p>
        </w:tc>
      </w:tr>
      <w:tr w:rsidR="003D1623" w:rsidRPr="00126FE8" w:rsidTr="00FF19FC">
        <w:tc>
          <w:tcPr>
            <w:tcW w:w="2499" w:type="pct"/>
          </w:tcPr>
          <w:p w:rsidR="003D1623" w:rsidRPr="00126FE8" w:rsidRDefault="003D1623" w:rsidP="00126FE8">
            <w:pPr>
              <w:rPr>
                <w:sz w:val="20"/>
                <w:szCs w:val="20"/>
              </w:rPr>
            </w:pPr>
          </w:p>
        </w:tc>
        <w:tc>
          <w:tcPr>
            <w:tcW w:w="2501" w:type="pct"/>
          </w:tcPr>
          <w:p w:rsidR="003D1623" w:rsidRPr="00126FE8" w:rsidRDefault="003D1623" w:rsidP="00126FE8">
            <w:pPr>
              <w:rPr>
                <w:sz w:val="20"/>
                <w:szCs w:val="20"/>
              </w:rPr>
            </w:pPr>
          </w:p>
        </w:tc>
      </w:tr>
      <w:tr w:rsidR="003D1623" w:rsidRPr="00126FE8" w:rsidTr="00FF19FC">
        <w:tc>
          <w:tcPr>
            <w:tcW w:w="2499" w:type="pct"/>
          </w:tcPr>
          <w:p w:rsidR="003D1623" w:rsidRPr="00126FE8" w:rsidRDefault="003D1623" w:rsidP="00126FE8">
            <w:pPr>
              <w:rPr>
                <w:sz w:val="20"/>
                <w:szCs w:val="20"/>
              </w:rPr>
            </w:pPr>
          </w:p>
        </w:tc>
        <w:tc>
          <w:tcPr>
            <w:tcW w:w="2501" w:type="pct"/>
          </w:tcPr>
          <w:p w:rsidR="003D1623" w:rsidRPr="00126FE8" w:rsidRDefault="003D1623" w:rsidP="00126FE8">
            <w:pPr>
              <w:rPr>
                <w:sz w:val="20"/>
                <w:szCs w:val="20"/>
              </w:rPr>
            </w:pPr>
          </w:p>
        </w:tc>
      </w:tr>
    </w:tbl>
    <w:p w:rsidR="003D1623" w:rsidRPr="00126FE8" w:rsidRDefault="003D1623" w:rsidP="00126FE8">
      <w:pPr>
        <w:rPr>
          <w:sz w:val="20"/>
          <w:szCs w:val="20"/>
        </w:rPr>
      </w:pPr>
      <w:r w:rsidRPr="00126FE8">
        <w:rPr>
          <w:sz w:val="20"/>
          <w:szCs w:val="20"/>
        </w:rPr>
        <w:t xml:space="preserve">Informations sur le fonctionnement de l’installation, notamment les activités d’appui et les ressources nécessaires pour la faire fonctionner (routes, sites d’évacuation, adduction d’eau, besoins en énergie, ressources humaines, etc.) Décrire dans une note à part si nécessaire. </w:t>
      </w:r>
    </w:p>
    <w:p w:rsidR="003D1623" w:rsidRPr="00126FE8" w:rsidRDefault="003D1623" w:rsidP="00126FE8">
      <w:pPr>
        <w:rPr>
          <w:sz w:val="20"/>
          <w:szCs w:val="20"/>
        </w:rPr>
      </w:pPr>
      <w:r w:rsidRPr="00126FE8">
        <w:rPr>
          <w:sz w:val="20"/>
          <w:szCs w:val="20"/>
        </w:rPr>
        <w:t xml:space="preserve">………………………………………………………………………………………………………….……...………...………...…… </w:t>
      </w:r>
    </w:p>
    <w:p w:rsidR="003D1623" w:rsidRPr="00126FE8" w:rsidRDefault="003D1623" w:rsidP="00126FE8">
      <w:pPr>
        <w:jc w:val="center"/>
        <w:rPr>
          <w:b/>
          <w:sz w:val="20"/>
          <w:szCs w:val="20"/>
          <w:u w:val="single"/>
        </w:rPr>
      </w:pPr>
      <w:r w:rsidRPr="00126FE8">
        <w:rPr>
          <w:b/>
          <w:sz w:val="20"/>
          <w:szCs w:val="20"/>
          <w:u w:val="single"/>
        </w:rPr>
        <w:t>PARTIE B : Identification des impacts environnementaux et sociaux et consultations</w:t>
      </w:r>
    </w:p>
    <w:tbl>
      <w:tblPr>
        <w:tblStyle w:val="Tabelacomgrelha"/>
        <w:tblW w:w="5000" w:type="pct"/>
        <w:tblLook w:val="04A0" w:firstRow="1" w:lastRow="0" w:firstColumn="1" w:lastColumn="0" w:noHBand="0" w:noVBand="1"/>
      </w:tblPr>
      <w:tblGrid>
        <w:gridCol w:w="631"/>
        <w:gridCol w:w="5987"/>
        <w:gridCol w:w="552"/>
        <w:gridCol w:w="587"/>
        <w:gridCol w:w="1531"/>
      </w:tblGrid>
      <w:tr w:rsidR="003D1623" w:rsidRPr="00126FE8" w:rsidTr="008371D1">
        <w:tc>
          <w:tcPr>
            <w:tcW w:w="3563" w:type="pct"/>
            <w:gridSpan w:val="2"/>
          </w:tcPr>
          <w:p w:rsidR="003D1623" w:rsidRPr="00126FE8" w:rsidRDefault="003D1623" w:rsidP="00126FE8">
            <w:pPr>
              <w:rPr>
                <w:b/>
                <w:sz w:val="20"/>
                <w:szCs w:val="20"/>
              </w:rPr>
            </w:pPr>
            <w:r w:rsidRPr="00126FE8">
              <w:rPr>
                <w:b/>
                <w:sz w:val="20"/>
                <w:szCs w:val="20"/>
              </w:rPr>
              <w:t>Préoccupations environnementales et sociales</w:t>
            </w:r>
          </w:p>
        </w:tc>
        <w:tc>
          <w:tcPr>
            <w:tcW w:w="297" w:type="pct"/>
          </w:tcPr>
          <w:p w:rsidR="003D1623" w:rsidRPr="00126FE8" w:rsidRDefault="003D1623" w:rsidP="00126FE8">
            <w:pPr>
              <w:rPr>
                <w:b/>
                <w:sz w:val="20"/>
                <w:szCs w:val="20"/>
              </w:rPr>
            </w:pPr>
            <w:r w:rsidRPr="00126FE8">
              <w:rPr>
                <w:b/>
                <w:sz w:val="20"/>
                <w:szCs w:val="20"/>
              </w:rPr>
              <w:t>Oui</w:t>
            </w:r>
          </w:p>
        </w:tc>
        <w:tc>
          <w:tcPr>
            <w:tcW w:w="316" w:type="pct"/>
          </w:tcPr>
          <w:p w:rsidR="003D1623" w:rsidRPr="00126FE8" w:rsidRDefault="003D1623" w:rsidP="00126FE8">
            <w:pPr>
              <w:rPr>
                <w:b/>
                <w:sz w:val="20"/>
                <w:szCs w:val="20"/>
              </w:rPr>
            </w:pPr>
            <w:r w:rsidRPr="00126FE8">
              <w:rPr>
                <w:b/>
                <w:sz w:val="20"/>
                <w:szCs w:val="20"/>
              </w:rPr>
              <w:t>Non</w:t>
            </w:r>
          </w:p>
        </w:tc>
        <w:tc>
          <w:tcPr>
            <w:tcW w:w="824" w:type="pct"/>
          </w:tcPr>
          <w:p w:rsidR="003D1623" w:rsidRPr="00126FE8" w:rsidRDefault="003D1623" w:rsidP="00126FE8">
            <w:pPr>
              <w:rPr>
                <w:b/>
                <w:sz w:val="20"/>
                <w:szCs w:val="20"/>
              </w:rPr>
            </w:pPr>
            <w:r w:rsidRPr="00126FE8">
              <w:rPr>
                <w:b/>
                <w:sz w:val="20"/>
                <w:szCs w:val="20"/>
              </w:rPr>
              <w:t>Observations</w:t>
            </w:r>
          </w:p>
        </w:tc>
      </w:tr>
      <w:tr w:rsidR="003D1623" w:rsidRPr="00126FE8" w:rsidTr="00FF19FC">
        <w:tc>
          <w:tcPr>
            <w:tcW w:w="5000" w:type="pct"/>
            <w:gridSpan w:val="5"/>
          </w:tcPr>
          <w:p w:rsidR="003D1623" w:rsidRPr="00126FE8" w:rsidRDefault="003D1623" w:rsidP="00126FE8">
            <w:pPr>
              <w:rPr>
                <w:sz w:val="20"/>
                <w:szCs w:val="20"/>
              </w:rPr>
            </w:pPr>
            <w:r w:rsidRPr="00126FE8">
              <w:rPr>
                <w:sz w:val="20"/>
                <w:szCs w:val="20"/>
              </w:rPr>
              <w:t>Ressources naturelles</w:t>
            </w:r>
          </w:p>
        </w:tc>
      </w:tr>
      <w:tr w:rsidR="003D1623" w:rsidRPr="00126FE8" w:rsidTr="008371D1">
        <w:tc>
          <w:tcPr>
            <w:tcW w:w="340" w:type="pct"/>
          </w:tcPr>
          <w:p w:rsidR="003D1623" w:rsidRPr="00126FE8" w:rsidRDefault="003D1623" w:rsidP="00126FE8">
            <w:pPr>
              <w:rPr>
                <w:sz w:val="20"/>
                <w:szCs w:val="20"/>
              </w:rPr>
            </w:pPr>
            <w:r w:rsidRPr="00126FE8">
              <w:rPr>
                <w:sz w:val="20"/>
                <w:szCs w:val="20"/>
              </w:rPr>
              <w:t>1.</w:t>
            </w:r>
          </w:p>
        </w:tc>
        <w:tc>
          <w:tcPr>
            <w:tcW w:w="3223" w:type="pct"/>
          </w:tcPr>
          <w:p w:rsidR="003D1623" w:rsidRPr="00126FE8" w:rsidRDefault="003D1623" w:rsidP="00126FE8">
            <w:pPr>
              <w:rPr>
                <w:sz w:val="20"/>
                <w:szCs w:val="20"/>
              </w:rPr>
            </w:pPr>
            <w:r w:rsidRPr="00126FE8">
              <w:rPr>
                <w:sz w:val="20"/>
                <w:szCs w:val="20"/>
              </w:rPr>
              <w:t>Le projet nécessitera- t-il des volumes importants de matériaux issus des ressources naturelles locales (sable, gravier, latérite, eau, bois de chantier, etc.)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8371D1">
        <w:tc>
          <w:tcPr>
            <w:tcW w:w="340" w:type="pct"/>
          </w:tcPr>
          <w:p w:rsidR="003D1623" w:rsidRPr="00126FE8" w:rsidRDefault="003D1623" w:rsidP="00126FE8">
            <w:pPr>
              <w:rPr>
                <w:sz w:val="20"/>
                <w:szCs w:val="20"/>
              </w:rPr>
            </w:pPr>
            <w:r w:rsidRPr="00126FE8">
              <w:rPr>
                <w:sz w:val="20"/>
                <w:szCs w:val="20"/>
              </w:rPr>
              <w:t xml:space="preserve">2. </w:t>
            </w:r>
          </w:p>
        </w:tc>
        <w:tc>
          <w:tcPr>
            <w:tcW w:w="3223" w:type="pct"/>
          </w:tcPr>
          <w:p w:rsidR="003D1623" w:rsidRPr="00126FE8" w:rsidRDefault="003D1623" w:rsidP="00126FE8">
            <w:pPr>
              <w:rPr>
                <w:sz w:val="20"/>
                <w:szCs w:val="20"/>
              </w:rPr>
            </w:pPr>
            <w:r w:rsidRPr="00126FE8">
              <w:rPr>
                <w:sz w:val="20"/>
                <w:szCs w:val="20"/>
              </w:rPr>
              <w:t xml:space="preserve"> Le projet nécessitera-t-il un défrichement important ?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8371D1">
        <w:tc>
          <w:tcPr>
            <w:tcW w:w="340" w:type="pct"/>
          </w:tcPr>
          <w:p w:rsidR="003D1623" w:rsidRPr="00126FE8" w:rsidRDefault="003D1623" w:rsidP="00126FE8">
            <w:pPr>
              <w:rPr>
                <w:sz w:val="20"/>
                <w:szCs w:val="20"/>
              </w:rPr>
            </w:pPr>
            <w:r w:rsidRPr="00126FE8">
              <w:rPr>
                <w:sz w:val="20"/>
                <w:szCs w:val="20"/>
              </w:rPr>
              <w:t>3.</w:t>
            </w:r>
          </w:p>
        </w:tc>
        <w:tc>
          <w:tcPr>
            <w:tcW w:w="3223" w:type="pct"/>
          </w:tcPr>
          <w:p w:rsidR="003D1623" w:rsidRPr="00126FE8" w:rsidRDefault="003D1623" w:rsidP="00126FE8">
            <w:pPr>
              <w:rPr>
                <w:sz w:val="20"/>
                <w:szCs w:val="20"/>
              </w:rPr>
            </w:pPr>
            <w:r w:rsidRPr="00126FE8">
              <w:rPr>
                <w:sz w:val="20"/>
                <w:szCs w:val="20"/>
              </w:rPr>
              <w:t xml:space="preserve"> Le projet peut-il occasionner des variations du niveau de la nappe d’eau souterraine ou du débit des cours d’eau ?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A3625C">
        <w:tc>
          <w:tcPr>
            <w:tcW w:w="340" w:type="pct"/>
          </w:tcPr>
          <w:p w:rsidR="003D1623" w:rsidRPr="00126FE8" w:rsidRDefault="003D1623" w:rsidP="00126FE8">
            <w:pPr>
              <w:rPr>
                <w:sz w:val="20"/>
                <w:szCs w:val="20"/>
              </w:rPr>
            </w:pPr>
            <w:r w:rsidRPr="00126FE8">
              <w:rPr>
                <w:sz w:val="20"/>
                <w:szCs w:val="20"/>
              </w:rPr>
              <w:t>4.</w:t>
            </w:r>
          </w:p>
        </w:tc>
        <w:tc>
          <w:tcPr>
            <w:tcW w:w="3223" w:type="pct"/>
          </w:tcPr>
          <w:p w:rsidR="003D1623" w:rsidRPr="00126FE8" w:rsidRDefault="003D1623" w:rsidP="00126FE8">
            <w:pPr>
              <w:rPr>
                <w:sz w:val="20"/>
                <w:szCs w:val="20"/>
              </w:rPr>
            </w:pPr>
            <w:r w:rsidRPr="00126FE8">
              <w:rPr>
                <w:sz w:val="20"/>
                <w:szCs w:val="20"/>
              </w:rPr>
              <w:t xml:space="preserve"> Le projet peut-il entraîner une diminution qualitative et quantitative des ressources naturelles (eau, bois, faune, flore, extraction minière, etc.)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FF19FC">
        <w:tc>
          <w:tcPr>
            <w:tcW w:w="5000" w:type="pct"/>
            <w:gridSpan w:val="5"/>
          </w:tcPr>
          <w:p w:rsidR="003D1623" w:rsidRPr="00126FE8" w:rsidRDefault="003D1623" w:rsidP="00126FE8">
            <w:pPr>
              <w:rPr>
                <w:sz w:val="20"/>
                <w:szCs w:val="20"/>
              </w:rPr>
            </w:pPr>
            <w:r w:rsidRPr="00126FE8">
              <w:rPr>
                <w:sz w:val="20"/>
                <w:szCs w:val="20"/>
              </w:rPr>
              <w:t>Diversité biologique</w:t>
            </w:r>
          </w:p>
        </w:tc>
      </w:tr>
      <w:tr w:rsidR="003D1623" w:rsidRPr="00126FE8" w:rsidTr="00A3625C">
        <w:tc>
          <w:tcPr>
            <w:tcW w:w="340" w:type="pct"/>
          </w:tcPr>
          <w:p w:rsidR="003D1623" w:rsidRPr="00126FE8" w:rsidRDefault="003D1623" w:rsidP="00126FE8">
            <w:pPr>
              <w:rPr>
                <w:sz w:val="20"/>
                <w:szCs w:val="20"/>
              </w:rPr>
            </w:pPr>
            <w:r w:rsidRPr="00126FE8">
              <w:rPr>
                <w:sz w:val="20"/>
                <w:szCs w:val="20"/>
              </w:rPr>
              <w:t>5.</w:t>
            </w:r>
          </w:p>
        </w:tc>
        <w:tc>
          <w:tcPr>
            <w:tcW w:w="3223" w:type="pct"/>
          </w:tcPr>
          <w:p w:rsidR="003D1623" w:rsidRPr="00126FE8" w:rsidRDefault="003D1623" w:rsidP="00126FE8">
            <w:pPr>
              <w:rPr>
                <w:sz w:val="20"/>
                <w:szCs w:val="20"/>
              </w:rPr>
            </w:pPr>
            <w:r w:rsidRPr="00126FE8">
              <w:rPr>
                <w:sz w:val="20"/>
                <w:szCs w:val="20"/>
              </w:rPr>
              <w:t>Le projet risque-t-il de causer des effets sur des espèces rares, vulnérables et/ou importants du point de vue économique, écologique, culturel</w:t>
            </w:r>
            <w:r w:rsidR="00A05098" w:rsidRPr="00126FE8">
              <w:rPr>
                <w:sz w:val="20"/>
                <w:szCs w:val="20"/>
              </w:rPr>
              <w:t>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A3625C">
        <w:tc>
          <w:tcPr>
            <w:tcW w:w="340" w:type="pct"/>
          </w:tcPr>
          <w:p w:rsidR="003D1623" w:rsidRPr="00126FE8" w:rsidRDefault="003D1623" w:rsidP="00126FE8">
            <w:pPr>
              <w:rPr>
                <w:sz w:val="20"/>
                <w:szCs w:val="20"/>
              </w:rPr>
            </w:pPr>
            <w:r w:rsidRPr="00126FE8">
              <w:rPr>
                <w:sz w:val="20"/>
                <w:szCs w:val="20"/>
              </w:rPr>
              <w:t>6.</w:t>
            </w:r>
          </w:p>
        </w:tc>
        <w:tc>
          <w:tcPr>
            <w:tcW w:w="3223" w:type="pct"/>
          </w:tcPr>
          <w:p w:rsidR="003D1623" w:rsidRPr="00126FE8" w:rsidRDefault="003D1623" w:rsidP="00126FE8">
            <w:pPr>
              <w:rPr>
                <w:sz w:val="20"/>
                <w:szCs w:val="20"/>
              </w:rPr>
            </w:pPr>
            <w:r w:rsidRPr="00126FE8">
              <w:rPr>
                <w:sz w:val="20"/>
                <w:szCs w:val="20"/>
              </w:rPr>
              <w:t>Y a-t-il des zones de sensibilité environnementale qui pourraient être affectées négativement par le projet ? (Forêt, zones humides, lacs, rivières, zones d'inondation saisonnière…)</w:t>
            </w:r>
            <w:r w:rsidR="00A05098" w:rsidRPr="00126FE8">
              <w:rPr>
                <w:sz w:val="20"/>
                <w:szCs w:val="20"/>
              </w:rPr>
              <w:t>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FF19FC">
        <w:tc>
          <w:tcPr>
            <w:tcW w:w="5000" w:type="pct"/>
            <w:gridSpan w:val="5"/>
          </w:tcPr>
          <w:p w:rsidR="003D1623" w:rsidRPr="00126FE8" w:rsidRDefault="003D1623" w:rsidP="00126FE8">
            <w:pPr>
              <w:rPr>
                <w:sz w:val="20"/>
                <w:szCs w:val="20"/>
              </w:rPr>
            </w:pPr>
            <w:r w:rsidRPr="00126FE8">
              <w:rPr>
                <w:sz w:val="20"/>
                <w:szCs w:val="20"/>
              </w:rPr>
              <w:t>Zones protégées</w:t>
            </w:r>
          </w:p>
        </w:tc>
      </w:tr>
      <w:tr w:rsidR="003D1623" w:rsidRPr="00126FE8" w:rsidTr="00A3625C">
        <w:tc>
          <w:tcPr>
            <w:tcW w:w="340" w:type="pct"/>
          </w:tcPr>
          <w:p w:rsidR="003D1623" w:rsidRPr="00126FE8" w:rsidRDefault="003D1623" w:rsidP="00126FE8">
            <w:pPr>
              <w:rPr>
                <w:sz w:val="20"/>
                <w:szCs w:val="20"/>
              </w:rPr>
            </w:pPr>
            <w:r w:rsidRPr="00126FE8">
              <w:rPr>
                <w:sz w:val="20"/>
                <w:szCs w:val="20"/>
              </w:rPr>
              <w:t>7.</w:t>
            </w:r>
          </w:p>
        </w:tc>
        <w:tc>
          <w:tcPr>
            <w:tcW w:w="3223" w:type="pct"/>
          </w:tcPr>
          <w:p w:rsidR="001A0C76" w:rsidRPr="00126FE8" w:rsidRDefault="003D1623" w:rsidP="00126FE8">
            <w:pPr>
              <w:autoSpaceDE w:val="0"/>
              <w:autoSpaceDN w:val="0"/>
              <w:adjustRightInd w:val="0"/>
              <w:rPr>
                <w:sz w:val="20"/>
                <w:szCs w:val="20"/>
                <w:lang w:eastAsia="en-US"/>
              </w:rPr>
            </w:pPr>
            <w:r w:rsidRPr="00126FE8">
              <w:rPr>
                <w:sz w:val="20"/>
                <w:szCs w:val="20"/>
              </w:rPr>
              <w:t xml:space="preserve"> </w:t>
            </w:r>
            <w:r w:rsidR="001A0C76" w:rsidRPr="00126FE8">
              <w:rPr>
                <w:sz w:val="20"/>
                <w:szCs w:val="20"/>
                <w:lang w:eastAsia="en-US"/>
              </w:rPr>
              <w:t>La zone se trouvant autour du site du projet se trouve-t-elle à l’intérieur ou est-elle adjacente à des aires</w:t>
            </w:r>
          </w:p>
          <w:p w:rsidR="001A0C76" w:rsidRPr="00126FE8" w:rsidRDefault="001A0C76" w:rsidP="00126FE8">
            <w:pPr>
              <w:autoSpaceDE w:val="0"/>
              <w:autoSpaceDN w:val="0"/>
              <w:adjustRightInd w:val="0"/>
              <w:rPr>
                <w:sz w:val="20"/>
                <w:szCs w:val="20"/>
                <w:lang w:eastAsia="en-US"/>
              </w:rPr>
            </w:pPr>
            <w:r w:rsidRPr="00126FE8">
              <w:rPr>
                <w:sz w:val="20"/>
                <w:szCs w:val="20"/>
                <w:lang w:eastAsia="en-US"/>
              </w:rPr>
              <w:t>protégées quelconques tracées par le gouvernement (parc national, réserve nationale, site d’héritage</w:t>
            </w:r>
          </w:p>
          <w:p w:rsidR="003D1623" w:rsidRPr="00126FE8" w:rsidRDefault="002E3D3C" w:rsidP="00126FE8">
            <w:pPr>
              <w:rPr>
                <w:sz w:val="20"/>
                <w:szCs w:val="20"/>
              </w:rPr>
            </w:pPr>
            <w:r w:rsidRPr="00126FE8">
              <w:rPr>
                <w:sz w:val="20"/>
                <w:szCs w:val="20"/>
                <w:lang w:val="en-US" w:eastAsia="en-US"/>
              </w:rPr>
              <w:t>Mondial?</w:t>
            </w:r>
            <w:r w:rsidR="003D1623" w:rsidRPr="00126FE8">
              <w:rPr>
                <w:sz w:val="20"/>
                <w:szCs w:val="20"/>
              </w:rPr>
              <w:t xml:space="preserve">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2E3D3C" w:rsidRPr="00126FE8" w:rsidTr="00A3625C">
        <w:tc>
          <w:tcPr>
            <w:tcW w:w="340" w:type="pct"/>
          </w:tcPr>
          <w:p w:rsidR="002E3D3C" w:rsidRPr="00126FE8" w:rsidRDefault="00A3625C" w:rsidP="00126FE8">
            <w:pPr>
              <w:rPr>
                <w:sz w:val="20"/>
                <w:szCs w:val="20"/>
              </w:rPr>
            </w:pPr>
            <w:r w:rsidRPr="00126FE8">
              <w:rPr>
                <w:sz w:val="20"/>
                <w:szCs w:val="20"/>
              </w:rPr>
              <w:t>8.</w:t>
            </w:r>
          </w:p>
        </w:tc>
        <w:tc>
          <w:tcPr>
            <w:tcW w:w="3223" w:type="pct"/>
          </w:tcPr>
          <w:p w:rsidR="002E3D3C" w:rsidRPr="00126FE8" w:rsidRDefault="002E3D3C" w:rsidP="00126FE8">
            <w:pPr>
              <w:autoSpaceDE w:val="0"/>
              <w:autoSpaceDN w:val="0"/>
              <w:adjustRightInd w:val="0"/>
              <w:rPr>
                <w:sz w:val="20"/>
                <w:szCs w:val="20"/>
                <w:lang w:eastAsia="en-US"/>
              </w:rPr>
            </w:pPr>
            <w:r w:rsidRPr="00126FE8">
              <w:rPr>
                <w:sz w:val="20"/>
                <w:szCs w:val="20"/>
                <w:lang w:eastAsia="en-US"/>
              </w:rPr>
              <w:t>Si l’exécution/mise en service du sous projet s’effectuent en dehors d’une aire protégée (ou dans ses</w:t>
            </w:r>
          </w:p>
          <w:p w:rsidR="002E3D3C" w:rsidRPr="00126FE8" w:rsidRDefault="002E3D3C" w:rsidP="00126FE8">
            <w:pPr>
              <w:autoSpaceDE w:val="0"/>
              <w:autoSpaceDN w:val="0"/>
              <w:adjustRightInd w:val="0"/>
              <w:rPr>
                <w:sz w:val="20"/>
                <w:szCs w:val="20"/>
                <w:lang w:eastAsia="en-US"/>
              </w:rPr>
            </w:pPr>
            <w:r w:rsidRPr="00126FE8">
              <w:rPr>
                <w:sz w:val="20"/>
                <w:szCs w:val="20"/>
                <w:lang w:eastAsia="en-US"/>
              </w:rPr>
              <w:t>environs), est-elle susceptible d’affecter négativement l’écologie de l’aire protégée (exemple :</w:t>
            </w:r>
          </w:p>
          <w:p w:rsidR="002E3D3C" w:rsidRPr="00126FE8" w:rsidRDefault="002E3D3C" w:rsidP="00126FE8">
            <w:pPr>
              <w:autoSpaceDE w:val="0"/>
              <w:autoSpaceDN w:val="0"/>
              <w:adjustRightInd w:val="0"/>
              <w:rPr>
                <w:sz w:val="20"/>
                <w:szCs w:val="20"/>
              </w:rPr>
            </w:pPr>
            <w:r w:rsidRPr="00126FE8">
              <w:rPr>
                <w:sz w:val="20"/>
                <w:szCs w:val="20"/>
                <w:lang w:eastAsia="en-US"/>
              </w:rPr>
              <w:t>interférence les routes de migration de mammifères ou d’oiseaux)?</w:t>
            </w:r>
          </w:p>
        </w:tc>
        <w:tc>
          <w:tcPr>
            <w:tcW w:w="297" w:type="pct"/>
          </w:tcPr>
          <w:p w:rsidR="002E3D3C" w:rsidRPr="00126FE8" w:rsidRDefault="002E3D3C" w:rsidP="00126FE8">
            <w:pPr>
              <w:rPr>
                <w:sz w:val="20"/>
                <w:szCs w:val="20"/>
              </w:rPr>
            </w:pPr>
          </w:p>
        </w:tc>
        <w:tc>
          <w:tcPr>
            <w:tcW w:w="316" w:type="pct"/>
          </w:tcPr>
          <w:p w:rsidR="002E3D3C" w:rsidRPr="00126FE8" w:rsidRDefault="002E3D3C" w:rsidP="00126FE8">
            <w:pPr>
              <w:rPr>
                <w:sz w:val="20"/>
                <w:szCs w:val="20"/>
              </w:rPr>
            </w:pPr>
          </w:p>
        </w:tc>
        <w:tc>
          <w:tcPr>
            <w:tcW w:w="824" w:type="pct"/>
          </w:tcPr>
          <w:p w:rsidR="002E3D3C" w:rsidRPr="00126FE8" w:rsidRDefault="002E3D3C" w:rsidP="00126FE8">
            <w:pPr>
              <w:rPr>
                <w:sz w:val="20"/>
                <w:szCs w:val="20"/>
              </w:rPr>
            </w:pPr>
          </w:p>
        </w:tc>
      </w:tr>
      <w:tr w:rsidR="003D1623" w:rsidRPr="00126FE8" w:rsidTr="00FF19FC">
        <w:tc>
          <w:tcPr>
            <w:tcW w:w="5000" w:type="pct"/>
            <w:gridSpan w:val="5"/>
          </w:tcPr>
          <w:p w:rsidR="003D1623" w:rsidRPr="00126FE8" w:rsidRDefault="003D1623" w:rsidP="00126FE8">
            <w:pPr>
              <w:rPr>
                <w:sz w:val="20"/>
                <w:szCs w:val="20"/>
              </w:rPr>
            </w:pPr>
            <w:r w:rsidRPr="00126FE8">
              <w:rPr>
                <w:sz w:val="20"/>
                <w:szCs w:val="20"/>
              </w:rPr>
              <w:t>Géologie et sols</w:t>
            </w:r>
          </w:p>
        </w:tc>
      </w:tr>
      <w:tr w:rsidR="003D1623" w:rsidRPr="00126FE8" w:rsidTr="00A3625C">
        <w:tc>
          <w:tcPr>
            <w:tcW w:w="340" w:type="pct"/>
          </w:tcPr>
          <w:p w:rsidR="003D1623" w:rsidRPr="00126FE8" w:rsidRDefault="00A3625C" w:rsidP="00126FE8">
            <w:pPr>
              <w:rPr>
                <w:sz w:val="20"/>
                <w:szCs w:val="20"/>
              </w:rPr>
            </w:pPr>
            <w:r w:rsidRPr="00126FE8">
              <w:rPr>
                <w:sz w:val="20"/>
                <w:szCs w:val="20"/>
              </w:rPr>
              <w:t>9.</w:t>
            </w:r>
          </w:p>
        </w:tc>
        <w:tc>
          <w:tcPr>
            <w:tcW w:w="3223" w:type="pct"/>
          </w:tcPr>
          <w:p w:rsidR="003D1623" w:rsidRPr="00126FE8" w:rsidRDefault="003D1623" w:rsidP="00126FE8">
            <w:pPr>
              <w:rPr>
                <w:sz w:val="20"/>
                <w:szCs w:val="20"/>
              </w:rPr>
            </w:pPr>
            <w:r w:rsidRPr="00126FE8">
              <w:rPr>
                <w:sz w:val="20"/>
                <w:szCs w:val="20"/>
              </w:rPr>
              <w:t xml:space="preserve">Y a-t-il des zones instables d'un point de vue géologique ou des sols susceptibles à de sévères dégradations (érosion, glissement de terrain, effondrement) ?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A3625C">
        <w:tc>
          <w:tcPr>
            <w:tcW w:w="340" w:type="pct"/>
          </w:tcPr>
          <w:p w:rsidR="003D1623" w:rsidRPr="00126FE8" w:rsidRDefault="00A3625C" w:rsidP="00126FE8">
            <w:pPr>
              <w:rPr>
                <w:sz w:val="20"/>
                <w:szCs w:val="20"/>
              </w:rPr>
            </w:pPr>
            <w:r w:rsidRPr="00126FE8">
              <w:rPr>
                <w:sz w:val="20"/>
                <w:szCs w:val="20"/>
              </w:rPr>
              <w:t>10.</w:t>
            </w:r>
          </w:p>
        </w:tc>
        <w:tc>
          <w:tcPr>
            <w:tcW w:w="3223" w:type="pct"/>
          </w:tcPr>
          <w:p w:rsidR="003D1623" w:rsidRPr="00126FE8" w:rsidRDefault="003D1623" w:rsidP="00126FE8">
            <w:pPr>
              <w:rPr>
                <w:sz w:val="20"/>
                <w:szCs w:val="20"/>
              </w:rPr>
            </w:pPr>
            <w:r w:rsidRPr="00126FE8">
              <w:rPr>
                <w:sz w:val="20"/>
                <w:szCs w:val="20"/>
              </w:rPr>
              <w:t xml:space="preserve">Y a-t-il des zones à risque de salinisation ?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FF19FC">
        <w:tc>
          <w:tcPr>
            <w:tcW w:w="5000" w:type="pct"/>
            <w:gridSpan w:val="5"/>
          </w:tcPr>
          <w:p w:rsidR="003D1623" w:rsidRPr="00126FE8" w:rsidRDefault="003D1623" w:rsidP="00126FE8">
            <w:pPr>
              <w:rPr>
                <w:sz w:val="20"/>
                <w:szCs w:val="20"/>
              </w:rPr>
            </w:pPr>
            <w:r w:rsidRPr="00126FE8">
              <w:rPr>
                <w:sz w:val="20"/>
                <w:szCs w:val="20"/>
              </w:rPr>
              <w:t>Paysage I esthétique</w:t>
            </w:r>
          </w:p>
        </w:tc>
      </w:tr>
      <w:tr w:rsidR="003D1623" w:rsidRPr="00126FE8" w:rsidTr="00A3625C">
        <w:tc>
          <w:tcPr>
            <w:tcW w:w="340" w:type="pct"/>
          </w:tcPr>
          <w:p w:rsidR="003D1623" w:rsidRPr="00126FE8" w:rsidRDefault="00A3625C" w:rsidP="00126FE8">
            <w:pPr>
              <w:rPr>
                <w:sz w:val="20"/>
                <w:szCs w:val="20"/>
              </w:rPr>
            </w:pPr>
            <w:r>
              <w:rPr>
                <w:sz w:val="20"/>
                <w:szCs w:val="20"/>
              </w:rPr>
              <w:t>11</w:t>
            </w:r>
          </w:p>
        </w:tc>
        <w:tc>
          <w:tcPr>
            <w:tcW w:w="3223" w:type="pct"/>
          </w:tcPr>
          <w:p w:rsidR="003D1623" w:rsidRPr="00126FE8" w:rsidRDefault="006B33C2" w:rsidP="00126FE8">
            <w:pPr>
              <w:rPr>
                <w:sz w:val="20"/>
                <w:szCs w:val="20"/>
              </w:rPr>
            </w:pPr>
            <w:r w:rsidRPr="00126FE8">
              <w:rPr>
                <w:sz w:val="20"/>
                <w:szCs w:val="20"/>
                <w:lang w:eastAsia="en-US"/>
              </w:rPr>
              <w:t>Y a-t-il possibilité que les travaux affectent négativement l’aspect esthétique du paysage local?</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FF19FC">
        <w:tc>
          <w:tcPr>
            <w:tcW w:w="5000" w:type="pct"/>
            <w:gridSpan w:val="5"/>
          </w:tcPr>
          <w:p w:rsidR="003D1623" w:rsidRPr="00126FE8" w:rsidRDefault="003D1623" w:rsidP="00126FE8">
            <w:pPr>
              <w:rPr>
                <w:sz w:val="20"/>
                <w:szCs w:val="20"/>
              </w:rPr>
            </w:pPr>
            <w:r w:rsidRPr="00126FE8">
              <w:rPr>
                <w:sz w:val="20"/>
                <w:szCs w:val="20"/>
              </w:rPr>
              <w:t>Sites historiques, archéologiques ou culturels</w:t>
            </w:r>
          </w:p>
        </w:tc>
      </w:tr>
      <w:tr w:rsidR="003D1623" w:rsidRPr="00126FE8" w:rsidTr="00A3625C">
        <w:tc>
          <w:tcPr>
            <w:tcW w:w="340" w:type="pct"/>
          </w:tcPr>
          <w:p w:rsidR="003D1623" w:rsidRPr="00126FE8" w:rsidRDefault="003D1623" w:rsidP="00126FE8">
            <w:pPr>
              <w:rPr>
                <w:sz w:val="20"/>
                <w:szCs w:val="20"/>
              </w:rPr>
            </w:pPr>
            <w:r w:rsidRPr="00126FE8">
              <w:rPr>
                <w:sz w:val="20"/>
                <w:szCs w:val="20"/>
              </w:rPr>
              <w:t>1</w:t>
            </w:r>
            <w:r w:rsidR="00A3625C">
              <w:rPr>
                <w:sz w:val="20"/>
                <w:szCs w:val="20"/>
              </w:rPr>
              <w:t>2</w:t>
            </w:r>
          </w:p>
        </w:tc>
        <w:tc>
          <w:tcPr>
            <w:tcW w:w="3223" w:type="pct"/>
          </w:tcPr>
          <w:p w:rsidR="002B4E20" w:rsidRPr="00126FE8" w:rsidRDefault="002B4E20" w:rsidP="00126FE8">
            <w:pPr>
              <w:autoSpaceDE w:val="0"/>
              <w:autoSpaceDN w:val="0"/>
              <w:adjustRightInd w:val="0"/>
              <w:rPr>
                <w:sz w:val="20"/>
                <w:szCs w:val="20"/>
                <w:lang w:eastAsia="en-US"/>
              </w:rPr>
            </w:pPr>
            <w:r w:rsidRPr="00126FE8">
              <w:rPr>
                <w:sz w:val="20"/>
                <w:szCs w:val="20"/>
                <w:lang w:eastAsia="en-US"/>
              </w:rPr>
              <w:t>Sur la base des sources disponibles, des consultations avec les autorités locales, des connaissances et/ou</w:t>
            </w:r>
          </w:p>
          <w:p w:rsidR="002B4E20" w:rsidRPr="00126FE8" w:rsidRDefault="002B4E20" w:rsidP="00126FE8">
            <w:pPr>
              <w:autoSpaceDE w:val="0"/>
              <w:autoSpaceDN w:val="0"/>
              <w:adjustRightInd w:val="0"/>
              <w:rPr>
                <w:sz w:val="20"/>
                <w:szCs w:val="20"/>
                <w:lang w:eastAsia="en-US"/>
              </w:rPr>
            </w:pPr>
            <w:r w:rsidRPr="00126FE8">
              <w:rPr>
                <w:sz w:val="20"/>
                <w:szCs w:val="20"/>
                <w:lang w:eastAsia="en-US"/>
              </w:rPr>
              <w:t>observations locales, le projet pourrait-il altérer des sites historiques, archéologiques ou d’héritage culture</w:t>
            </w:r>
          </w:p>
          <w:p w:rsidR="003D1623" w:rsidRPr="00126FE8" w:rsidRDefault="002B4E20" w:rsidP="00126FE8">
            <w:pPr>
              <w:rPr>
                <w:sz w:val="20"/>
                <w:szCs w:val="20"/>
              </w:rPr>
            </w:pPr>
            <w:r w:rsidRPr="00126FE8">
              <w:rPr>
                <w:sz w:val="20"/>
                <w:szCs w:val="20"/>
                <w:lang w:eastAsia="en-US"/>
              </w:rPr>
              <w:t>ou faudrait-il faire des fouilles tout près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FF19FC">
        <w:tc>
          <w:tcPr>
            <w:tcW w:w="5000" w:type="pct"/>
            <w:gridSpan w:val="5"/>
          </w:tcPr>
          <w:p w:rsidR="003D1623" w:rsidRPr="00126FE8" w:rsidRDefault="003D1623" w:rsidP="00126FE8">
            <w:pPr>
              <w:rPr>
                <w:sz w:val="20"/>
                <w:szCs w:val="20"/>
              </w:rPr>
            </w:pPr>
            <w:r w:rsidRPr="00126FE8">
              <w:rPr>
                <w:sz w:val="20"/>
                <w:szCs w:val="20"/>
              </w:rPr>
              <w:t xml:space="preserve"> </w:t>
            </w:r>
            <w:r w:rsidR="0081249B" w:rsidRPr="00126FE8">
              <w:rPr>
                <w:sz w:val="20"/>
                <w:szCs w:val="20"/>
              </w:rPr>
              <w:t>Compensation et ou acquisition des terres</w:t>
            </w:r>
          </w:p>
        </w:tc>
      </w:tr>
      <w:tr w:rsidR="00A246B0" w:rsidRPr="00126FE8" w:rsidTr="00A3625C">
        <w:tc>
          <w:tcPr>
            <w:tcW w:w="340" w:type="pct"/>
          </w:tcPr>
          <w:p w:rsidR="00A246B0" w:rsidRPr="00126FE8" w:rsidRDefault="00A3625C" w:rsidP="00126FE8">
            <w:pPr>
              <w:rPr>
                <w:sz w:val="20"/>
                <w:szCs w:val="20"/>
              </w:rPr>
            </w:pPr>
            <w:r>
              <w:rPr>
                <w:sz w:val="20"/>
                <w:szCs w:val="20"/>
              </w:rPr>
              <w:t>13</w:t>
            </w:r>
          </w:p>
        </w:tc>
        <w:tc>
          <w:tcPr>
            <w:tcW w:w="3223" w:type="pct"/>
          </w:tcPr>
          <w:p w:rsidR="00A246B0" w:rsidRPr="00126FE8" w:rsidRDefault="00A246B0" w:rsidP="00AF603A">
            <w:pPr>
              <w:autoSpaceDE w:val="0"/>
              <w:autoSpaceDN w:val="0"/>
              <w:adjustRightInd w:val="0"/>
              <w:rPr>
                <w:sz w:val="20"/>
                <w:szCs w:val="20"/>
                <w:lang w:eastAsia="en-US"/>
              </w:rPr>
            </w:pPr>
            <w:r w:rsidRPr="00126FE8">
              <w:rPr>
                <w:sz w:val="20"/>
                <w:szCs w:val="20"/>
                <w:lang w:eastAsia="en-US"/>
              </w:rPr>
              <w:t>L’acquisition de terres ou la perte, le déni ou la restriction d’accès au terrain ou aux autres ressources</w:t>
            </w:r>
            <w:r w:rsidR="00AF603A">
              <w:rPr>
                <w:sz w:val="20"/>
                <w:szCs w:val="20"/>
                <w:lang w:eastAsia="en-US"/>
              </w:rPr>
              <w:t xml:space="preserve"> </w:t>
            </w:r>
            <w:r w:rsidR="001E6141" w:rsidRPr="00126FE8">
              <w:rPr>
                <w:sz w:val="20"/>
                <w:szCs w:val="20"/>
                <w:lang w:eastAsia="en-US"/>
              </w:rPr>
              <w:t>Économiques</w:t>
            </w:r>
            <w:r w:rsidRPr="00126FE8">
              <w:rPr>
                <w:sz w:val="20"/>
                <w:szCs w:val="20"/>
                <w:lang w:eastAsia="en-US"/>
              </w:rPr>
              <w:t xml:space="preserve"> seront-ils le fait du projet concerné?</w:t>
            </w:r>
          </w:p>
        </w:tc>
        <w:tc>
          <w:tcPr>
            <w:tcW w:w="297" w:type="pct"/>
          </w:tcPr>
          <w:p w:rsidR="00A246B0" w:rsidRPr="00126FE8" w:rsidRDefault="00A246B0" w:rsidP="00126FE8">
            <w:pPr>
              <w:rPr>
                <w:sz w:val="20"/>
                <w:szCs w:val="20"/>
              </w:rPr>
            </w:pPr>
          </w:p>
        </w:tc>
        <w:tc>
          <w:tcPr>
            <w:tcW w:w="316" w:type="pct"/>
          </w:tcPr>
          <w:p w:rsidR="00A246B0" w:rsidRPr="00126FE8" w:rsidRDefault="00A246B0" w:rsidP="00126FE8">
            <w:pPr>
              <w:rPr>
                <w:sz w:val="20"/>
                <w:szCs w:val="20"/>
              </w:rPr>
            </w:pPr>
          </w:p>
        </w:tc>
        <w:tc>
          <w:tcPr>
            <w:tcW w:w="824" w:type="pct"/>
          </w:tcPr>
          <w:p w:rsidR="00A246B0" w:rsidRPr="00126FE8" w:rsidRDefault="00A246B0" w:rsidP="00126FE8">
            <w:pPr>
              <w:rPr>
                <w:sz w:val="20"/>
                <w:szCs w:val="20"/>
              </w:rPr>
            </w:pPr>
          </w:p>
        </w:tc>
      </w:tr>
      <w:tr w:rsidR="003D1623" w:rsidRPr="00126FE8" w:rsidTr="00A3625C">
        <w:tc>
          <w:tcPr>
            <w:tcW w:w="340" w:type="pct"/>
          </w:tcPr>
          <w:p w:rsidR="003D1623" w:rsidRPr="00126FE8" w:rsidRDefault="003D1623" w:rsidP="00126FE8">
            <w:pPr>
              <w:rPr>
                <w:sz w:val="20"/>
                <w:szCs w:val="20"/>
              </w:rPr>
            </w:pPr>
            <w:r w:rsidRPr="00126FE8">
              <w:rPr>
                <w:sz w:val="20"/>
                <w:szCs w:val="20"/>
              </w:rPr>
              <w:t>1</w:t>
            </w:r>
            <w:r w:rsidR="00A3625C">
              <w:rPr>
                <w:sz w:val="20"/>
                <w:szCs w:val="20"/>
              </w:rPr>
              <w:t>4</w:t>
            </w:r>
            <w:r w:rsidRPr="00126FE8">
              <w:rPr>
                <w:sz w:val="20"/>
                <w:szCs w:val="20"/>
              </w:rPr>
              <w:t>.</w:t>
            </w:r>
          </w:p>
        </w:tc>
        <w:tc>
          <w:tcPr>
            <w:tcW w:w="3223" w:type="pct"/>
          </w:tcPr>
          <w:p w:rsidR="003D1623" w:rsidRPr="00126FE8" w:rsidRDefault="003D1623" w:rsidP="00126FE8">
            <w:pPr>
              <w:rPr>
                <w:sz w:val="20"/>
                <w:szCs w:val="20"/>
              </w:rPr>
            </w:pPr>
            <w:r w:rsidRPr="00126FE8">
              <w:rPr>
                <w:sz w:val="20"/>
                <w:szCs w:val="20"/>
              </w:rPr>
              <w:t xml:space="preserve">Est-ce que le projet déclenchera la perte temporaire ou permanente de cultures, terres agricoles, pâturage ?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1E62BC" w:rsidRPr="00126FE8" w:rsidTr="001E62BC">
        <w:tc>
          <w:tcPr>
            <w:tcW w:w="5000" w:type="pct"/>
            <w:gridSpan w:val="5"/>
          </w:tcPr>
          <w:p w:rsidR="001E62BC" w:rsidRPr="00126FE8" w:rsidRDefault="001E62BC" w:rsidP="00126FE8">
            <w:pPr>
              <w:rPr>
                <w:sz w:val="20"/>
                <w:szCs w:val="20"/>
              </w:rPr>
            </w:pPr>
            <w:r w:rsidRPr="00126FE8">
              <w:rPr>
                <w:b/>
                <w:bCs/>
                <w:sz w:val="20"/>
                <w:szCs w:val="20"/>
                <w:lang w:eastAsia="en-US"/>
              </w:rPr>
              <w:t>Perte de récoltes, arbres fruitiers, et infrastructures domestiques</w:t>
            </w:r>
          </w:p>
        </w:tc>
      </w:tr>
      <w:tr w:rsidR="001E62BC" w:rsidRPr="00126FE8" w:rsidTr="00A3625C">
        <w:trPr>
          <w:trHeight w:val="295"/>
        </w:trPr>
        <w:tc>
          <w:tcPr>
            <w:tcW w:w="3563" w:type="pct"/>
            <w:gridSpan w:val="2"/>
          </w:tcPr>
          <w:p w:rsidR="001E62BC" w:rsidRPr="00126FE8" w:rsidRDefault="00EA0BCD" w:rsidP="008371D1">
            <w:pPr>
              <w:autoSpaceDE w:val="0"/>
              <w:autoSpaceDN w:val="0"/>
              <w:adjustRightInd w:val="0"/>
              <w:rPr>
                <w:sz w:val="20"/>
                <w:szCs w:val="20"/>
              </w:rPr>
            </w:pPr>
            <w:r w:rsidRPr="00126FE8">
              <w:rPr>
                <w:sz w:val="20"/>
                <w:szCs w:val="20"/>
                <w:lang w:eastAsia="en-US"/>
              </w:rPr>
              <w:t>Le projet concerné provoquera-t-il la perte permanente ou temporaire de récoltes, arbres fruitiers, ou</w:t>
            </w:r>
            <w:r w:rsidR="00725162" w:rsidRPr="00946E7A">
              <w:rPr>
                <w:sz w:val="20"/>
                <w:szCs w:val="20"/>
                <w:lang w:eastAsia="en-US"/>
              </w:rPr>
              <w:t xml:space="preserve"> </w:t>
            </w:r>
            <w:r w:rsidRPr="00946E7A">
              <w:rPr>
                <w:sz w:val="20"/>
                <w:szCs w:val="20"/>
                <w:lang w:eastAsia="en-US"/>
              </w:rPr>
              <w:t>infrastructures domestiques ?</w:t>
            </w:r>
          </w:p>
        </w:tc>
        <w:tc>
          <w:tcPr>
            <w:tcW w:w="297" w:type="pct"/>
          </w:tcPr>
          <w:p w:rsidR="001E62BC" w:rsidRPr="00126FE8" w:rsidRDefault="001E62BC" w:rsidP="00126FE8">
            <w:pPr>
              <w:rPr>
                <w:sz w:val="20"/>
                <w:szCs w:val="20"/>
              </w:rPr>
            </w:pPr>
          </w:p>
        </w:tc>
        <w:tc>
          <w:tcPr>
            <w:tcW w:w="316" w:type="pct"/>
          </w:tcPr>
          <w:p w:rsidR="001E62BC" w:rsidRPr="00126FE8" w:rsidRDefault="001E62BC" w:rsidP="00126FE8">
            <w:pPr>
              <w:rPr>
                <w:sz w:val="20"/>
                <w:szCs w:val="20"/>
              </w:rPr>
            </w:pPr>
          </w:p>
        </w:tc>
        <w:tc>
          <w:tcPr>
            <w:tcW w:w="824" w:type="pct"/>
          </w:tcPr>
          <w:p w:rsidR="001E62BC" w:rsidRPr="00126FE8" w:rsidRDefault="001E62BC" w:rsidP="00126FE8">
            <w:pPr>
              <w:rPr>
                <w:sz w:val="20"/>
                <w:szCs w:val="20"/>
              </w:rPr>
            </w:pPr>
          </w:p>
        </w:tc>
      </w:tr>
      <w:tr w:rsidR="003D1623" w:rsidRPr="00126FE8" w:rsidTr="007652A7">
        <w:trPr>
          <w:trHeight w:val="67"/>
        </w:trPr>
        <w:tc>
          <w:tcPr>
            <w:tcW w:w="5000" w:type="pct"/>
            <w:gridSpan w:val="5"/>
          </w:tcPr>
          <w:p w:rsidR="003D1623" w:rsidRPr="00126FE8" w:rsidRDefault="003D1623" w:rsidP="00126FE8">
            <w:pPr>
              <w:rPr>
                <w:sz w:val="20"/>
                <w:szCs w:val="20"/>
              </w:rPr>
            </w:pPr>
            <w:r w:rsidRPr="00126FE8">
              <w:rPr>
                <w:sz w:val="20"/>
                <w:szCs w:val="20"/>
              </w:rPr>
              <w:t>Pollution et nuisances</w:t>
            </w:r>
          </w:p>
        </w:tc>
      </w:tr>
      <w:tr w:rsidR="003D1623" w:rsidRPr="00126FE8" w:rsidTr="00A3625C">
        <w:trPr>
          <w:trHeight w:val="295"/>
        </w:trPr>
        <w:tc>
          <w:tcPr>
            <w:tcW w:w="340" w:type="pct"/>
          </w:tcPr>
          <w:p w:rsidR="003D1623" w:rsidRPr="00126FE8" w:rsidRDefault="003D1623" w:rsidP="00126FE8">
            <w:pPr>
              <w:rPr>
                <w:sz w:val="20"/>
                <w:szCs w:val="20"/>
              </w:rPr>
            </w:pPr>
            <w:r w:rsidRPr="00126FE8">
              <w:rPr>
                <w:sz w:val="20"/>
                <w:szCs w:val="20"/>
              </w:rPr>
              <w:t>1</w:t>
            </w:r>
            <w:r w:rsidR="00A3625C">
              <w:rPr>
                <w:sz w:val="20"/>
                <w:szCs w:val="20"/>
              </w:rPr>
              <w:t>5</w:t>
            </w:r>
          </w:p>
        </w:tc>
        <w:tc>
          <w:tcPr>
            <w:tcW w:w="3223" w:type="pct"/>
          </w:tcPr>
          <w:p w:rsidR="003D1623" w:rsidRPr="00126FE8" w:rsidRDefault="003D1623" w:rsidP="00126FE8">
            <w:pPr>
              <w:rPr>
                <w:sz w:val="20"/>
                <w:szCs w:val="20"/>
              </w:rPr>
            </w:pPr>
            <w:r w:rsidRPr="00126FE8">
              <w:rPr>
                <w:sz w:val="20"/>
                <w:szCs w:val="20"/>
              </w:rPr>
              <w:t>Le projet pourrait-il occasionner un niveau élevé de bruit?</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A3625C">
        <w:trPr>
          <w:trHeight w:val="295"/>
        </w:trPr>
        <w:tc>
          <w:tcPr>
            <w:tcW w:w="340" w:type="pct"/>
          </w:tcPr>
          <w:p w:rsidR="003D1623" w:rsidRPr="00126FE8" w:rsidRDefault="003D1623" w:rsidP="00126FE8">
            <w:pPr>
              <w:rPr>
                <w:sz w:val="20"/>
                <w:szCs w:val="20"/>
              </w:rPr>
            </w:pPr>
            <w:r w:rsidRPr="00126FE8">
              <w:rPr>
                <w:sz w:val="20"/>
                <w:szCs w:val="20"/>
              </w:rPr>
              <w:t>1</w:t>
            </w:r>
            <w:r w:rsidR="00A3625C">
              <w:rPr>
                <w:sz w:val="20"/>
                <w:szCs w:val="20"/>
              </w:rPr>
              <w:t>6</w:t>
            </w:r>
          </w:p>
        </w:tc>
        <w:tc>
          <w:tcPr>
            <w:tcW w:w="3223" w:type="pct"/>
          </w:tcPr>
          <w:p w:rsidR="003D1623" w:rsidRPr="00126FE8" w:rsidRDefault="003D1623" w:rsidP="00126FE8">
            <w:pPr>
              <w:rPr>
                <w:sz w:val="20"/>
                <w:szCs w:val="20"/>
              </w:rPr>
            </w:pPr>
            <w:r w:rsidRPr="00126FE8">
              <w:rPr>
                <w:sz w:val="20"/>
                <w:szCs w:val="20"/>
              </w:rPr>
              <w:t xml:space="preserve">Le projet risque-t-il de générer des déchets solides et liquides ? Si « oui » recommander un plan pour leur collecte et élimination avec des équipements appropriés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A3625C">
        <w:trPr>
          <w:trHeight w:val="295"/>
        </w:trPr>
        <w:tc>
          <w:tcPr>
            <w:tcW w:w="340" w:type="pct"/>
          </w:tcPr>
          <w:p w:rsidR="003D1623" w:rsidRPr="00126FE8" w:rsidRDefault="003D1623" w:rsidP="00126FE8">
            <w:pPr>
              <w:rPr>
                <w:sz w:val="20"/>
                <w:szCs w:val="20"/>
              </w:rPr>
            </w:pPr>
            <w:r w:rsidRPr="00126FE8">
              <w:rPr>
                <w:sz w:val="20"/>
                <w:szCs w:val="20"/>
              </w:rPr>
              <w:t>1</w:t>
            </w:r>
            <w:r w:rsidR="00725162">
              <w:rPr>
                <w:sz w:val="20"/>
                <w:szCs w:val="20"/>
              </w:rPr>
              <w:t>7</w:t>
            </w:r>
          </w:p>
        </w:tc>
        <w:tc>
          <w:tcPr>
            <w:tcW w:w="3223" w:type="pct"/>
          </w:tcPr>
          <w:p w:rsidR="003D1623" w:rsidRPr="00126FE8" w:rsidRDefault="003D1623" w:rsidP="00126FE8">
            <w:pPr>
              <w:rPr>
                <w:sz w:val="20"/>
                <w:szCs w:val="20"/>
              </w:rPr>
            </w:pPr>
            <w:r w:rsidRPr="00126FE8">
              <w:rPr>
                <w:sz w:val="20"/>
                <w:szCs w:val="20"/>
              </w:rPr>
              <w:t xml:space="preserve"> Le projet pourrait-il affecter la qualité des eaux de surface, souterraine, sources d’eau potable ?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A3625C">
        <w:trPr>
          <w:trHeight w:val="295"/>
        </w:trPr>
        <w:tc>
          <w:tcPr>
            <w:tcW w:w="340" w:type="pct"/>
          </w:tcPr>
          <w:p w:rsidR="003D1623" w:rsidRPr="00126FE8" w:rsidRDefault="003D1623" w:rsidP="00126FE8">
            <w:pPr>
              <w:rPr>
                <w:sz w:val="20"/>
                <w:szCs w:val="20"/>
              </w:rPr>
            </w:pPr>
            <w:r w:rsidRPr="00126FE8">
              <w:rPr>
                <w:sz w:val="20"/>
                <w:szCs w:val="20"/>
              </w:rPr>
              <w:t>1</w:t>
            </w:r>
            <w:r w:rsidR="00725162">
              <w:rPr>
                <w:sz w:val="20"/>
                <w:szCs w:val="20"/>
              </w:rPr>
              <w:t>8</w:t>
            </w:r>
          </w:p>
        </w:tc>
        <w:tc>
          <w:tcPr>
            <w:tcW w:w="3223" w:type="pct"/>
          </w:tcPr>
          <w:p w:rsidR="003D1623" w:rsidRPr="00126FE8" w:rsidRDefault="003D1623" w:rsidP="00126FE8">
            <w:pPr>
              <w:rPr>
                <w:sz w:val="20"/>
                <w:szCs w:val="20"/>
              </w:rPr>
            </w:pPr>
            <w:r w:rsidRPr="00126FE8">
              <w:rPr>
                <w:sz w:val="20"/>
                <w:szCs w:val="20"/>
              </w:rPr>
              <w:t xml:space="preserve">Le projet risque-t-il d’affecter l’atmosphère (poussière, gaz divers)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A3625C">
        <w:trPr>
          <w:trHeight w:val="295"/>
        </w:trPr>
        <w:tc>
          <w:tcPr>
            <w:tcW w:w="340" w:type="pct"/>
          </w:tcPr>
          <w:p w:rsidR="003D1623" w:rsidRPr="00126FE8" w:rsidRDefault="003D1623" w:rsidP="00126FE8">
            <w:pPr>
              <w:rPr>
                <w:sz w:val="20"/>
                <w:szCs w:val="20"/>
              </w:rPr>
            </w:pPr>
            <w:r w:rsidRPr="00126FE8">
              <w:rPr>
                <w:sz w:val="20"/>
                <w:szCs w:val="20"/>
              </w:rPr>
              <w:t>1</w:t>
            </w:r>
            <w:r w:rsidR="00725162">
              <w:rPr>
                <w:sz w:val="20"/>
                <w:szCs w:val="20"/>
              </w:rPr>
              <w:t>9</w:t>
            </w:r>
          </w:p>
        </w:tc>
        <w:tc>
          <w:tcPr>
            <w:tcW w:w="3223" w:type="pct"/>
          </w:tcPr>
          <w:p w:rsidR="003D1623" w:rsidRPr="00126FE8" w:rsidRDefault="003D1623" w:rsidP="00126FE8">
            <w:pPr>
              <w:rPr>
                <w:sz w:val="20"/>
                <w:szCs w:val="20"/>
              </w:rPr>
            </w:pPr>
            <w:r w:rsidRPr="00126FE8">
              <w:rPr>
                <w:sz w:val="20"/>
                <w:szCs w:val="20"/>
              </w:rPr>
              <w:t xml:space="preserve">Le projet entraîne-t-il l’utilisation d’appareils contenant du PCB (polychlorobiphényles) ou une application quelconque d’un Polluant Organique Persistant (POP)? Si Oui, indiquer les dispositions prises pour le respect de la réglementation en la matière.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FF19FC">
        <w:trPr>
          <w:trHeight w:val="295"/>
        </w:trPr>
        <w:tc>
          <w:tcPr>
            <w:tcW w:w="5000" w:type="pct"/>
            <w:gridSpan w:val="5"/>
          </w:tcPr>
          <w:p w:rsidR="003D1623" w:rsidRPr="00126FE8" w:rsidRDefault="003D1623" w:rsidP="00126FE8">
            <w:pPr>
              <w:rPr>
                <w:sz w:val="20"/>
                <w:szCs w:val="20"/>
              </w:rPr>
            </w:pPr>
            <w:r w:rsidRPr="00126FE8">
              <w:rPr>
                <w:sz w:val="20"/>
                <w:szCs w:val="20"/>
              </w:rPr>
              <w:t xml:space="preserve">Déchets biomédicaux </w:t>
            </w:r>
          </w:p>
        </w:tc>
      </w:tr>
      <w:tr w:rsidR="003D1623" w:rsidRPr="00126FE8" w:rsidTr="00A3625C">
        <w:trPr>
          <w:trHeight w:val="295"/>
        </w:trPr>
        <w:tc>
          <w:tcPr>
            <w:tcW w:w="340" w:type="pct"/>
          </w:tcPr>
          <w:p w:rsidR="003D1623" w:rsidRPr="00126FE8" w:rsidRDefault="00725162" w:rsidP="00126FE8">
            <w:pPr>
              <w:rPr>
                <w:sz w:val="20"/>
                <w:szCs w:val="20"/>
              </w:rPr>
            </w:pPr>
            <w:r>
              <w:rPr>
                <w:sz w:val="20"/>
                <w:szCs w:val="20"/>
              </w:rPr>
              <w:t>20</w:t>
            </w:r>
          </w:p>
        </w:tc>
        <w:tc>
          <w:tcPr>
            <w:tcW w:w="3223" w:type="pct"/>
          </w:tcPr>
          <w:p w:rsidR="003D1623" w:rsidRPr="00126FE8" w:rsidRDefault="003D1623" w:rsidP="00126FE8">
            <w:pPr>
              <w:rPr>
                <w:sz w:val="20"/>
                <w:szCs w:val="20"/>
              </w:rPr>
            </w:pPr>
            <w:r w:rsidRPr="00126FE8">
              <w:rPr>
                <w:sz w:val="20"/>
                <w:szCs w:val="20"/>
              </w:rPr>
              <w:t xml:space="preserve">Le projet risque-t-il de générer des déchets biomédicaux ? Si oui décrire les mesures prévues pour leur gestion (voir le Plan de gestion des déchets biomédicaux)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FF19FC">
        <w:trPr>
          <w:trHeight w:val="295"/>
        </w:trPr>
        <w:tc>
          <w:tcPr>
            <w:tcW w:w="5000" w:type="pct"/>
            <w:gridSpan w:val="5"/>
          </w:tcPr>
          <w:p w:rsidR="003D1623" w:rsidRPr="00126FE8" w:rsidRDefault="003D1623" w:rsidP="00126FE8">
            <w:pPr>
              <w:rPr>
                <w:sz w:val="20"/>
                <w:szCs w:val="20"/>
              </w:rPr>
            </w:pPr>
            <w:r w:rsidRPr="00126FE8">
              <w:rPr>
                <w:sz w:val="20"/>
                <w:szCs w:val="20"/>
              </w:rPr>
              <w:t>Inégalités sociales, Conflits, Genre</w:t>
            </w:r>
          </w:p>
        </w:tc>
      </w:tr>
      <w:tr w:rsidR="003D1623" w:rsidRPr="00126FE8" w:rsidTr="00A3625C">
        <w:trPr>
          <w:trHeight w:val="295"/>
        </w:trPr>
        <w:tc>
          <w:tcPr>
            <w:tcW w:w="340" w:type="pct"/>
          </w:tcPr>
          <w:p w:rsidR="003D1623" w:rsidRPr="00126FE8" w:rsidRDefault="00725162" w:rsidP="00126FE8">
            <w:pPr>
              <w:rPr>
                <w:sz w:val="20"/>
                <w:szCs w:val="20"/>
              </w:rPr>
            </w:pPr>
            <w:r>
              <w:rPr>
                <w:sz w:val="20"/>
                <w:szCs w:val="20"/>
              </w:rPr>
              <w:t>21</w:t>
            </w:r>
          </w:p>
        </w:tc>
        <w:tc>
          <w:tcPr>
            <w:tcW w:w="3223" w:type="pct"/>
          </w:tcPr>
          <w:p w:rsidR="003D1623" w:rsidRPr="00126FE8" w:rsidRDefault="003D1623" w:rsidP="00126FE8">
            <w:pPr>
              <w:rPr>
                <w:sz w:val="20"/>
                <w:szCs w:val="20"/>
              </w:rPr>
            </w:pPr>
            <w:r w:rsidRPr="00126FE8">
              <w:rPr>
                <w:sz w:val="20"/>
                <w:szCs w:val="20"/>
              </w:rPr>
              <w:t xml:space="preserve">Le projet peut-il entraîner une accentuation des inégalités sociales ?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A3625C">
        <w:trPr>
          <w:trHeight w:val="295"/>
        </w:trPr>
        <w:tc>
          <w:tcPr>
            <w:tcW w:w="340" w:type="pct"/>
          </w:tcPr>
          <w:p w:rsidR="003D1623" w:rsidRPr="00126FE8" w:rsidRDefault="00725162" w:rsidP="00126FE8">
            <w:pPr>
              <w:rPr>
                <w:sz w:val="20"/>
                <w:szCs w:val="20"/>
              </w:rPr>
            </w:pPr>
            <w:r>
              <w:rPr>
                <w:sz w:val="20"/>
                <w:szCs w:val="20"/>
              </w:rPr>
              <w:t>2</w:t>
            </w:r>
            <w:r w:rsidR="003D1623" w:rsidRPr="00126FE8">
              <w:rPr>
                <w:sz w:val="20"/>
                <w:szCs w:val="20"/>
              </w:rPr>
              <w:t>2</w:t>
            </w:r>
          </w:p>
        </w:tc>
        <w:tc>
          <w:tcPr>
            <w:tcW w:w="3223" w:type="pct"/>
          </w:tcPr>
          <w:p w:rsidR="003D1623" w:rsidRPr="00126FE8" w:rsidRDefault="003D1623" w:rsidP="00126FE8">
            <w:pPr>
              <w:rPr>
                <w:sz w:val="20"/>
                <w:szCs w:val="20"/>
              </w:rPr>
            </w:pPr>
            <w:r w:rsidRPr="00126FE8">
              <w:rPr>
                <w:sz w:val="20"/>
                <w:szCs w:val="20"/>
              </w:rPr>
              <w:t xml:space="preserve">Le projet peut-il entraîner des utilisations incompatibles ou des conflits sociaux entre les différents usagers ?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3D1623" w:rsidRPr="00126FE8" w:rsidTr="00A3625C">
        <w:trPr>
          <w:trHeight w:val="295"/>
        </w:trPr>
        <w:tc>
          <w:tcPr>
            <w:tcW w:w="340" w:type="pct"/>
          </w:tcPr>
          <w:p w:rsidR="003D1623" w:rsidRPr="00126FE8" w:rsidRDefault="00725162" w:rsidP="00126FE8">
            <w:pPr>
              <w:rPr>
                <w:sz w:val="20"/>
                <w:szCs w:val="20"/>
              </w:rPr>
            </w:pPr>
            <w:r>
              <w:rPr>
                <w:sz w:val="20"/>
                <w:szCs w:val="20"/>
              </w:rPr>
              <w:t>23</w:t>
            </w:r>
            <w:r w:rsidR="003D1623" w:rsidRPr="00126FE8">
              <w:rPr>
                <w:sz w:val="20"/>
                <w:szCs w:val="20"/>
              </w:rPr>
              <w:t>.</w:t>
            </w:r>
          </w:p>
        </w:tc>
        <w:tc>
          <w:tcPr>
            <w:tcW w:w="3223" w:type="pct"/>
          </w:tcPr>
          <w:p w:rsidR="003D1623" w:rsidRPr="00126FE8" w:rsidRDefault="003D1623" w:rsidP="00126FE8">
            <w:pPr>
              <w:rPr>
                <w:sz w:val="20"/>
                <w:szCs w:val="20"/>
              </w:rPr>
            </w:pPr>
            <w:r w:rsidRPr="00126FE8">
              <w:rPr>
                <w:sz w:val="20"/>
                <w:szCs w:val="20"/>
              </w:rPr>
              <w:t>Le projet défavorise-t-il l’intégration des femmes et autres couches vulnérables ?</w:t>
            </w:r>
          </w:p>
        </w:tc>
        <w:tc>
          <w:tcPr>
            <w:tcW w:w="297" w:type="pct"/>
          </w:tcPr>
          <w:p w:rsidR="003D1623" w:rsidRPr="00126FE8" w:rsidRDefault="003D1623" w:rsidP="00126FE8">
            <w:pPr>
              <w:rPr>
                <w:sz w:val="20"/>
                <w:szCs w:val="20"/>
              </w:rPr>
            </w:pPr>
          </w:p>
        </w:tc>
        <w:tc>
          <w:tcPr>
            <w:tcW w:w="316" w:type="pct"/>
          </w:tcPr>
          <w:p w:rsidR="003D1623" w:rsidRPr="00126FE8" w:rsidRDefault="003D1623" w:rsidP="00126FE8">
            <w:pPr>
              <w:rPr>
                <w:sz w:val="20"/>
                <w:szCs w:val="20"/>
              </w:rPr>
            </w:pPr>
          </w:p>
        </w:tc>
        <w:tc>
          <w:tcPr>
            <w:tcW w:w="824" w:type="pct"/>
          </w:tcPr>
          <w:p w:rsidR="003D1623" w:rsidRPr="00126FE8" w:rsidRDefault="003D1623" w:rsidP="00126FE8">
            <w:pPr>
              <w:rPr>
                <w:sz w:val="20"/>
                <w:szCs w:val="20"/>
              </w:rPr>
            </w:pPr>
          </w:p>
        </w:tc>
      </w:tr>
      <w:tr w:rsidR="00C614F6" w:rsidRPr="00126FE8" w:rsidTr="00A3625C">
        <w:trPr>
          <w:trHeight w:val="295"/>
        </w:trPr>
        <w:tc>
          <w:tcPr>
            <w:tcW w:w="340" w:type="pct"/>
          </w:tcPr>
          <w:p w:rsidR="00C614F6" w:rsidRPr="00126FE8" w:rsidRDefault="00F60632" w:rsidP="00126FE8">
            <w:pPr>
              <w:rPr>
                <w:sz w:val="20"/>
                <w:szCs w:val="20"/>
              </w:rPr>
            </w:pPr>
            <w:r>
              <w:rPr>
                <w:sz w:val="20"/>
                <w:szCs w:val="20"/>
              </w:rPr>
              <w:t>24</w:t>
            </w:r>
          </w:p>
        </w:tc>
        <w:tc>
          <w:tcPr>
            <w:tcW w:w="3223" w:type="pct"/>
          </w:tcPr>
          <w:p w:rsidR="00C614F6" w:rsidRPr="00126FE8" w:rsidRDefault="00C614F6" w:rsidP="00126FE8">
            <w:pPr>
              <w:rPr>
                <w:sz w:val="20"/>
                <w:szCs w:val="20"/>
              </w:rPr>
            </w:pPr>
            <w:r w:rsidRPr="00126FE8">
              <w:rPr>
                <w:sz w:val="20"/>
                <w:szCs w:val="20"/>
              </w:rPr>
              <w:t>Le projet peut-elle entraîner une accentuation des inégalités sociales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E404A6" w:rsidRPr="00126FE8" w:rsidTr="00A3625C">
        <w:trPr>
          <w:trHeight w:val="295"/>
        </w:trPr>
        <w:tc>
          <w:tcPr>
            <w:tcW w:w="340" w:type="pct"/>
          </w:tcPr>
          <w:p w:rsidR="00E404A6" w:rsidRPr="00126FE8" w:rsidRDefault="00F60632" w:rsidP="00126FE8">
            <w:pPr>
              <w:rPr>
                <w:sz w:val="20"/>
                <w:szCs w:val="20"/>
              </w:rPr>
            </w:pPr>
            <w:r>
              <w:rPr>
                <w:sz w:val="20"/>
                <w:szCs w:val="20"/>
              </w:rPr>
              <w:t>25</w:t>
            </w:r>
          </w:p>
        </w:tc>
        <w:tc>
          <w:tcPr>
            <w:tcW w:w="3223" w:type="pct"/>
          </w:tcPr>
          <w:p w:rsidR="00E404A6" w:rsidRPr="00126FE8" w:rsidRDefault="00C614F6" w:rsidP="00126FE8">
            <w:pPr>
              <w:rPr>
                <w:sz w:val="20"/>
                <w:szCs w:val="20"/>
              </w:rPr>
            </w:pPr>
            <w:r w:rsidRPr="00126FE8">
              <w:rPr>
                <w:sz w:val="20"/>
                <w:szCs w:val="20"/>
              </w:rPr>
              <w:t>Le projet peut-il entraîner des utilisations incompatibles ou des conflits sociaux entre les différents usagers et les propriétaires du territoire (lieux sacrés, sites traditionnels)?</w:t>
            </w:r>
          </w:p>
        </w:tc>
        <w:tc>
          <w:tcPr>
            <w:tcW w:w="297" w:type="pct"/>
          </w:tcPr>
          <w:p w:rsidR="00E404A6" w:rsidRPr="00126FE8" w:rsidRDefault="00E404A6" w:rsidP="00126FE8">
            <w:pPr>
              <w:rPr>
                <w:sz w:val="20"/>
                <w:szCs w:val="20"/>
              </w:rPr>
            </w:pPr>
          </w:p>
        </w:tc>
        <w:tc>
          <w:tcPr>
            <w:tcW w:w="316" w:type="pct"/>
          </w:tcPr>
          <w:p w:rsidR="00E404A6" w:rsidRPr="00126FE8" w:rsidRDefault="00E404A6" w:rsidP="00126FE8">
            <w:pPr>
              <w:rPr>
                <w:sz w:val="20"/>
                <w:szCs w:val="20"/>
              </w:rPr>
            </w:pPr>
          </w:p>
        </w:tc>
        <w:tc>
          <w:tcPr>
            <w:tcW w:w="824" w:type="pct"/>
          </w:tcPr>
          <w:p w:rsidR="00E404A6" w:rsidRPr="00126FE8" w:rsidRDefault="00E404A6" w:rsidP="00126FE8">
            <w:pPr>
              <w:rPr>
                <w:sz w:val="20"/>
                <w:szCs w:val="20"/>
              </w:rPr>
            </w:pPr>
          </w:p>
        </w:tc>
      </w:tr>
      <w:tr w:rsidR="00C614F6" w:rsidRPr="00126FE8" w:rsidTr="00A3625C">
        <w:trPr>
          <w:trHeight w:val="295"/>
        </w:trPr>
        <w:tc>
          <w:tcPr>
            <w:tcW w:w="340" w:type="pct"/>
          </w:tcPr>
          <w:p w:rsidR="00C614F6" w:rsidRPr="00126FE8" w:rsidRDefault="00F60632" w:rsidP="00126FE8">
            <w:pPr>
              <w:rPr>
                <w:sz w:val="20"/>
                <w:szCs w:val="20"/>
              </w:rPr>
            </w:pPr>
            <w:r>
              <w:rPr>
                <w:sz w:val="20"/>
                <w:szCs w:val="20"/>
              </w:rPr>
              <w:t>26</w:t>
            </w:r>
          </w:p>
        </w:tc>
        <w:tc>
          <w:tcPr>
            <w:tcW w:w="3223" w:type="pct"/>
          </w:tcPr>
          <w:p w:rsidR="00C614F6" w:rsidRPr="00126FE8" w:rsidRDefault="00C614F6" w:rsidP="00126FE8">
            <w:pPr>
              <w:rPr>
                <w:sz w:val="20"/>
                <w:szCs w:val="20"/>
              </w:rPr>
            </w:pPr>
            <w:r w:rsidRPr="00126FE8">
              <w:rPr>
                <w:sz w:val="20"/>
                <w:szCs w:val="20"/>
              </w:rPr>
              <w:t xml:space="preserve">Le projet peut-il entraîner un déplacement de main d’œuvre (pas de recrutement sur place) ?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C614F6" w:rsidRPr="00126FE8" w:rsidTr="00FF19FC">
        <w:trPr>
          <w:trHeight w:val="295"/>
        </w:trPr>
        <w:tc>
          <w:tcPr>
            <w:tcW w:w="5000" w:type="pct"/>
            <w:gridSpan w:val="5"/>
          </w:tcPr>
          <w:p w:rsidR="00C614F6" w:rsidRPr="00126FE8" w:rsidRDefault="00C614F6" w:rsidP="00126FE8">
            <w:pPr>
              <w:rPr>
                <w:sz w:val="20"/>
                <w:szCs w:val="20"/>
              </w:rPr>
            </w:pPr>
            <w:r w:rsidRPr="00126FE8">
              <w:rPr>
                <w:sz w:val="20"/>
                <w:szCs w:val="20"/>
              </w:rPr>
              <w:t xml:space="preserve"> Santé, Sécurité</w:t>
            </w:r>
          </w:p>
        </w:tc>
      </w:tr>
      <w:tr w:rsidR="00C614F6" w:rsidRPr="00126FE8" w:rsidTr="00A3625C">
        <w:trPr>
          <w:trHeight w:val="295"/>
        </w:trPr>
        <w:tc>
          <w:tcPr>
            <w:tcW w:w="340" w:type="pct"/>
          </w:tcPr>
          <w:p w:rsidR="00C614F6" w:rsidRPr="00126FE8" w:rsidRDefault="00C614F6" w:rsidP="00126FE8">
            <w:pPr>
              <w:rPr>
                <w:sz w:val="20"/>
                <w:szCs w:val="20"/>
              </w:rPr>
            </w:pPr>
            <w:r w:rsidRPr="00126FE8">
              <w:rPr>
                <w:sz w:val="20"/>
                <w:szCs w:val="20"/>
              </w:rPr>
              <w:t>2</w:t>
            </w:r>
            <w:r w:rsidR="00F60632">
              <w:rPr>
                <w:sz w:val="20"/>
                <w:szCs w:val="20"/>
              </w:rPr>
              <w:t>7</w:t>
            </w:r>
            <w:r w:rsidRPr="00126FE8">
              <w:rPr>
                <w:sz w:val="20"/>
                <w:szCs w:val="20"/>
              </w:rPr>
              <w:t>.</w:t>
            </w:r>
          </w:p>
        </w:tc>
        <w:tc>
          <w:tcPr>
            <w:tcW w:w="3223" w:type="pct"/>
          </w:tcPr>
          <w:p w:rsidR="00C614F6" w:rsidRPr="00126FE8" w:rsidRDefault="00C614F6" w:rsidP="00126FE8">
            <w:pPr>
              <w:rPr>
                <w:sz w:val="20"/>
                <w:szCs w:val="20"/>
              </w:rPr>
            </w:pPr>
            <w:r w:rsidRPr="00126FE8">
              <w:rPr>
                <w:sz w:val="20"/>
                <w:szCs w:val="20"/>
              </w:rPr>
              <w:t>Le projet peut-il induire des risques d’accidents des travailleurs ou de la population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C614F6" w:rsidRPr="00126FE8" w:rsidTr="00A3625C">
        <w:trPr>
          <w:trHeight w:val="295"/>
        </w:trPr>
        <w:tc>
          <w:tcPr>
            <w:tcW w:w="340" w:type="pct"/>
          </w:tcPr>
          <w:p w:rsidR="00C614F6" w:rsidRPr="00126FE8" w:rsidRDefault="00C614F6" w:rsidP="00126FE8">
            <w:pPr>
              <w:rPr>
                <w:sz w:val="20"/>
                <w:szCs w:val="20"/>
              </w:rPr>
            </w:pPr>
            <w:r w:rsidRPr="00126FE8">
              <w:rPr>
                <w:sz w:val="20"/>
                <w:szCs w:val="20"/>
              </w:rPr>
              <w:t>2</w:t>
            </w:r>
            <w:r w:rsidR="00F60632">
              <w:rPr>
                <w:sz w:val="20"/>
                <w:szCs w:val="20"/>
              </w:rPr>
              <w:t>8</w:t>
            </w:r>
            <w:r w:rsidRPr="00126FE8">
              <w:rPr>
                <w:sz w:val="20"/>
                <w:szCs w:val="20"/>
              </w:rPr>
              <w:t>.</w:t>
            </w:r>
          </w:p>
        </w:tc>
        <w:tc>
          <w:tcPr>
            <w:tcW w:w="3223" w:type="pct"/>
          </w:tcPr>
          <w:p w:rsidR="00C614F6" w:rsidRPr="00126FE8" w:rsidRDefault="00C614F6" w:rsidP="00126FE8">
            <w:pPr>
              <w:rPr>
                <w:sz w:val="20"/>
                <w:szCs w:val="20"/>
              </w:rPr>
            </w:pPr>
            <w:r w:rsidRPr="00126FE8">
              <w:rPr>
                <w:sz w:val="20"/>
                <w:szCs w:val="20"/>
              </w:rPr>
              <w:t xml:space="preserve"> Le projet peut-il causer des risques pour la santé des travailleurs ou de la population ?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C614F6" w:rsidRPr="00126FE8" w:rsidTr="00A3625C">
        <w:trPr>
          <w:trHeight w:val="295"/>
        </w:trPr>
        <w:tc>
          <w:tcPr>
            <w:tcW w:w="340" w:type="pct"/>
          </w:tcPr>
          <w:p w:rsidR="00C614F6" w:rsidRPr="00126FE8" w:rsidRDefault="00C614F6" w:rsidP="00126FE8">
            <w:pPr>
              <w:rPr>
                <w:sz w:val="20"/>
                <w:szCs w:val="20"/>
              </w:rPr>
            </w:pPr>
            <w:r w:rsidRPr="00126FE8">
              <w:rPr>
                <w:sz w:val="20"/>
                <w:szCs w:val="20"/>
              </w:rPr>
              <w:t>2</w:t>
            </w:r>
            <w:r w:rsidR="00F60632">
              <w:rPr>
                <w:sz w:val="20"/>
                <w:szCs w:val="20"/>
              </w:rPr>
              <w:t>9</w:t>
            </w:r>
            <w:r w:rsidRPr="00126FE8">
              <w:rPr>
                <w:sz w:val="20"/>
                <w:szCs w:val="20"/>
              </w:rPr>
              <w:t>.</w:t>
            </w:r>
          </w:p>
        </w:tc>
        <w:tc>
          <w:tcPr>
            <w:tcW w:w="3223" w:type="pct"/>
          </w:tcPr>
          <w:p w:rsidR="00C614F6" w:rsidRPr="00126FE8" w:rsidRDefault="00C614F6" w:rsidP="00126FE8">
            <w:pPr>
              <w:rPr>
                <w:sz w:val="20"/>
                <w:szCs w:val="20"/>
              </w:rPr>
            </w:pPr>
            <w:r w:rsidRPr="00126FE8">
              <w:rPr>
                <w:sz w:val="20"/>
                <w:szCs w:val="20"/>
              </w:rPr>
              <w:t xml:space="preserve">Le projet peut-il entraîner une augmentation des vecteurs de maladies ?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C614F6" w:rsidRPr="00126FE8" w:rsidTr="00A3625C">
        <w:trPr>
          <w:trHeight w:val="295"/>
        </w:trPr>
        <w:tc>
          <w:tcPr>
            <w:tcW w:w="3563" w:type="pct"/>
            <w:gridSpan w:val="2"/>
          </w:tcPr>
          <w:p w:rsidR="00C614F6" w:rsidRPr="00126FE8" w:rsidRDefault="00C614F6" w:rsidP="00126FE8">
            <w:pPr>
              <w:rPr>
                <w:sz w:val="20"/>
                <w:szCs w:val="20"/>
              </w:rPr>
            </w:pPr>
            <w:r w:rsidRPr="00126FE8">
              <w:rPr>
                <w:sz w:val="20"/>
                <w:szCs w:val="20"/>
              </w:rPr>
              <w:t xml:space="preserve">Equipements socioéducatifs et sanitaires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C614F6" w:rsidRPr="00126FE8" w:rsidTr="00A3625C">
        <w:trPr>
          <w:trHeight w:val="295"/>
        </w:trPr>
        <w:tc>
          <w:tcPr>
            <w:tcW w:w="340" w:type="pct"/>
          </w:tcPr>
          <w:p w:rsidR="00C614F6" w:rsidRPr="00126FE8" w:rsidRDefault="00F60632" w:rsidP="00126FE8">
            <w:pPr>
              <w:rPr>
                <w:sz w:val="20"/>
                <w:szCs w:val="20"/>
              </w:rPr>
            </w:pPr>
            <w:r>
              <w:rPr>
                <w:sz w:val="20"/>
                <w:szCs w:val="20"/>
              </w:rPr>
              <w:t>30</w:t>
            </w:r>
          </w:p>
        </w:tc>
        <w:tc>
          <w:tcPr>
            <w:tcW w:w="3223" w:type="pct"/>
          </w:tcPr>
          <w:p w:rsidR="00C614F6" w:rsidRPr="00126FE8" w:rsidRDefault="00C614F6" w:rsidP="00126FE8">
            <w:pPr>
              <w:rPr>
                <w:sz w:val="20"/>
                <w:szCs w:val="20"/>
              </w:rPr>
            </w:pPr>
            <w:r w:rsidRPr="00126FE8">
              <w:rPr>
                <w:sz w:val="20"/>
                <w:szCs w:val="20"/>
              </w:rPr>
              <w:t xml:space="preserve">Le projet peut-il affecter négativement le fonctionnement des infrastructures socioéducatives et sanitaires environnantes ?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C614F6" w:rsidRPr="00126FE8" w:rsidTr="00A3625C">
        <w:trPr>
          <w:trHeight w:val="295"/>
        </w:trPr>
        <w:tc>
          <w:tcPr>
            <w:tcW w:w="3563" w:type="pct"/>
            <w:gridSpan w:val="2"/>
          </w:tcPr>
          <w:p w:rsidR="00C614F6" w:rsidRPr="00126FE8" w:rsidRDefault="00C614F6" w:rsidP="00126FE8">
            <w:pPr>
              <w:rPr>
                <w:sz w:val="20"/>
                <w:szCs w:val="20"/>
              </w:rPr>
            </w:pPr>
            <w:r w:rsidRPr="00126FE8">
              <w:rPr>
                <w:sz w:val="20"/>
                <w:szCs w:val="20"/>
              </w:rPr>
              <w:t xml:space="preserve">Patrimoine culturel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C614F6" w:rsidRPr="00126FE8" w:rsidTr="00A3625C">
        <w:trPr>
          <w:trHeight w:val="295"/>
        </w:trPr>
        <w:tc>
          <w:tcPr>
            <w:tcW w:w="340" w:type="pct"/>
          </w:tcPr>
          <w:p w:rsidR="00C614F6" w:rsidRPr="00126FE8" w:rsidRDefault="00C614F6" w:rsidP="00126FE8">
            <w:pPr>
              <w:rPr>
                <w:sz w:val="20"/>
                <w:szCs w:val="20"/>
              </w:rPr>
            </w:pPr>
            <w:r w:rsidRPr="00126FE8">
              <w:rPr>
                <w:sz w:val="20"/>
                <w:szCs w:val="20"/>
              </w:rPr>
              <w:t>3</w:t>
            </w:r>
            <w:r w:rsidR="00F60632">
              <w:rPr>
                <w:sz w:val="20"/>
                <w:szCs w:val="20"/>
              </w:rPr>
              <w:t>1</w:t>
            </w:r>
          </w:p>
        </w:tc>
        <w:tc>
          <w:tcPr>
            <w:tcW w:w="3223" w:type="pct"/>
          </w:tcPr>
          <w:p w:rsidR="00C614F6" w:rsidRPr="00126FE8" w:rsidRDefault="00C614F6" w:rsidP="00126FE8">
            <w:pPr>
              <w:rPr>
                <w:sz w:val="20"/>
                <w:szCs w:val="20"/>
              </w:rPr>
            </w:pPr>
            <w:r w:rsidRPr="00126FE8">
              <w:rPr>
                <w:sz w:val="20"/>
                <w:szCs w:val="20"/>
              </w:rPr>
              <w:t xml:space="preserve">Le projet risque-t-il d’affecter des sites d’importance culturelle, archéologique ou historique ?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C614F6" w:rsidRPr="00126FE8" w:rsidTr="00A3625C">
        <w:trPr>
          <w:trHeight w:val="295"/>
        </w:trPr>
        <w:tc>
          <w:tcPr>
            <w:tcW w:w="340" w:type="pct"/>
          </w:tcPr>
          <w:p w:rsidR="00C614F6" w:rsidRPr="00126FE8" w:rsidRDefault="00C614F6" w:rsidP="00126FE8">
            <w:pPr>
              <w:rPr>
                <w:sz w:val="20"/>
                <w:szCs w:val="20"/>
              </w:rPr>
            </w:pPr>
            <w:r w:rsidRPr="00126FE8">
              <w:rPr>
                <w:sz w:val="20"/>
                <w:szCs w:val="20"/>
              </w:rPr>
              <w:t>3</w:t>
            </w:r>
            <w:r w:rsidR="00F60632">
              <w:rPr>
                <w:sz w:val="20"/>
                <w:szCs w:val="20"/>
              </w:rPr>
              <w:t>2</w:t>
            </w:r>
          </w:p>
        </w:tc>
        <w:tc>
          <w:tcPr>
            <w:tcW w:w="3223" w:type="pct"/>
          </w:tcPr>
          <w:p w:rsidR="00C614F6" w:rsidRPr="00126FE8" w:rsidRDefault="00C614F6" w:rsidP="00126FE8">
            <w:pPr>
              <w:rPr>
                <w:sz w:val="20"/>
                <w:szCs w:val="20"/>
              </w:rPr>
            </w:pPr>
            <w:r w:rsidRPr="00126FE8">
              <w:rPr>
                <w:sz w:val="20"/>
                <w:szCs w:val="20"/>
              </w:rPr>
              <w:t xml:space="preserve">Le bénéficiaire du projet ne dispose pas d’un mécanisme de gestion, d’exploitation et d’entretien du </w:t>
            </w:r>
            <w:r w:rsidR="001E6141" w:rsidRPr="00126FE8">
              <w:rPr>
                <w:sz w:val="20"/>
                <w:szCs w:val="20"/>
              </w:rPr>
              <w:t>projet ?</w:t>
            </w:r>
            <w:r w:rsidRPr="00126FE8">
              <w:rPr>
                <w:sz w:val="20"/>
                <w:szCs w:val="20"/>
              </w:rPr>
              <w:t xml:space="preserve"> </w:t>
            </w:r>
          </w:p>
        </w:tc>
        <w:tc>
          <w:tcPr>
            <w:tcW w:w="297" w:type="pct"/>
          </w:tcPr>
          <w:p w:rsidR="00C614F6" w:rsidRPr="00126FE8" w:rsidRDefault="00C614F6" w:rsidP="00126FE8">
            <w:pPr>
              <w:rPr>
                <w:sz w:val="20"/>
                <w:szCs w:val="20"/>
              </w:rPr>
            </w:pPr>
          </w:p>
        </w:tc>
        <w:tc>
          <w:tcPr>
            <w:tcW w:w="316" w:type="pct"/>
          </w:tcPr>
          <w:p w:rsidR="00C614F6" w:rsidRPr="00126FE8" w:rsidRDefault="00C614F6" w:rsidP="00126FE8">
            <w:pPr>
              <w:rPr>
                <w:sz w:val="20"/>
                <w:szCs w:val="20"/>
              </w:rPr>
            </w:pPr>
          </w:p>
        </w:tc>
        <w:tc>
          <w:tcPr>
            <w:tcW w:w="824" w:type="pct"/>
          </w:tcPr>
          <w:p w:rsidR="00C614F6" w:rsidRPr="00126FE8" w:rsidRDefault="00C614F6" w:rsidP="00126FE8">
            <w:pPr>
              <w:rPr>
                <w:sz w:val="20"/>
                <w:szCs w:val="20"/>
              </w:rPr>
            </w:pPr>
          </w:p>
        </w:tc>
      </w:tr>
      <w:tr w:rsidR="002A6174" w:rsidRPr="00126FE8" w:rsidTr="00A3625C">
        <w:trPr>
          <w:trHeight w:val="295"/>
        </w:trPr>
        <w:tc>
          <w:tcPr>
            <w:tcW w:w="340" w:type="pct"/>
          </w:tcPr>
          <w:p w:rsidR="002A6174" w:rsidRPr="00126FE8" w:rsidRDefault="00F60632" w:rsidP="00126FE8">
            <w:pPr>
              <w:rPr>
                <w:sz w:val="20"/>
                <w:szCs w:val="20"/>
              </w:rPr>
            </w:pPr>
            <w:r>
              <w:rPr>
                <w:sz w:val="20"/>
                <w:szCs w:val="20"/>
              </w:rPr>
              <w:t>33</w:t>
            </w:r>
          </w:p>
        </w:tc>
        <w:tc>
          <w:tcPr>
            <w:tcW w:w="3223" w:type="pct"/>
          </w:tcPr>
          <w:p w:rsidR="002A6174" w:rsidRPr="00126FE8" w:rsidRDefault="002A6174" w:rsidP="00126FE8">
            <w:pPr>
              <w:rPr>
                <w:sz w:val="20"/>
                <w:szCs w:val="20"/>
              </w:rPr>
            </w:pPr>
            <w:r w:rsidRPr="00126FE8">
              <w:rPr>
                <w:b/>
                <w:bCs/>
                <w:sz w:val="20"/>
                <w:szCs w:val="20"/>
                <w:lang w:val="en-US" w:eastAsia="en-US"/>
              </w:rPr>
              <w:t>Consultation du public</w:t>
            </w:r>
          </w:p>
        </w:tc>
        <w:tc>
          <w:tcPr>
            <w:tcW w:w="297" w:type="pct"/>
          </w:tcPr>
          <w:p w:rsidR="002A6174" w:rsidRPr="00126FE8" w:rsidRDefault="002A6174" w:rsidP="00126FE8">
            <w:pPr>
              <w:rPr>
                <w:sz w:val="20"/>
                <w:szCs w:val="20"/>
              </w:rPr>
            </w:pPr>
          </w:p>
        </w:tc>
        <w:tc>
          <w:tcPr>
            <w:tcW w:w="316" w:type="pct"/>
          </w:tcPr>
          <w:p w:rsidR="002A6174" w:rsidRPr="00126FE8" w:rsidRDefault="002A6174" w:rsidP="00126FE8">
            <w:pPr>
              <w:rPr>
                <w:sz w:val="20"/>
                <w:szCs w:val="20"/>
              </w:rPr>
            </w:pPr>
          </w:p>
        </w:tc>
        <w:tc>
          <w:tcPr>
            <w:tcW w:w="824" w:type="pct"/>
          </w:tcPr>
          <w:p w:rsidR="002A6174" w:rsidRPr="00126FE8" w:rsidRDefault="002A6174" w:rsidP="00126FE8">
            <w:pPr>
              <w:rPr>
                <w:sz w:val="20"/>
                <w:szCs w:val="20"/>
              </w:rPr>
            </w:pPr>
          </w:p>
        </w:tc>
      </w:tr>
      <w:tr w:rsidR="002A6174" w:rsidRPr="00126FE8" w:rsidTr="00A3625C">
        <w:trPr>
          <w:trHeight w:val="295"/>
        </w:trPr>
        <w:tc>
          <w:tcPr>
            <w:tcW w:w="340" w:type="pct"/>
          </w:tcPr>
          <w:p w:rsidR="002A6174" w:rsidRPr="00126FE8" w:rsidRDefault="00F60632" w:rsidP="00126FE8">
            <w:pPr>
              <w:rPr>
                <w:sz w:val="20"/>
                <w:szCs w:val="20"/>
              </w:rPr>
            </w:pPr>
            <w:r>
              <w:rPr>
                <w:sz w:val="20"/>
                <w:szCs w:val="20"/>
              </w:rPr>
              <w:t>34</w:t>
            </w:r>
          </w:p>
        </w:tc>
        <w:tc>
          <w:tcPr>
            <w:tcW w:w="3223" w:type="pct"/>
          </w:tcPr>
          <w:p w:rsidR="002A6174" w:rsidRPr="00126FE8" w:rsidRDefault="005456A1" w:rsidP="008371D1">
            <w:pPr>
              <w:autoSpaceDE w:val="0"/>
              <w:autoSpaceDN w:val="0"/>
              <w:adjustRightInd w:val="0"/>
              <w:rPr>
                <w:sz w:val="20"/>
                <w:szCs w:val="20"/>
              </w:rPr>
            </w:pPr>
            <w:r w:rsidRPr="00126FE8">
              <w:rPr>
                <w:sz w:val="20"/>
                <w:szCs w:val="20"/>
                <w:lang w:eastAsia="en-US"/>
              </w:rPr>
              <w:t xml:space="preserve">Lors de la préparation et la mise en </w:t>
            </w:r>
            <w:r w:rsidR="001E6141" w:rsidRPr="00126FE8">
              <w:rPr>
                <w:sz w:val="20"/>
                <w:szCs w:val="20"/>
                <w:lang w:eastAsia="en-US"/>
              </w:rPr>
              <w:t>œuvre</w:t>
            </w:r>
            <w:r w:rsidRPr="00126FE8">
              <w:rPr>
                <w:sz w:val="20"/>
                <w:szCs w:val="20"/>
                <w:lang w:eastAsia="en-US"/>
              </w:rPr>
              <w:t xml:space="preserve"> du projet, la consultation et la participation du public </w:t>
            </w:r>
            <w:r w:rsidR="001E6141" w:rsidRPr="00126FE8">
              <w:rPr>
                <w:sz w:val="20"/>
                <w:szCs w:val="20"/>
                <w:lang w:eastAsia="en-US"/>
              </w:rPr>
              <w:t>sont-elles</w:t>
            </w:r>
            <w:r w:rsidR="007B4D24" w:rsidRPr="00946E7A">
              <w:rPr>
                <w:sz w:val="20"/>
                <w:szCs w:val="20"/>
                <w:lang w:eastAsia="en-US"/>
              </w:rPr>
              <w:t xml:space="preserve"> </w:t>
            </w:r>
            <w:r w:rsidRPr="00946E7A">
              <w:rPr>
                <w:sz w:val="20"/>
                <w:szCs w:val="20"/>
                <w:lang w:eastAsia="en-US"/>
              </w:rPr>
              <w:t xml:space="preserve">été </w:t>
            </w:r>
            <w:r w:rsidR="001E6141" w:rsidRPr="00946E7A">
              <w:rPr>
                <w:sz w:val="20"/>
                <w:szCs w:val="20"/>
                <w:lang w:eastAsia="en-US"/>
              </w:rPr>
              <w:t>recherchées ?</w:t>
            </w:r>
          </w:p>
        </w:tc>
        <w:tc>
          <w:tcPr>
            <w:tcW w:w="297" w:type="pct"/>
          </w:tcPr>
          <w:p w:rsidR="002A6174" w:rsidRPr="00126FE8" w:rsidRDefault="002A6174" w:rsidP="00126FE8">
            <w:pPr>
              <w:rPr>
                <w:sz w:val="20"/>
                <w:szCs w:val="20"/>
              </w:rPr>
            </w:pPr>
          </w:p>
        </w:tc>
        <w:tc>
          <w:tcPr>
            <w:tcW w:w="316" w:type="pct"/>
          </w:tcPr>
          <w:p w:rsidR="002A6174" w:rsidRPr="00126FE8" w:rsidRDefault="002A6174" w:rsidP="00126FE8">
            <w:pPr>
              <w:rPr>
                <w:sz w:val="20"/>
                <w:szCs w:val="20"/>
              </w:rPr>
            </w:pPr>
          </w:p>
        </w:tc>
        <w:tc>
          <w:tcPr>
            <w:tcW w:w="824" w:type="pct"/>
          </w:tcPr>
          <w:p w:rsidR="002A6174" w:rsidRPr="00126FE8" w:rsidRDefault="002A6174" w:rsidP="00126FE8">
            <w:pPr>
              <w:rPr>
                <w:sz w:val="20"/>
                <w:szCs w:val="20"/>
              </w:rPr>
            </w:pPr>
          </w:p>
        </w:tc>
      </w:tr>
    </w:tbl>
    <w:p w:rsidR="003D1623" w:rsidRPr="00126FE8" w:rsidRDefault="003D1623" w:rsidP="00126FE8">
      <w:pPr>
        <w:rPr>
          <w:sz w:val="20"/>
          <w:szCs w:val="20"/>
        </w:rPr>
      </w:pPr>
      <w:r w:rsidRPr="00126FE8">
        <w:rPr>
          <w:b/>
          <w:sz w:val="20"/>
          <w:szCs w:val="20"/>
          <w:u w:val="single"/>
        </w:rPr>
        <w:t>PARTIE C : Mesures d’atténuation Au vu du Checklist sur les Impacts et Mesures d’atténuation</w:t>
      </w:r>
      <w:r w:rsidRPr="00126FE8">
        <w:rPr>
          <w:sz w:val="20"/>
          <w:szCs w:val="20"/>
        </w:rPr>
        <w:t xml:space="preserve"> (document fourni à part), décrire brièvement les mesures d’atténuation ou de bonification qui doivent être prises dans le cadre de la mise en œuvre du projet. </w:t>
      </w:r>
    </w:p>
    <w:tbl>
      <w:tblPr>
        <w:tblStyle w:val="Tabelacomgrelha"/>
        <w:tblW w:w="0" w:type="auto"/>
        <w:tblLook w:val="04A0" w:firstRow="1" w:lastRow="0" w:firstColumn="1" w:lastColumn="0" w:noHBand="0" w:noVBand="1"/>
      </w:tblPr>
      <w:tblGrid>
        <w:gridCol w:w="9212"/>
      </w:tblGrid>
      <w:tr w:rsidR="003D1623" w:rsidRPr="00126FE8" w:rsidTr="00FF19FC">
        <w:tc>
          <w:tcPr>
            <w:tcW w:w="9212" w:type="dxa"/>
          </w:tcPr>
          <w:p w:rsidR="003D1623" w:rsidRPr="00126FE8" w:rsidRDefault="003D1623" w:rsidP="00126FE8">
            <w:pPr>
              <w:rPr>
                <w:sz w:val="20"/>
                <w:szCs w:val="20"/>
              </w:rPr>
            </w:pPr>
          </w:p>
          <w:p w:rsidR="003D1623" w:rsidRPr="00126FE8" w:rsidRDefault="003D1623" w:rsidP="00126FE8">
            <w:pPr>
              <w:rPr>
                <w:sz w:val="20"/>
                <w:szCs w:val="20"/>
              </w:rPr>
            </w:pPr>
          </w:p>
        </w:tc>
      </w:tr>
    </w:tbl>
    <w:p w:rsidR="003D1623" w:rsidRPr="00126FE8" w:rsidRDefault="003D1623" w:rsidP="00126FE8">
      <w:pPr>
        <w:rPr>
          <w:b/>
          <w:sz w:val="20"/>
          <w:szCs w:val="20"/>
          <w:u w:val="single"/>
        </w:rPr>
      </w:pPr>
      <w:r w:rsidRPr="00126FE8">
        <w:rPr>
          <w:b/>
          <w:sz w:val="20"/>
          <w:szCs w:val="20"/>
          <w:u w:val="single"/>
        </w:rPr>
        <w:t>PARTIE D :</w:t>
      </w:r>
    </w:p>
    <w:p w:rsidR="003D1623" w:rsidRPr="00126FE8" w:rsidRDefault="003D1623" w:rsidP="00126FE8">
      <w:pPr>
        <w:rPr>
          <w:b/>
          <w:i/>
          <w:sz w:val="20"/>
          <w:szCs w:val="20"/>
        </w:rPr>
      </w:pPr>
      <w:r w:rsidRPr="00126FE8">
        <w:rPr>
          <w:b/>
          <w:i/>
          <w:sz w:val="20"/>
          <w:szCs w:val="20"/>
        </w:rPr>
        <w:t xml:space="preserve"> Classification du projet et travail environnemental </w:t>
      </w:r>
    </w:p>
    <w:p w:rsidR="003D1623" w:rsidRPr="00126FE8" w:rsidRDefault="003D1623" w:rsidP="00126FE8">
      <w:pPr>
        <w:rPr>
          <w:sz w:val="20"/>
          <w:szCs w:val="20"/>
        </w:rPr>
      </w:pPr>
      <w:r w:rsidRPr="00126FE8">
        <w:rPr>
          <w:sz w:val="20"/>
          <w:szCs w:val="20"/>
        </w:rPr>
        <w:t xml:space="preserve">Régime de Déclaration (Simples mesures de mitigation) </w:t>
      </w:r>
      <w:r w:rsidRPr="00126FE8">
        <w:rPr>
          <w:sz w:val="20"/>
          <w:szCs w:val="20"/>
        </w:rPr>
        <w:tab/>
      </w:r>
      <w:r w:rsidRPr="00126FE8">
        <w:rPr>
          <w:sz w:val="20"/>
          <w:szCs w:val="20"/>
        </w:rPr>
        <w:tab/>
      </w:r>
      <w:r w:rsidRPr="00126FE8">
        <w:rPr>
          <w:sz w:val="20"/>
          <w:szCs w:val="20"/>
        </w:rPr>
        <w:tab/>
        <w:t>.. ….</w:t>
      </w:r>
    </w:p>
    <w:p w:rsidR="003D1623" w:rsidRPr="00126FE8" w:rsidRDefault="003D1623" w:rsidP="00126FE8">
      <w:pPr>
        <w:rPr>
          <w:sz w:val="20"/>
          <w:szCs w:val="20"/>
        </w:rPr>
      </w:pPr>
      <w:r w:rsidRPr="00126FE8">
        <w:rPr>
          <w:sz w:val="20"/>
          <w:szCs w:val="20"/>
        </w:rPr>
        <w:t xml:space="preserve">Catégorie 2 : Analyse Environnementale Initiale (AEI) </w:t>
      </w:r>
      <w:r w:rsidRPr="00126FE8">
        <w:rPr>
          <w:sz w:val="20"/>
          <w:szCs w:val="20"/>
        </w:rPr>
        <w:tab/>
      </w:r>
      <w:r w:rsidRPr="00126FE8">
        <w:rPr>
          <w:sz w:val="20"/>
          <w:szCs w:val="20"/>
        </w:rPr>
        <w:tab/>
        <w:t xml:space="preserve"> ……</w:t>
      </w:r>
    </w:p>
    <w:p w:rsidR="003D1623" w:rsidRPr="00126FE8" w:rsidRDefault="003D1623" w:rsidP="00126FE8">
      <w:pPr>
        <w:rPr>
          <w:sz w:val="20"/>
          <w:szCs w:val="20"/>
        </w:rPr>
      </w:pPr>
      <w:r w:rsidRPr="00126FE8">
        <w:rPr>
          <w:sz w:val="20"/>
          <w:szCs w:val="20"/>
        </w:rPr>
        <w:t xml:space="preserve">Catégorie 1 : étude d’impact environnementale et sociale approfondie ; </w:t>
      </w:r>
      <w:r w:rsidRPr="00126FE8">
        <w:rPr>
          <w:sz w:val="20"/>
          <w:szCs w:val="20"/>
        </w:rPr>
        <w:tab/>
        <w:t>…….</w:t>
      </w:r>
    </w:p>
    <w:p w:rsidR="003D1623" w:rsidRPr="00126FE8" w:rsidRDefault="003D1623" w:rsidP="00126FE8">
      <w:pPr>
        <w:rPr>
          <w:i/>
          <w:sz w:val="20"/>
          <w:szCs w:val="20"/>
        </w:rPr>
      </w:pPr>
      <w:r w:rsidRPr="00126FE8">
        <w:rPr>
          <w:i/>
          <w:sz w:val="20"/>
          <w:szCs w:val="20"/>
        </w:rPr>
        <w:t xml:space="preserve"> Travail social nécessaire </w:t>
      </w:r>
    </w:p>
    <w:p w:rsidR="003D1623" w:rsidRPr="00126FE8" w:rsidRDefault="003D1623" w:rsidP="00126FE8">
      <w:pPr>
        <w:rPr>
          <w:sz w:val="20"/>
          <w:szCs w:val="20"/>
        </w:rPr>
      </w:pPr>
      <w:r w:rsidRPr="00126FE8">
        <w:rPr>
          <w:sz w:val="20"/>
          <w:szCs w:val="20"/>
        </w:rPr>
        <w:t>O Pas d’étude sociale à faire …..</w:t>
      </w:r>
    </w:p>
    <w:p w:rsidR="00EB0C02" w:rsidRPr="00126FE8" w:rsidRDefault="003D1623" w:rsidP="00126FE8">
      <w:pPr>
        <w:rPr>
          <w:sz w:val="20"/>
          <w:szCs w:val="20"/>
        </w:rPr>
      </w:pPr>
      <w:r w:rsidRPr="00126FE8">
        <w:rPr>
          <w:sz w:val="20"/>
          <w:szCs w:val="20"/>
        </w:rPr>
        <w:t>O PAR …..</w:t>
      </w:r>
    </w:p>
    <w:p w:rsidR="00374A0D" w:rsidRDefault="00374A0D">
      <w:pPr>
        <w:spacing w:after="160" w:line="259" w:lineRule="auto"/>
        <w:rPr>
          <w:sz w:val="28"/>
          <w:szCs w:val="28"/>
        </w:rPr>
      </w:pPr>
    </w:p>
    <w:p w:rsidR="00374A0D" w:rsidRPr="00345951" w:rsidRDefault="00F6724C" w:rsidP="00345951">
      <w:pPr>
        <w:pStyle w:val="Cabealho1"/>
        <w:numPr>
          <w:ilvl w:val="0"/>
          <w:numId w:val="0"/>
        </w:numPr>
        <w:pBdr>
          <w:bottom w:val="thickThinSmallGap" w:sz="24" w:space="1" w:color="auto"/>
        </w:pBdr>
        <w:shd w:val="clear" w:color="auto" w:fill="E2EFD9" w:themeFill="accent6" w:themeFillTint="33"/>
        <w:spacing w:after="120"/>
        <w:rPr>
          <w:rFonts w:ascii="Times New Roman" w:hAnsi="Times New Roman"/>
          <w:sz w:val="28"/>
          <w:szCs w:val="28"/>
        </w:rPr>
      </w:pPr>
      <w:bookmarkStart w:id="418" w:name="_Toc73459794"/>
      <w:r w:rsidRPr="00A05698">
        <w:rPr>
          <w:rFonts w:ascii="Times New Roman" w:hAnsi="Times New Roman"/>
          <w:sz w:val="28"/>
          <w:szCs w:val="28"/>
        </w:rPr>
        <w:t xml:space="preserve">ANNEXE </w:t>
      </w:r>
      <w:r>
        <w:rPr>
          <w:rFonts w:ascii="Times New Roman" w:hAnsi="Times New Roman"/>
          <w:sz w:val="28"/>
          <w:szCs w:val="28"/>
        </w:rPr>
        <w:t>3</w:t>
      </w:r>
      <w:r w:rsidRPr="00A05698">
        <w:rPr>
          <w:rFonts w:ascii="Times New Roman" w:hAnsi="Times New Roman"/>
          <w:sz w:val="28"/>
          <w:szCs w:val="28"/>
        </w:rPr>
        <w:t xml:space="preserve">. </w:t>
      </w:r>
      <w:r w:rsidR="00374A0D" w:rsidRPr="00345951">
        <w:rPr>
          <w:rFonts w:ascii="Times New Roman" w:hAnsi="Times New Roman"/>
          <w:sz w:val="28"/>
          <w:szCs w:val="28"/>
        </w:rPr>
        <w:t>CODES DE CONDUITE ET PLAN D’ACTION POUR LA MISE EN ŒUVRE DES NORMES ESHS ET HST,</w:t>
      </w:r>
      <w:bookmarkEnd w:id="418"/>
      <w:r w:rsidR="00374A0D" w:rsidRPr="00345951">
        <w:rPr>
          <w:rFonts w:ascii="Times New Roman" w:hAnsi="Times New Roman"/>
          <w:sz w:val="28"/>
          <w:szCs w:val="28"/>
        </w:rPr>
        <w:t xml:space="preserve"> </w:t>
      </w:r>
    </w:p>
    <w:p w:rsidR="00374A0D" w:rsidRPr="00345951" w:rsidRDefault="00374A0D" w:rsidP="005E613E">
      <w:pPr>
        <w:spacing w:after="120"/>
        <w:ind w:right="-847"/>
        <w:outlineLvl w:val="1"/>
        <w:rPr>
          <w:b/>
          <w:bCs/>
        </w:rPr>
      </w:pPr>
      <w:bookmarkStart w:id="419" w:name="_Toc73459795"/>
      <w:r w:rsidRPr="00345951">
        <w:rPr>
          <w:b/>
          <w:bCs/>
        </w:rPr>
        <w:t>Généralités</w:t>
      </w:r>
      <w:bookmarkEnd w:id="419"/>
      <w:r w:rsidRPr="00345951">
        <w:rPr>
          <w:b/>
          <w:bCs/>
        </w:rPr>
        <w:t xml:space="preserve"> </w:t>
      </w:r>
    </w:p>
    <w:p w:rsidR="00374A0D" w:rsidRPr="009C1D9E" w:rsidRDefault="00374A0D" w:rsidP="005E613E">
      <w:pPr>
        <w:autoSpaceDE w:val="0"/>
        <w:autoSpaceDN w:val="0"/>
        <w:adjustRightInd w:val="0"/>
        <w:ind w:left="284" w:right="-847"/>
        <w:jc w:val="both"/>
      </w:pPr>
      <w:r w:rsidRPr="009C1D9E">
        <w:t>Le but des présents Codes de conduite et plan d’action pour la mise en œuvre des normes Environnementales et sociales, d’hygiène et de sécurité (ESHS), d’Hygiène et de sécurité au travail (HST), la prévention d’EAS/HS et les violences contre les enfants (VCE) consiste à introduire un ensemble de définitions clefs, des codes de conduite et des lignes directrices afin de :</w:t>
      </w:r>
    </w:p>
    <w:p w:rsidR="00374A0D" w:rsidRPr="00A05698" w:rsidRDefault="00374A0D" w:rsidP="005E613E">
      <w:pPr>
        <w:ind w:left="-284" w:right="-847"/>
        <w:jc w:val="both"/>
        <w:rPr>
          <w:rFonts w:eastAsia="Times New Roman"/>
        </w:rPr>
      </w:pPr>
    </w:p>
    <w:p w:rsidR="00374A0D" w:rsidRPr="000E214D" w:rsidRDefault="00374A0D" w:rsidP="005E613E">
      <w:pPr>
        <w:pStyle w:val="PargrafodaLista"/>
        <w:numPr>
          <w:ilvl w:val="0"/>
          <w:numId w:val="98"/>
        </w:numPr>
        <w:ind w:left="851" w:right="-847"/>
        <w:jc w:val="both"/>
        <w:rPr>
          <w:rFonts w:ascii="Times New Roman" w:eastAsia="Times New Roman" w:hAnsi="Times New Roman"/>
          <w:sz w:val="22"/>
          <w:szCs w:val="22"/>
        </w:rPr>
      </w:pPr>
      <w:r w:rsidRPr="000E214D">
        <w:rPr>
          <w:rFonts w:ascii="Times New Roman" w:eastAsia="Times New Roman" w:hAnsi="Times New Roman"/>
          <w:sz w:val="22"/>
          <w:szCs w:val="22"/>
        </w:rPr>
        <w:t xml:space="preserve">Définir clairement les obligations de tous les membres du personnel du projet (y compris les sous-traitants et les journaliers) concernant la mise en œuvre des normes environnementales, sociales, de santé et de sécurité (ESHS) et d’hygiène et de sécurité au travail (HST) ; et </w:t>
      </w:r>
    </w:p>
    <w:p w:rsidR="00374A0D" w:rsidRPr="000E214D" w:rsidRDefault="00374A0D" w:rsidP="005E613E">
      <w:pPr>
        <w:pStyle w:val="PargrafodaLista"/>
        <w:numPr>
          <w:ilvl w:val="0"/>
          <w:numId w:val="98"/>
        </w:numPr>
        <w:ind w:left="851" w:right="-847"/>
        <w:jc w:val="both"/>
        <w:rPr>
          <w:rFonts w:ascii="Times New Roman" w:eastAsia="Times New Roman" w:hAnsi="Times New Roman"/>
          <w:sz w:val="22"/>
          <w:szCs w:val="22"/>
        </w:rPr>
      </w:pPr>
      <w:r w:rsidRPr="000E214D">
        <w:rPr>
          <w:rFonts w:ascii="Times New Roman" w:eastAsia="Times New Roman" w:hAnsi="Times New Roman"/>
          <w:sz w:val="22"/>
          <w:szCs w:val="22"/>
        </w:rPr>
        <w:t>Contribuer à prévenir, identifier et combattre les incidents d’EAS/HS et la VCE sur le chantier et dans les communautés avoisinantes.</w:t>
      </w:r>
    </w:p>
    <w:p w:rsidR="00374A0D" w:rsidRPr="009C1D9E" w:rsidRDefault="00374A0D" w:rsidP="005E613E">
      <w:pPr>
        <w:autoSpaceDE w:val="0"/>
        <w:autoSpaceDN w:val="0"/>
        <w:adjustRightInd w:val="0"/>
        <w:ind w:left="284" w:right="-847"/>
        <w:jc w:val="both"/>
      </w:pPr>
      <w:r w:rsidRPr="009C1D9E">
        <w:t>L’application de ces Codes de Conduites permettra de faire en sorte que le projet atteigne ses objectifs en matière de normes ESHS et HST, ainsi que de prévenir et/ou atténuer les risques de VBG et de VCE sur le site du projet et dans les communautés locales. Les personnes travaillant dans le projet doivent adopter ces Codes de conduite qui vise à :</w:t>
      </w:r>
    </w:p>
    <w:p w:rsidR="00374A0D" w:rsidRPr="006F0EA9" w:rsidRDefault="00374A0D" w:rsidP="005E613E">
      <w:pPr>
        <w:ind w:left="851" w:right="-847"/>
        <w:jc w:val="both"/>
        <w:rPr>
          <w:rFonts w:eastAsia="Times New Roman"/>
          <w:sz w:val="22"/>
          <w:szCs w:val="22"/>
        </w:rPr>
      </w:pPr>
      <w:r w:rsidRPr="006F0EA9">
        <w:rPr>
          <w:rFonts w:eastAsia="Times New Roman"/>
          <w:sz w:val="22"/>
          <w:szCs w:val="22"/>
        </w:rPr>
        <w:t xml:space="preserve"> i. Sensibiliser le personnel opérant dans le projet aux attentes en matière de ESHS et de HST ; et</w:t>
      </w:r>
    </w:p>
    <w:p w:rsidR="00374A0D" w:rsidRPr="006F0EA9" w:rsidRDefault="00374A0D" w:rsidP="005E613E">
      <w:pPr>
        <w:ind w:left="851" w:right="-847"/>
        <w:jc w:val="both"/>
        <w:rPr>
          <w:rFonts w:eastAsia="Times New Roman"/>
          <w:sz w:val="22"/>
          <w:szCs w:val="22"/>
        </w:rPr>
      </w:pPr>
      <w:r w:rsidRPr="006F0EA9">
        <w:rPr>
          <w:rFonts w:eastAsia="Times New Roman"/>
          <w:sz w:val="22"/>
          <w:szCs w:val="22"/>
        </w:rPr>
        <w:t xml:space="preserve"> ii. Créer une prise de conscience concernant l’EAS/HS et de VCE, et : </w:t>
      </w:r>
    </w:p>
    <w:p w:rsidR="00374A0D" w:rsidRPr="006F0EA9" w:rsidRDefault="00374A0D" w:rsidP="005E613E">
      <w:pPr>
        <w:ind w:left="1276" w:right="-847"/>
        <w:jc w:val="both"/>
        <w:rPr>
          <w:rFonts w:eastAsia="Times New Roman"/>
          <w:sz w:val="22"/>
          <w:szCs w:val="22"/>
        </w:rPr>
      </w:pPr>
      <w:r w:rsidRPr="006F0EA9">
        <w:rPr>
          <w:rFonts w:eastAsia="Times New Roman"/>
          <w:sz w:val="22"/>
          <w:szCs w:val="22"/>
        </w:rPr>
        <w:t xml:space="preserve">a) Créer un consensus sur le fait que tels actes n’ont pas leur place dans le projet ; et </w:t>
      </w:r>
    </w:p>
    <w:p w:rsidR="00374A0D" w:rsidRPr="006F0EA9" w:rsidRDefault="00374A0D" w:rsidP="005E613E">
      <w:pPr>
        <w:ind w:left="1276" w:right="-847"/>
        <w:jc w:val="both"/>
        <w:rPr>
          <w:rFonts w:eastAsia="Times New Roman"/>
          <w:sz w:val="22"/>
          <w:szCs w:val="22"/>
        </w:rPr>
      </w:pPr>
      <w:r w:rsidRPr="006F0EA9">
        <w:rPr>
          <w:rFonts w:eastAsia="Times New Roman"/>
          <w:sz w:val="22"/>
          <w:szCs w:val="22"/>
        </w:rPr>
        <w:t xml:space="preserve">b) Etablir un protocole pour identifier les incidents d’EAS/HS et de VCE ; répondre à tels incidents ; et les sanctionner. </w:t>
      </w:r>
    </w:p>
    <w:p w:rsidR="00374A0D" w:rsidRPr="00A05698" w:rsidRDefault="00374A0D" w:rsidP="005E613E">
      <w:pPr>
        <w:ind w:right="-847"/>
        <w:rPr>
          <w:rFonts w:eastAsia="Times New Roman"/>
        </w:rPr>
      </w:pPr>
    </w:p>
    <w:p w:rsidR="00374A0D" w:rsidRPr="009C1D9E" w:rsidRDefault="00374A0D" w:rsidP="005E613E">
      <w:pPr>
        <w:autoSpaceDE w:val="0"/>
        <w:autoSpaceDN w:val="0"/>
        <w:adjustRightInd w:val="0"/>
        <w:ind w:left="284" w:right="-847"/>
        <w:jc w:val="both"/>
      </w:pPr>
      <w:r w:rsidRPr="009C1D9E">
        <w:t xml:space="preserve">L’objectif des Codes de Conduite est de s'assurer que tout le personnel du projet comprenne les valeurs morales du projet, les conduites que tout employé est tenu à suivre et les conséquences des violations de ces valeurs. Cette compréhension contribuera à une mise en œuvre du projet plus harmonieuse, plus respectueuse et plus productive, pour faire en sorte que les objectifs du projet soient atteints. </w:t>
      </w:r>
    </w:p>
    <w:p w:rsidR="00374A0D" w:rsidRPr="00A05698" w:rsidRDefault="00374A0D" w:rsidP="005E613E">
      <w:pPr>
        <w:ind w:right="-847"/>
        <w:rPr>
          <w:rFonts w:eastAsia="Times New Roman"/>
        </w:rPr>
      </w:pPr>
    </w:p>
    <w:p w:rsidR="00374A0D" w:rsidRPr="00345951" w:rsidRDefault="00374A0D" w:rsidP="005E613E">
      <w:pPr>
        <w:spacing w:after="120"/>
        <w:ind w:right="-847"/>
        <w:outlineLvl w:val="1"/>
        <w:rPr>
          <w:b/>
          <w:bCs/>
        </w:rPr>
      </w:pPr>
      <w:bookmarkStart w:id="420" w:name="_Toc73459796"/>
      <w:r w:rsidRPr="00345951">
        <w:rPr>
          <w:b/>
          <w:bCs/>
        </w:rPr>
        <w:t>Codes de conduite</w:t>
      </w:r>
      <w:bookmarkEnd w:id="420"/>
      <w:r w:rsidRPr="00345951">
        <w:rPr>
          <w:b/>
          <w:bCs/>
        </w:rPr>
        <w:t xml:space="preserve"> </w:t>
      </w:r>
    </w:p>
    <w:p w:rsidR="00374A0D" w:rsidRPr="009C1D9E" w:rsidRDefault="00374A0D" w:rsidP="005E613E">
      <w:pPr>
        <w:autoSpaceDE w:val="0"/>
        <w:autoSpaceDN w:val="0"/>
        <w:adjustRightInd w:val="0"/>
        <w:ind w:left="284" w:right="-847"/>
        <w:jc w:val="both"/>
      </w:pPr>
      <w:r w:rsidRPr="009C1D9E">
        <w:t xml:space="preserve">- Code de conduite du gestionnaire (FAO) : Engage le gestionnaire (FAO) à mettre en œuvre le Code de conduite de l’entreprise, y compris ceux que qui sont signés par les individus ; et </w:t>
      </w:r>
    </w:p>
    <w:p w:rsidR="00374A0D" w:rsidRPr="006F0EA9" w:rsidRDefault="00374A0D" w:rsidP="005E613E">
      <w:pPr>
        <w:autoSpaceDE w:val="0"/>
        <w:autoSpaceDN w:val="0"/>
        <w:adjustRightInd w:val="0"/>
        <w:ind w:left="284" w:right="-847"/>
        <w:jc w:val="both"/>
      </w:pPr>
      <w:r w:rsidRPr="009C1D9E">
        <w:t>- Code de conduite individuel : Code de conduite pour toute personne travaillant sur le projet, y compris les gestionnaires (FAO).</w:t>
      </w:r>
    </w:p>
    <w:p w:rsidR="00374A0D" w:rsidRPr="009D7D30" w:rsidRDefault="00374A0D" w:rsidP="005E613E">
      <w:pPr>
        <w:pStyle w:val="PargrafodaLista"/>
        <w:numPr>
          <w:ilvl w:val="0"/>
          <w:numId w:val="168"/>
        </w:numPr>
        <w:spacing w:before="120" w:after="0"/>
        <w:ind w:right="-847"/>
        <w:rPr>
          <w:rFonts w:ascii="Times New Roman" w:eastAsia="Times New Roman" w:hAnsi="Times New Roman"/>
          <w:b/>
          <w:sz w:val="22"/>
          <w:szCs w:val="22"/>
        </w:rPr>
      </w:pPr>
      <w:r w:rsidRPr="009D7D30">
        <w:rPr>
          <w:rFonts w:ascii="Times New Roman" w:eastAsia="Times New Roman" w:hAnsi="Times New Roman"/>
          <w:b/>
          <w:sz w:val="22"/>
          <w:szCs w:val="22"/>
        </w:rPr>
        <w:t xml:space="preserve">Mise en œuvre des normes ESHS et HST </w:t>
      </w:r>
    </w:p>
    <w:p w:rsidR="00374A0D" w:rsidRPr="009C1D9E" w:rsidRDefault="00374A0D" w:rsidP="005E613E">
      <w:pPr>
        <w:autoSpaceDE w:val="0"/>
        <w:autoSpaceDN w:val="0"/>
        <w:adjustRightInd w:val="0"/>
        <w:ind w:left="284" w:right="-847"/>
        <w:jc w:val="both"/>
      </w:pPr>
      <w:r w:rsidRPr="009C1D9E">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et la violence contre les enfants (VCE) n’aient pas lieu – elles ne seront tolérées par aucun employé, sous-traitant, fournisseur, associé ou représentant de l'entreprise. </w:t>
      </w:r>
    </w:p>
    <w:p w:rsidR="00374A0D" w:rsidRPr="009C1D9E" w:rsidRDefault="00374A0D" w:rsidP="005E613E">
      <w:pPr>
        <w:autoSpaceDE w:val="0"/>
        <w:autoSpaceDN w:val="0"/>
        <w:adjustRightInd w:val="0"/>
        <w:ind w:left="284" w:right="-847"/>
        <w:jc w:val="both"/>
      </w:pPr>
    </w:p>
    <w:p w:rsidR="00374A0D" w:rsidRPr="009C1D9E" w:rsidRDefault="00374A0D" w:rsidP="005E613E">
      <w:pPr>
        <w:autoSpaceDE w:val="0"/>
        <w:autoSpaceDN w:val="0"/>
        <w:adjustRightInd w:val="0"/>
        <w:ind w:left="284" w:right="-847"/>
        <w:jc w:val="both"/>
      </w:pPr>
      <w:r w:rsidRPr="009C1D9E">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374A0D" w:rsidRPr="00083B97" w:rsidRDefault="00374A0D" w:rsidP="005E613E">
      <w:pPr>
        <w:ind w:left="284" w:right="-847"/>
        <w:jc w:val="both"/>
        <w:rPr>
          <w:b/>
          <w:bCs/>
        </w:rPr>
      </w:pPr>
    </w:p>
    <w:p w:rsidR="00374A0D" w:rsidRPr="006F0EA9" w:rsidRDefault="00374A0D" w:rsidP="005E613E">
      <w:pPr>
        <w:autoSpaceDE w:val="0"/>
        <w:autoSpaceDN w:val="0"/>
        <w:adjustRightInd w:val="0"/>
        <w:ind w:left="284" w:right="-847"/>
        <w:jc w:val="both"/>
        <w:rPr>
          <w:b/>
          <w:u w:val="single"/>
        </w:rPr>
      </w:pPr>
      <w:r w:rsidRPr="006F0EA9">
        <w:rPr>
          <w:b/>
          <w:u w:val="single"/>
        </w:rPr>
        <w:t xml:space="preserve">Généralités </w:t>
      </w:r>
    </w:p>
    <w:p w:rsidR="00374A0D" w:rsidRPr="006F0EA9" w:rsidRDefault="00374A0D" w:rsidP="005E613E">
      <w:pPr>
        <w:autoSpaceDE w:val="0"/>
        <w:autoSpaceDN w:val="0"/>
        <w:adjustRightInd w:val="0"/>
        <w:ind w:left="426" w:right="-847"/>
        <w:jc w:val="both"/>
        <w:rPr>
          <w:sz w:val="22"/>
          <w:szCs w:val="22"/>
        </w:rPr>
      </w:pPr>
      <w:r w:rsidRPr="006F0EA9">
        <w:rPr>
          <w:sz w:val="22"/>
          <w:szCs w:val="22"/>
        </w:rPr>
        <w:t xml:space="preserve">1. FAO, l'entreprise et par conséquent tous les employés, associés, représentants, sous-traitants et les fournisseurs – doivent s'engager à respecter toutes les lois, règles et réglementations nationales et les normes internationales. </w:t>
      </w:r>
    </w:p>
    <w:p w:rsidR="00374A0D" w:rsidRPr="006F0EA9" w:rsidRDefault="00374A0D" w:rsidP="005E613E">
      <w:pPr>
        <w:autoSpaceDE w:val="0"/>
        <w:autoSpaceDN w:val="0"/>
        <w:adjustRightInd w:val="0"/>
        <w:ind w:left="426" w:right="-847"/>
        <w:jc w:val="both"/>
        <w:rPr>
          <w:sz w:val="22"/>
          <w:szCs w:val="22"/>
        </w:rPr>
      </w:pPr>
      <w:r w:rsidRPr="006F0EA9">
        <w:rPr>
          <w:sz w:val="22"/>
          <w:szCs w:val="22"/>
        </w:rPr>
        <w:t xml:space="preserve">2. FAO et entreprise doivent s'engager à mettre intégralement en œuvre son « Plan de gestion environnementale et sociale des entrepreneurs » (E-PGES), qui doit respecter les normes énoncées dans le plan d'engagement environnemental et social de la Banque mondiale. </w:t>
      </w:r>
    </w:p>
    <w:p w:rsidR="00374A0D" w:rsidRPr="006F0EA9" w:rsidRDefault="00374A0D" w:rsidP="005E613E">
      <w:pPr>
        <w:autoSpaceDE w:val="0"/>
        <w:autoSpaceDN w:val="0"/>
        <w:adjustRightInd w:val="0"/>
        <w:ind w:left="426" w:right="-847"/>
        <w:jc w:val="both"/>
        <w:rPr>
          <w:sz w:val="22"/>
          <w:szCs w:val="22"/>
        </w:rPr>
      </w:pPr>
      <w:r w:rsidRPr="006F0EA9">
        <w:rPr>
          <w:sz w:val="22"/>
          <w:szCs w:val="22"/>
        </w:rPr>
        <w:t xml:space="preserve">3. FAO et entreprise doivent s'engager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 et de VCE constituent une violation de cet engagement. </w:t>
      </w:r>
    </w:p>
    <w:p w:rsidR="00374A0D" w:rsidRPr="006F0EA9" w:rsidRDefault="00374A0D" w:rsidP="005E613E">
      <w:pPr>
        <w:autoSpaceDE w:val="0"/>
        <w:autoSpaceDN w:val="0"/>
        <w:adjustRightInd w:val="0"/>
        <w:ind w:left="426" w:right="-847"/>
        <w:jc w:val="both"/>
        <w:rPr>
          <w:sz w:val="22"/>
          <w:szCs w:val="22"/>
        </w:rPr>
      </w:pPr>
      <w:r w:rsidRPr="006F0EA9">
        <w:rPr>
          <w:sz w:val="22"/>
          <w:szCs w:val="22"/>
        </w:rPr>
        <w:t xml:space="preserve">4. FAO et entreprise doivent s'assurer que les interactions avec les membres de la communauté locale aient lieu dans le respect et en absence de discrimination. </w:t>
      </w:r>
    </w:p>
    <w:p w:rsidR="00374A0D" w:rsidRPr="006F0EA9" w:rsidRDefault="00374A0D" w:rsidP="005E613E">
      <w:pPr>
        <w:autoSpaceDE w:val="0"/>
        <w:autoSpaceDN w:val="0"/>
        <w:adjustRightInd w:val="0"/>
        <w:ind w:left="426" w:right="-847"/>
        <w:jc w:val="both"/>
        <w:rPr>
          <w:sz w:val="22"/>
          <w:szCs w:val="22"/>
        </w:rPr>
      </w:pPr>
      <w:r w:rsidRPr="006F0EA9">
        <w:rPr>
          <w:sz w:val="22"/>
          <w:szCs w:val="22"/>
        </w:rPr>
        <w:t xml:space="preserve">5. 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374A0D" w:rsidRPr="006F0EA9" w:rsidRDefault="00374A0D" w:rsidP="005E613E">
      <w:pPr>
        <w:autoSpaceDE w:val="0"/>
        <w:autoSpaceDN w:val="0"/>
        <w:adjustRightInd w:val="0"/>
        <w:ind w:left="426" w:right="-847"/>
        <w:jc w:val="both"/>
        <w:rPr>
          <w:sz w:val="22"/>
          <w:szCs w:val="22"/>
        </w:rPr>
      </w:pPr>
      <w:r w:rsidRPr="006F0EA9">
        <w:rPr>
          <w:sz w:val="22"/>
          <w:szCs w:val="22"/>
        </w:rPr>
        <w:t xml:space="preserve">6. FAO et entreprise devront suivre toutes les instructions de travail raisonnables (y compris celles qui concernent les normes environnementales et sociales). </w:t>
      </w:r>
    </w:p>
    <w:p w:rsidR="00374A0D" w:rsidRPr="006F0EA9" w:rsidRDefault="00374A0D" w:rsidP="005E613E">
      <w:pPr>
        <w:autoSpaceDE w:val="0"/>
        <w:autoSpaceDN w:val="0"/>
        <w:adjustRightInd w:val="0"/>
        <w:ind w:left="426" w:right="-847"/>
        <w:jc w:val="both"/>
        <w:rPr>
          <w:sz w:val="22"/>
          <w:szCs w:val="22"/>
        </w:rPr>
      </w:pPr>
      <w:r w:rsidRPr="006F0EA9">
        <w:rPr>
          <w:sz w:val="22"/>
          <w:szCs w:val="22"/>
        </w:rPr>
        <w:t xml:space="preserve">7. FAO et entreprise protégera les biens et veillera à leur bonne utilisation (par exemple, interdire le vol, la négligence ou le gaspillage). </w:t>
      </w:r>
    </w:p>
    <w:p w:rsidR="00374A0D" w:rsidRPr="00A05698" w:rsidRDefault="00374A0D" w:rsidP="005E613E">
      <w:pPr>
        <w:ind w:right="-847"/>
        <w:rPr>
          <w:rFonts w:eastAsia="Times New Roman"/>
        </w:rPr>
      </w:pPr>
    </w:p>
    <w:p w:rsidR="00374A0D" w:rsidRPr="006F0EA9" w:rsidRDefault="00374A0D" w:rsidP="005E613E">
      <w:pPr>
        <w:autoSpaceDE w:val="0"/>
        <w:autoSpaceDN w:val="0"/>
        <w:adjustRightInd w:val="0"/>
        <w:ind w:left="284" w:right="-847"/>
        <w:jc w:val="both"/>
        <w:rPr>
          <w:b/>
          <w:u w:val="single"/>
        </w:rPr>
      </w:pPr>
      <w:r w:rsidRPr="006F0EA9">
        <w:rPr>
          <w:b/>
          <w:u w:val="single"/>
        </w:rPr>
        <w:t xml:space="preserve">Hygiène et sécurité </w:t>
      </w:r>
    </w:p>
    <w:p w:rsidR="00374A0D" w:rsidRPr="009A4F92" w:rsidRDefault="00374A0D" w:rsidP="005E613E">
      <w:pPr>
        <w:autoSpaceDE w:val="0"/>
        <w:autoSpaceDN w:val="0"/>
        <w:adjustRightInd w:val="0"/>
        <w:ind w:left="426" w:right="-847"/>
        <w:jc w:val="both"/>
        <w:rPr>
          <w:sz w:val="22"/>
          <w:szCs w:val="22"/>
        </w:rPr>
      </w:pPr>
      <w:r w:rsidRPr="009A4F92">
        <w:rPr>
          <w:sz w:val="22"/>
          <w:szCs w:val="22"/>
        </w:rPr>
        <w:t xml:space="preserve">1. FAO et entreprise veillera à ce que le plan de gestion de l’hygiène, santé et sécurité au travail (HST) du projet soit efficacement mis en œuvre par le personnel de l'entreprise, ainsi que par les sous-traitants et les fournisseurs. </w:t>
      </w:r>
    </w:p>
    <w:p w:rsidR="00374A0D" w:rsidRPr="009A4F92" w:rsidRDefault="00374A0D" w:rsidP="005E613E">
      <w:pPr>
        <w:autoSpaceDE w:val="0"/>
        <w:autoSpaceDN w:val="0"/>
        <w:adjustRightInd w:val="0"/>
        <w:ind w:left="426" w:right="-847"/>
        <w:jc w:val="both"/>
        <w:rPr>
          <w:sz w:val="22"/>
          <w:szCs w:val="22"/>
        </w:rPr>
      </w:pPr>
      <w:r w:rsidRPr="009A4F92">
        <w:rPr>
          <w:sz w:val="22"/>
          <w:szCs w:val="22"/>
        </w:rPr>
        <w:t xml:space="preserve">2. FAO et 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374A0D" w:rsidRPr="009A4F92" w:rsidRDefault="00374A0D" w:rsidP="005E613E">
      <w:pPr>
        <w:autoSpaceDE w:val="0"/>
        <w:autoSpaceDN w:val="0"/>
        <w:adjustRightInd w:val="0"/>
        <w:ind w:left="426" w:right="-847"/>
        <w:jc w:val="both"/>
        <w:rPr>
          <w:sz w:val="22"/>
          <w:szCs w:val="22"/>
        </w:rPr>
      </w:pPr>
      <w:r w:rsidRPr="009A4F92">
        <w:rPr>
          <w:sz w:val="22"/>
          <w:szCs w:val="22"/>
        </w:rPr>
        <w:t xml:space="preserve">3. FAO et entreprise : Interdira la consommation d’alcool pendant le travail ; </w:t>
      </w:r>
      <w:r w:rsidRPr="009A4F92">
        <w:rPr>
          <w:sz w:val="22"/>
          <w:szCs w:val="22"/>
        </w:rPr>
        <w:br/>
        <w:t xml:space="preserve">5. Interdira l'usage de stupéfiants ou d'autres substances qui peuvent altérer les facultés à tout moment. </w:t>
      </w:r>
    </w:p>
    <w:p w:rsidR="00374A0D" w:rsidRPr="009A4F92" w:rsidRDefault="00374A0D" w:rsidP="005E613E">
      <w:pPr>
        <w:autoSpaceDE w:val="0"/>
        <w:autoSpaceDN w:val="0"/>
        <w:adjustRightInd w:val="0"/>
        <w:ind w:left="426" w:right="-847"/>
        <w:jc w:val="both"/>
        <w:rPr>
          <w:sz w:val="22"/>
          <w:szCs w:val="22"/>
        </w:rPr>
      </w:pPr>
      <w:r w:rsidRPr="009A4F92">
        <w:rPr>
          <w:sz w:val="22"/>
          <w:szCs w:val="22"/>
        </w:rPr>
        <w:t>6. FAO et entreprise veillera à ce que des installations sanitaires adéquates soient à disposition des travailleurs sur le site et dans tous les logements des travailleurs du projet.</w:t>
      </w:r>
    </w:p>
    <w:p w:rsidR="00374A0D" w:rsidRPr="009F1592" w:rsidRDefault="00374A0D" w:rsidP="005E613E">
      <w:pPr>
        <w:spacing w:after="120"/>
        <w:ind w:right="-847"/>
        <w:outlineLvl w:val="1"/>
        <w:rPr>
          <w:b/>
          <w:bCs/>
          <w:sz w:val="22"/>
          <w:szCs w:val="22"/>
        </w:rPr>
      </w:pPr>
    </w:p>
    <w:p w:rsidR="00374A0D" w:rsidRPr="009A4F92" w:rsidRDefault="00374A0D" w:rsidP="005E613E">
      <w:pPr>
        <w:autoSpaceDE w:val="0"/>
        <w:autoSpaceDN w:val="0"/>
        <w:adjustRightInd w:val="0"/>
        <w:ind w:left="284" w:right="-847"/>
        <w:jc w:val="both"/>
        <w:rPr>
          <w:b/>
          <w:u w:val="single"/>
        </w:rPr>
      </w:pPr>
      <w:r w:rsidRPr="009A4F92">
        <w:rPr>
          <w:b/>
          <w:u w:val="single"/>
        </w:rPr>
        <w:t xml:space="preserve">Mise en œuvre </w:t>
      </w:r>
    </w:p>
    <w:p w:rsidR="00374A0D" w:rsidRPr="00FF0A9A" w:rsidRDefault="00374A0D" w:rsidP="005E613E">
      <w:pPr>
        <w:autoSpaceDE w:val="0"/>
        <w:autoSpaceDN w:val="0"/>
        <w:adjustRightInd w:val="0"/>
        <w:ind w:left="426" w:right="-847"/>
        <w:jc w:val="both"/>
      </w:pPr>
      <w:r w:rsidRPr="00FF0A9A">
        <w:t xml:space="preserve">Pour veiller à ce que les principes énoncés ci-dessus soient efficacement mis en œuvre, FAO ou l’entreprise s’engage à faire en sorte que : </w:t>
      </w:r>
    </w:p>
    <w:p w:rsidR="00374A0D" w:rsidRPr="00FF0A9A" w:rsidRDefault="00374A0D" w:rsidP="005E613E">
      <w:pPr>
        <w:autoSpaceDE w:val="0"/>
        <w:autoSpaceDN w:val="0"/>
        <w:adjustRightInd w:val="0"/>
        <w:ind w:left="426" w:right="-847"/>
        <w:jc w:val="both"/>
      </w:pPr>
      <w:r w:rsidRPr="00FF0A9A">
        <w:t xml:space="preserve">1. Tous les gestionnaires signent le « Code de conduite des gestionnaires » du projet, qui présente dans le détail leurs responsabilités, et consiste à mettre en œuvre les engagements de l'entreprise et à faire respecter les obligations du « Code de conduite individuel ». </w:t>
      </w:r>
    </w:p>
    <w:p w:rsidR="00374A0D" w:rsidRPr="00FF0A9A" w:rsidRDefault="00374A0D" w:rsidP="005E613E">
      <w:pPr>
        <w:autoSpaceDE w:val="0"/>
        <w:autoSpaceDN w:val="0"/>
        <w:adjustRightInd w:val="0"/>
        <w:ind w:left="426" w:right="-847"/>
        <w:jc w:val="both"/>
      </w:pPr>
      <w:r w:rsidRPr="00FF0A9A">
        <w:t xml:space="preserve">2. Tous les employés signent le « Code de conduite individuel » du projet confirmant leur engagement à respecter les normes ESHS et HST, et à ne pas entreprendre des activités entraînant les VBG ou les VCE. </w:t>
      </w:r>
    </w:p>
    <w:p w:rsidR="00374A0D" w:rsidRPr="00FF0A9A" w:rsidRDefault="00374A0D" w:rsidP="005E613E">
      <w:pPr>
        <w:autoSpaceDE w:val="0"/>
        <w:autoSpaceDN w:val="0"/>
        <w:adjustRightInd w:val="0"/>
        <w:ind w:left="426" w:right="-847"/>
        <w:jc w:val="both"/>
      </w:pPr>
      <w:r w:rsidRPr="00FF0A9A">
        <w:t xml:space="preserve">3. 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374A0D" w:rsidRPr="00FF0A9A" w:rsidRDefault="00374A0D" w:rsidP="005E613E">
      <w:pPr>
        <w:autoSpaceDE w:val="0"/>
        <w:autoSpaceDN w:val="0"/>
        <w:adjustRightInd w:val="0"/>
        <w:ind w:left="426" w:right="-847"/>
        <w:jc w:val="both"/>
      </w:pPr>
      <w:r w:rsidRPr="00FF0A9A">
        <w:t xml:space="preserve">4. Les copies affichées et distribuées du Code de conduite de l'entreprise et du Code de conduite individuel doivent être traduites dans la langue appropriée utilisée dans les zones d’intervention du projet ainsi que dans la langue maternelle de tout personnel international. </w:t>
      </w:r>
    </w:p>
    <w:p w:rsidR="00374A0D" w:rsidRPr="00FF0A9A" w:rsidRDefault="00374A0D" w:rsidP="005E613E">
      <w:pPr>
        <w:autoSpaceDE w:val="0"/>
        <w:autoSpaceDN w:val="0"/>
        <w:adjustRightInd w:val="0"/>
        <w:ind w:left="426" w:right="-847"/>
        <w:jc w:val="both"/>
      </w:pPr>
      <w:r w:rsidRPr="00FF0A9A">
        <w:t xml:space="preserve">5. Une personne désignée doit être nommée « Point focal » de l'entreprise pour le traitement des questions de VBG et de VCE, y compris pour représenter l'entreprise au sein de l’Equipe de Conformité (EC) contre les VBG et les VCE, qui est composée de représentants du client, de l'entrepreneur/des entrepreneurs, du consultant en supervision et du(des) prestataire(s) de services locaux. </w:t>
      </w:r>
    </w:p>
    <w:p w:rsidR="00374A0D" w:rsidRPr="00FF0A9A" w:rsidRDefault="00374A0D" w:rsidP="005E613E">
      <w:pPr>
        <w:autoSpaceDE w:val="0"/>
        <w:autoSpaceDN w:val="0"/>
        <w:adjustRightInd w:val="0"/>
        <w:ind w:left="426" w:right="-847"/>
        <w:jc w:val="both"/>
      </w:pPr>
      <w:r w:rsidRPr="00FF0A9A">
        <w:t>6. En consultation avec de l’Equipe de conformité (EC), un Plan d'action efficace doit être élaboré, ce dernier doit comprendre au minimum les dispositions suivantes :</w:t>
      </w:r>
    </w:p>
    <w:p w:rsidR="00374A0D" w:rsidRPr="00FF0A9A" w:rsidRDefault="00374A0D" w:rsidP="005E613E">
      <w:pPr>
        <w:ind w:left="851" w:right="-847"/>
        <w:jc w:val="both"/>
        <w:rPr>
          <w:rFonts w:eastAsia="Times New Roman"/>
        </w:rPr>
      </w:pPr>
      <w:r w:rsidRPr="00FF0A9A">
        <w:rPr>
          <w:rFonts w:eastAsia="Times New Roman"/>
        </w:rPr>
        <w:t xml:space="preserve">i. La Procédure d’allégation des incidents de VBG et de VCE pour signaler les incidents de VBG et de VCE par le biais du Mécanisme de règlement des plaintes (Section 4.3 Plan d’action) ; </w:t>
      </w:r>
    </w:p>
    <w:p w:rsidR="00374A0D" w:rsidRPr="00FF0A9A" w:rsidRDefault="00374A0D" w:rsidP="005E613E">
      <w:pPr>
        <w:ind w:left="851" w:right="-847"/>
        <w:jc w:val="both"/>
        <w:rPr>
          <w:rFonts w:eastAsia="Times New Roman"/>
        </w:rPr>
      </w:pPr>
      <w:r w:rsidRPr="00FF0A9A">
        <w:rPr>
          <w:rFonts w:eastAsia="Times New Roman"/>
        </w:rPr>
        <w:t xml:space="preserve">ii. Les mesures de responsabilité et confidentialité pour protéger la vie privée de tous les intéressés ; et </w:t>
      </w:r>
    </w:p>
    <w:p w:rsidR="00374A0D" w:rsidRPr="00FF0A9A" w:rsidRDefault="00374A0D" w:rsidP="005E613E">
      <w:pPr>
        <w:ind w:left="851" w:right="-847"/>
        <w:jc w:val="both"/>
        <w:rPr>
          <w:rFonts w:eastAsia="Times New Roman"/>
        </w:rPr>
      </w:pPr>
      <w:r w:rsidRPr="00FF0A9A">
        <w:rPr>
          <w:rFonts w:eastAsia="Times New Roman"/>
        </w:rPr>
        <w:t>iii. Le Protocole d’intervention applicable aux survivant(e)s et aux auteurs de VBG et de VCE.</w:t>
      </w:r>
    </w:p>
    <w:p w:rsidR="00374A0D" w:rsidRPr="00FF0A9A" w:rsidRDefault="00374A0D" w:rsidP="005E613E">
      <w:pPr>
        <w:autoSpaceDE w:val="0"/>
        <w:autoSpaceDN w:val="0"/>
        <w:adjustRightInd w:val="0"/>
        <w:ind w:left="426" w:right="-847"/>
        <w:jc w:val="both"/>
      </w:pPr>
      <w:r w:rsidRPr="00FF0A9A">
        <w:t xml:space="preserve">8. Tous les employés doivent suivre un cours d'orientation avant de commencer à travailler sur le chantier pour s'assurer qu'ils connaissent les engagements de l'entreprise à l'égard des normes ESHS et HST, </w:t>
      </w:r>
    </w:p>
    <w:p w:rsidR="00374A0D" w:rsidRPr="00FF0A9A" w:rsidRDefault="00374A0D" w:rsidP="005E613E">
      <w:pPr>
        <w:autoSpaceDE w:val="0"/>
        <w:autoSpaceDN w:val="0"/>
        <w:adjustRightInd w:val="0"/>
        <w:ind w:left="426" w:right="-847"/>
        <w:jc w:val="both"/>
      </w:pPr>
      <w:r w:rsidRPr="00FF0A9A">
        <w:t xml:space="preserve">9. Tous les employés doivent suivre un cours de formation obligatoire une fois par mois pendant toute la durée du contrat, à partir d’une première formation au moment de l’entrée en service avant le début des travaux, afin de renforcer la compréhension des normes ESHS et HST du projet et du Code de conduite VBG et VCE. </w:t>
      </w:r>
    </w:p>
    <w:p w:rsidR="00374A0D" w:rsidRPr="00A05698" w:rsidRDefault="00374A0D" w:rsidP="005E613E">
      <w:pPr>
        <w:ind w:right="-847"/>
        <w:rPr>
          <w:rFonts w:eastAsia="Times New Roman"/>
        </w:rPr>
      </w:pPr>
    </w:p>
    <w:p w:rsidR="00374A0D" w:rsidRPr="00822FC4" w:rsidRDefault="00374A0D" w:rsidP="005E613E">
      <w:pPr>
        <w:autoSpaceDE w:val="0"/>
        <w:autoSpaceDN w:val="0"/>
        <w:adjustRightInd w:val="0"/>
        <w:ind w:left="709" w:right="-847"/>
        <w:jc w:val="both"/>
        <w:rPr>
          <w:i/>
          <w:sz w:val="22"/>
          <w:szCs w:val="22"/>
        </w:rPr>
      </w:pPr>
      <w:r w:rsidRPr="00822FC4">
        <w:rPr>
          <w:i/>
          <w:sz w:val="22"/>
          <w:szCs w:val="22"/>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 </w:t>
      </w:r>
    </w:p>
    <w:p w:rsidR="00374A0D" w:rsidRPr="00822FC4" w:rsidRDefault="00374A0D" w:rsidP="005E613E">
      <w:pPr>
        <w:autoSpaceDE w:val="0"/>
        <w:autoSpaceDN w:val="0"/>
        <w:adjustRightInd w:val="0"/>
        <w:ind w:left="709" w:right="-847"/>
        <w:jc w:val="both"/>
        <w:rPr>
          <w:i/>
          <w:sz w:val="22"/>
          <w:szCs w:val="22"/>
        </w:rPr>
      </w:pPr>
      <w:r w:rsidRPr="00822FC4">
        <w:rPr>
          <w:i/>
          <w:sz w:val="22"/>
          <w:szCs w:val="22"/>
        </w:rPr>
        <w:t xml:space="preserve">Nom de l’entreprise : _________________________ Signature : _________________________ </w:t>
      </w:r>
    </w:p>
    <w:p w:rsidR="00374A0D" w:rsidRPr="00822FC4" w:rsidRDefault="00374A0D" w:rsidP="005E613E">
      <w:pPr>
        <w:autoSpaceDE w:val="0"/>
        <w:autoSpaceDN w:val="0"/>
        <w:adjustRightInd w:val="0"/>
        <w:ind w:left="709" w:right="-847"/>
        <w:jc w:val="both"/>
        <w:rPr>
          <w:i/>
          <w:sz w:val="22"/>
          <w:szCs w:val="22"/>
        </w:rPr>
      </w:pPr>
      <w:r w:rsidRPr="00822FC4">
        <w:rPr>
          <w:i/>
          <w:sz w:val="22"/>
          <w:szCs w:val="22"/>
        </w:rPr>
        <w:t xml:space="preserve">Nom en toutes lettres : ___________________ Titre : _________________________ </w:t>
      </w:r>
    </w:p>
    <w:p w:rsidR="00374A0D" w:rsidRPr="00822FC4" w:rsidRDefault="00374A0D" w:rsidP="005E613E">
      <w:pPr>
        <w:autoSpaceDE w:val="0"/>
        <w:autoSpaceDN w:val="0"/>
        <w:adjustRightInd w:val="0"/>
        <w:ind w:left="709" w:right="-847"/>
        <w:jc w:val="both"/>
        <w:rPr>
          <w:i/>
          <w:sz w:val="22"/>
          <w:szCs w:val="22"/>
        </w:rPr>
      </w:pPr>
      <w:r w:rsidRPr="00822FC4">
        <w:rPr>
          <w:i/>
          <w:sz w:val="22"/>
          <w:szCs w:val="22"/>
        </w:rPr>
        <w:t xml:space="preserve">Date : ________________________ </w:t>
      </w:r>
    </w:p>
    <w:p w:rsidR="00374A0D" w:rsidRPr="00A05698" w:rsidRDefault="00374A0D" w:rsidP="005E613E">
      <w:pPr>
        <w:ind w:left="-284" w:right="-847"/>
        <w:jc w:val="both"/>
        <w:rPr>
          <w:rFonts w:eastAsia="Times New Roman"/>
        </w:rPr>
      </w:pPr>
    </w:p>
    <w:p w:rsidR="00374A0D" w:rsidRPr="00345951" w:rsidRDefault="00374A0D" w:rsidP="005E613E">
      <w:pPr>
        <w:spacing w:after="120"/>
        <w:ind w:right="-847"/>
        <w:outlineLvl w:val="1"/>
        <w:rPr>
          <w:b/>
          <w:bCs/>
        </w:rPr>
      </w:pPr>
      <w:bookmarkStart w:id="421" w:name="_Toc73459797"/>
      <w:r w:rsidRPr="00345951">
        <w:rPr>
          <w:b/>
          <w:bCs/>
        </w:rPr>
        <w:t>EAS/HS et violences contre les enfants</w:t>
      </w:r>
      <w:bookmarkEnd w:id="421"/>
      <w:r w:rsidRPr="00345951">
        <w:rPr>
          <w:b/>
          <w:bCs/>
        </w:rPr>
        <w:t xml:space="preserve"> </w:t>
      </w:r>
    </w:p>
    <w:p w:rsidR="00374A0D" w:rsidRPr="00E76D51" w:rsidRDefault="00374A0D" w:rsidP="005E613E">
      <w:pPr>
        <w:autoSpaceDE w:val="0"/>
        <w:autoSpaceDN w:val="0"/>
        <w:adjustRightInd w:val="0"/>
        <w:ind w:left="284" w:right="-847"/>
        <w:jc w:val="both"/>
      </w:pPr>
      <w:r w:rsidRPr="00E76D51">
        <w:t xml:space="preserve">Les actes d’EAS/HS et de VCE constituent une faute grave et peuvent donc donner lieu à des sanctions, y compris des pénalités et/ou le licenciement, et, le cas échéant, le renvoi à la police (obligatoire) pour la suite à donner. </w:t>
      </w:r>
    </w:p>
    <w:p w:rsidR="00374A0D" w:rsidRPr="00E76D51" w:rsidRDefault="00374A0D" w:rsidP="005E613E">
      <w:pPr>
        <w:autoSpaceDE w:val="0"/>
        <w:autoSpaceDN w:val="0"/>
        <w:adjustRightInd w:val="0"/>
        <w:ind w:left="284" w:right="-847"/>
        <w:jc w:val="both"/>
      </w:pPr>
    </w:p>
    <w:p w:rsidR="00374A0D" w:rsidRPr="00846B77" w:rsidRDefault="00374A0D" w:rsidP="005E613E">
      <w:pPr>
        <w:autoSpaceDE w:val="0"/>
        <w:autoSpaceDN w:val="0"/>
        <w:adjustRightInd w:val="0"/>
        <w:ind w:left="284" w:right="-847"/>
        <w:jc w:val="both"/>
      </w:pPr>
      <w:r w:rsidRPr="00846B77">
        <w:t xml:space="preserve">Toutes les formes d’EAS/HS et de VCE, y compris la sollicitation des enfants, sont inacceptables, qu'elles aient lieu sur le lieu de travail, dans les environs du lieu de travail, dans les campements de travailleurs ou dans la communauté locale. </w:t>
      </w:r>
    </w:p>
    <w:p w:rsidR="00374A0D" w:rsidRPr="00FF0A9A" w:rsidRDefault="00374A0D" w:rsidP="005E613E">
      <w:pPr>
        <w:autoSpaceDE w:val="0"/>
        <w:autoSpaceDN w:val="0"/>
        <w:adjustRightInd w:val="0"/>
        <w:ind w:left="426" w:right="-847"/>
        <w:jc w:val="both"/>
      </w:pPr>
      <w:r w:rsidRPr="00FF0A9A">
        <w:t xml:space="preserve">1. Harcèlement sexuel - par exemple, il est interdit de faire des avances sexuelles indésirées, de demander des faveurs sexuelles, ou d'avoir un comportement verbal ou physique à connotation sexuelle, y compris des actes subtils. </w:t>
      </w:r>
    </w:p>
    <w:p w:rsidR="00374A0D" w:rsidRPr="00FF0A9A" w:rsidRDefault="00374A0D" w:rsidP="005E613E">
      <w:pPr>
        <w:autoSpaceDE w:val="0"/>
        <w:autoSpaceDN w:val="0"/>
        <w:adjustRightInd w:val="0"/>
        <w:ind w:left="426" w:right="-847"/>
        <w:jc w:val="both"/>
      </w:pPr>
      <w:r w:rsidRPr="00FF0A9A">
        <w:t xml:space="preserve">2. Faveurs sexuelles par exemple, il est interdit de promettre ou de réaliser des traitements de faveurs conditionnés par des actes sexuels, ou d'autres formes de comportement humiliant, dégradant ou d'exploitation. </w:t>
      </w:r>
    </w:p>
    <w:p w:rsidR="00374A0D" w:rsidRPr="00FF0A9A" w:rsidRDefault="00374A0D" w:rsidP="005E613E">
      <w:pPr>
        <w:autoSpaceDE w:val="0"/>
        <w:autoSpaceDN w:val="0"/>
        <w:adjustRightInd w:val="0"/>
        <w:ind w:left="426" w:right="-847"/>
        <w:jc w:val="both"/>
      </w:pPr>
      <w:r w:rsidRPr="00FF0A9A">
        <w:t xml:space="preserve">3. 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 </w:t>
      </w:r>
    </w:p>
    <w:p w:rsidR="00374A0D" w:rsidRPr="00FF0A9A" w:rsidRDefault="00374A0D" w:rsidP="005E613E">
      <w:pPr>
        <w:autoSpaceDE w:val="0"/>
        <w:autoSpaceDN w:val="0"/>
        <w:adjustRightInd w:val="0"/>
        <w:ind w:left="426" w:right="-847"/>
        <w:jc w:val="both"/>
      </w:pPr>
      <w:r w:rsidRPr="00FF0A9A">
        <w:t xml:space="preserve">4.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 </w:t>
      </w:r>
    </w:p>
    <w:p w:rsidR="00374A0D" w:rsidRPr="00FF0A9A" w:rsidRDefault="00374A0D" w:rsidP="005E613E">
      <w:pPr>
        <w:autoSpaceDE w:val="0"/>
        <w:autoSpaceDN w:val="0"/>
        <w:adjustRightInd w:val="0"/>
        <w:ind w:left="426" w:right="-847"/>
        <w:jc w:val="both"/>
      </w:pPr>
      <w:r w:rsidRPr="00FF0A9A">
        <w:t xml:space="preserve">5. Outre les sanctions appliquées par l’entreprise, des poursuites judiciaires à l’encontre des auteurs d'actes d’EAS/HS ou de VCE seront engagées, le cas échéant. </w:t>
      </w:r>
    </w:p>
    <w:p w:rsidR="00374A0D" w:rsidRPr="00FF0A9A" w:rsidRDefault="00374A0D" w:rsidP="005E613E">
      <w:pPr>
        <w:autoSpaceDE w:val="0"/>
        <w:autoSpaceDN w:val="0"/>
        <w:adjustRightInd w:val="0"/>
        <w:ind w:left="426" w:right="-847"/>
        <w:jc w:val="both"/>
      </w:pPr>
      <w:r w:rsidRPr="00FF0A9A">
        <w:t xml:space="preserve">6. Tous les employés, y compris les bénévoles et les sous-traitants, sont fortement encouragés à signaler les actes présumés ou réels d’EAS/HS et/ou de VCE commis par un collègue, dans la même entreprise ou non. Les rapports doivent être présentés conformément aux Procédures d'allégation d’actes d’EAS/HS et de VCE du projet. </w:t>
      </w:r>
    </w:p>
    <w:p w:rsidR="00374A0D" w:rsidRPr="00FF0A9A" w:rsidRDefault="00374A0D" w:rsidP="005E613E">
      <w:pPr>
        <w:autoSpaceDE w:val="0"/>
        <w:autoSpaceDN w:val="0"/>
        <w:adjustRightInd w:val="0"/>
        <w:ind w:left="426" w:right="-847"/>
        <w:jc w:val="both"/>
      </w:pPr>
      <w:r w:rsidRPr="00FF0A9A">
        <w:t xml:space="preserve">7. Les gestionnaires sont tenus de signaler les actes présumés ou avérés d’EAS/HS et/ou de VCE et d'agir en conséquence, car ils ont la responsabilité du respect des engagements de l'entreprise et de tenir leurs subordonnés directs pour responsables de ces actes. </w:t>
      </w:r>
    </w:p>
    <w:p w:rsidR="00374A0D" w:rsidRPr="00846B77" w:rsidRDefault="00374A0D" w:rsidP="005E613E">
      <w:pPr>
        <w:ind w:right="-847"/>
        <w:rPr>
          <w:rFonts w:eastAsia="Times New Roman"/>
        </w:rPr>
      </w:pPr>
    </w:p>
    <w:p w:rsidR="00374A0D" w:rsidRPr="00854065" w:rsidRDefault="00374A0D" w:rsidP="005E613E">
      <w:pPr>
        <w:autoSpaceDE w:val="0"/>
        <w:autoSpaceDN w:val="0"/>
        <w:adjustRightInd w:val="0"/>
        <w:ind w:left="284" w:right="-847"/>
        <w:jc w:val="both"/>
        <w:rPr>
          <w:b/>
          <w:u w:val="single"/>
        </w:rPr>
      </w:pPr>
      <w:r w:rsidRPr="00854065">
        <w:rPr>
          <w:b/>
          <w:u w:val="single"/>
        </w:rPr>
        <w:t xml:space="preserve">Mise en œuvre </w:t>
      </w:r>
    </w:p>
    <w:p w:rsidR="00374A0D" w:rsidRPr="00846B77" w:rsidRDefault="00374A0D" w:rsidP="005E613E">
      <w:pPr>
        <w:autoSpaceDE w:val="0"/>
        <w:autoSpaceDN w:val="0"/>
        <w:adjustRightInd w:val="0"/>
        <w:ind w:left="142" w:right="-847"/>
        <w:jc w:val="both"/>
      </w:pPr>
      <w:r w:rsidRPr="00846B77">
        <w:t xml:space="preserve">Pour veiller à ce que les principes énoncés ci-dessus soient efficacement mis en œuvre, FAO ou l’entreprise s’engage à faire en sorte que : </w:t>
      </w:r>
    </w:p>
    <w:p w:rsidR="00374A0D" w:rsidRPr="00FF0A9A" w:rsidRDefault="00374A0D" w:rsidP="005E613E">
      <w:pPr>
        <w:autoSpaceDE w:val="0"/>
        <w:autoSpaceDN w:val="0"/>
        <w:adjustRightInd w:val="0"/>
        <w:ind w:left="426" w:right="-847"/>
        <w:jc w:val="both"/>
      </w:pPr>
      <w:r w:rsidRPr="00FF0A9A">
        <w:t xml:space="preserve">1. Tous les employés signent le « Code de conduite individuel » du projet confirmant leur engagement à respecter les normes ESHS et HST, et à ne pas entreprendre des activités entraînant l’EAS/HS ou les VCE. </w:t>
      </w:r>
    </w:p>
    <w:p w:rsidR="00374A0D" w:rsidRPr="00FF0A9A" w:rsidRDefault="00374A0D" w:rsidP="005E613E">
      <w:pPr>
        <w:autoSpaceDE w:val="0"/>
        <w:autoSpaceDN w:val="0"/>
        <w:adjustRightInd w:val="0"/>
        <w:ind w:left="426" w:right="-847"/>
        <w:jc w:val="both"/>
      </w:pPr>
      <w:r w:rsidRPr="00FF0A9A">
        <w:t xml:space="preserve">2. Une personne désignée doit être nommée « Point focal » de l'entreprise pour le traitement des questions d’EAS/HS et de VCE, y compris pour représenter l'entreprise au sein de l’Equipe de Conformité (EC) contre l’EAS/HS et les VCE, qui est composée de représentants du client, de l'entrepreneur/des entrepreneurs, du consultant en supervision et du(des) prestataire(s) de services locaux. </w:t>
      </w:r>
    </w:p>
    <w:p w:rsidR="00374A0D" w:rsidRPr="00FF0A9A" w:rsidRDefault="00374A0D" w:rsidP="005E613E">
      <w:pPr>
        <w:autoSpaceDE w:val="0"/>
        <w:autoSpaceDN w:val="0"/>
        <w:adjustRightInd w:val="0"/>
        <w:ind w:left="426" w:right="-847"/>
        <w:jc w:val="both"/>
      </w:pPr>
      <w:r w:rsidRPr="00FF0A9A">
        <w:t>3. En consultation avec de l’Équipe de conformité (EC), un Plan d'action efficace doit être élaboré, ce dernier doit comprendre au minimum les dispositions suivantes :</w:t>
      </w:r>
    </w:p>
    <w:p w:rsidR="00374A0D" w:rsidRPr="00FF0A9A" w:rsidRDefault="00374A0D" w:rsidP="005E613E">
      <w:pPr>
        <w:ind w:left="993" w:right="-847"/>
        <w:jc w:val="both"/>
        <w:rPr>
          <w:rFonts w:eastAsia="Times New Roman"/>
        </w:rPr>
      </w:pPr>
      <w:r w:rsidRPr="00FF0A9A">
        <w:rPr>
          <w:rFonts w:eastAsia="Times New Roman"/>
        </w:rPr>
        <w:t xml:space="preserve"> i. La Procédure d’allégation des incidents de VBG et de VCE pour signaler les incidents de VBG et de VCE par le biais du Mécanisme de règlement des plaintes ; </w:t>
      </w:r>
    </w:p>
    <w:p w:rsidR="00374A0D" w:rsidRPr="00FF0A9A" w:rsidRDefault="00374A0D" w:rsidP="005E613E">
      <w:pPr>
        <w:ind w:left="993" w:right="-847"/>
        <w:jc w:val="both"/>
        <w:rPr>
          <w:rFonts w:eastAsia="Times New Roman"/>
        </w:rPr>
      </w:pPr>
      <w:r w:rsidRPr="00FF0A9A">
        <w:rPr>
          <w:rFonts w:eastAsia="Times New Roman"/>
        </w:rPr>
        <w:t xml:space="preserve">ii. Les mesures de responsabilité et confidentialité pour protéger la vie privée de tous les intéressés ; et </w:t>
      </w:r>
    </w:p>
    <w:p w:rsidR="00374A0D" w:rsidRPr="00FF0A9A" w:rsidRDefault="00374A0D" w:rsidP="005E613E">
      <w:pPr>
        <w:ind w:left="993" w:right="-847"/>
        <w:jc w:val="both"/>
        <w:rPr>
          <w:rFonts w:eastAsia="Times New Roman"/>
        </w:rPr>
      </w:pPr>
      <w:r w:rsidRPr="00FF0A9A">
        <w:rPr>
          <w:rFonts w:eastAsia="Times New Roman"/>
        </w:rPr>
        <w:t>iii. Le Protocole d’intervention applicable aux survivant(e)s et aux auteurs de VBG et de VCE.</w:t>
      </w:r>
    </w:p>
    <w:p w:rsidR="00374A0D" w:rsidRPr="00FF0A9A" w:rsidRDefault="00374A0D" w:rsidP="005E613E">
      <w:pPr>
        <w:autoSpaceDE w:val="0"/>
        <w:autoSpaceDN w:val="0"/>
        <w:adjustRightInd w:val="0"/>
        <w:ind w:left="426" w:right="-847"/>
        <w:jc w:val="both"/>
      </w:pPr>
      <w:r w:rsidRPr="00FF0A9A">
        <w:t xml:space="preserve">4. L'entreprise doit mettre en œuvre de manière efficace le Plan d'action contre l’EAS/HS et Violences contre les Enfants (VCE) final convenu, en faisant part à l’Equipe de conformité (EC) d’éventuels améliorations et de mises à jour, le cas échéant. </w:t>
      </w:r>
    </w:p>
    <w:p w:rsidR="00374A0D" w:rsidRPr="00FF0A9A" w:rsidRDefault="00374A0D" w:rsidP="005E613E">
      <w:pPr>
        <w:autoSpaceDE w:val="0"/>
        <w:autoSpaceDN w:val="0"/>
        <w:adjustRightInd w:val="0"/>
        <w:ind w:left="426" w:right="-847"/>
        <w:jc w:val="both"/>
      </w:pPr>
      <w:r w:rsidRPr="00FF0A9A">
        <w:t xml:space="preserve">5. 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projet. </w:t>
      </w:r>
    </w:p>
    <w:p w:rsidR="00374A0D" w:rsidRPr="00FF0A9A" w:rsidRDefault="00374A0D" w:rsidP="005E613E">
      <w:pPr>
        <w:autoSpaceDE w:val="0"/>
        <w:autoSpaceDN w:val="0"/>
        <w:adjustRightInd w:val="0"/>
        <w:ind w:left="426" w:right="-847"/>
        <w:jc w:val="both"/>
      </w:pPr>
      <w:r w:rsidRPr="00FF0A9A">
        <w:t xml:space="preserve">6. Tous les employés doivent suivre un cours de formation obligatoire une fois par mois pendant toute la durée du contrat, à partir d’une première formation au moment de l’entrée en service avant le début des travaux, afin de renforcer la compréhension du Code de conduite VBG et VCE. </w:t>
      </w:r>
    </w:p>
    <w:p w:rsidR="00374A0D" w:rsidRDefault="00374A0D" w:rsidP="005E613E">
      <w:pPr>
        <w:ind w:right="-847"/>
        <w:jc w:val="both"/>
        <w:rPr>
          <w:rFonts w:eastAsia="Times New Roman"/>
        </w:rPr>
      </w:pPr>
    </w:p>
    <w:p w:rsidR="00374A0D" w:rsidRPr="00345951" w:rsidRDefault="00374A0D" w:rsidP="005E613E">
      <w:pPr>
        <w:spacing w:after="120"/>
        <w:ind w:right="-847"/>
        <w:outlineLvl w:val="1"/>
        <w:rPr>
          <w:b/>
          <w:bCs/>
        </w:rPr>
      </w:pPr>
      <w:bookmarkStart w:id="422" w:name="_Toc73459798"/>
      <w:r w:rsidRPr="00345951">
        <w:rPr>
          <w:b/>
          <w:bCs/>
        </w:rPr>
        <w:t>Le cadre normatif de la FAO en matière de PEAS</w:t>
      </w:r>
      <w:bookmarkEnd w:id="422"/>
      <w:r w:rsidRPr="00345951">
        <w:rPr>
          <w:b/>
          <w:bCs/>
        </w:rPr>
        <w:t xml:space="preserve">  </w:t>
      </w:r>
    </w:p>
    <w:p w:rsidR="00374A0D" w:rsidRPr="00435BC6" w:rsidRDefault="00374A0D" w:rsidP="005E613E">
      <w:pPr>
        <w:pStyle w:val="PargrafodaLista"/>
        <w:numPr>
          <w:ilvl w:val="0"/>
          <w:numId w:val="176"/>
        </w:numPr>
        <w:autoSpaceDE w:val="0"/>
        <w:autoSpaceDN w:val="0"/>
        <w:adjustRightInd w:val="0"/>
        <w:ind w:right="-847"/>
        <w:jc w:val="both"/>
        <w:rPr>
          <w:rFonts w:ascii="Times New Roman" w:hAnsi="Times New Roman"/>
          <w:b/>
          <w:sz w:val="24"/>
          <w:szCs w:val="24"/>
        </w:rPr>
      </w:pPr>
      <w:r w:rsidRPr="00435BC6">
        <w:rPr>
          <w:rFonts w:ascii="Times New Roman" w:hAnsi="Times New Roman"/>
          <w:b/>
          <w:sz w:val="24"/>
          <w:szCs w:val="24"/>
        </w:rPr>
        <w:t xml:space="preserve">Normes de conduite de la fonction publique internationale : Insérées en 2003 dans la section 304 du manuel, Appendice A. </w:t>
      </w:r>
    </w:p>
    <w:p w:rsidR="00374A0D" w:rsidRPr="00435BC6" w:rsidRDefault="00374A0D" w:rsidP="005E613E">
      <w:pPr>
        <w:pStyle w:val="PargrafodaLista"/>
        <w:numPr>
          <w:ilvl w:val="0"/>
          <w:numId w:val="176"/>
        </w:numPr>
        <w:autoSpaceDE w:val="0"/>
        <w:autoSpaceDN w:val="0"/>
        <w:adjustRightInd w:val="0"/>
        <w:ind w:right="-847"/>
        <w:jc w:val="both"/>
        <w:rPr>
          <w:rFonts w:ascii="Times New Roman" w:hAnsi="Times New Roman"/>
          <w:b/>
          <w:sz w:val="24"/>
          <w:szCs w:val="24"/>
        </w:rPr>
      </w:pPr>
      <w:r w:rsidRPr="00435BC6">
        <w:rPr>
          <w:rFonts w:ascii="Times New Roman" w:hAnsi="Times New Roman"/>
          <w:b/>
          <w:sz w:val="24"/>
          <w:szCs w:val="24"/>
        </w:rPr>
        <w:t xml:space="preserve">Bulletin du Directeur général n° 2012/70 relatif à la protection contre l’exploitation et les abus sexuels (2012):  </w:t>
      </w:r>
    </w:p>
    <w:p w:rsidR="00374A0D" w:rsidRPr="006627D4" w:rsidRDefault="00374A0D" w:rsidP="005E613E">
      <w:pPr>
        <w:ind w:left="1276" w:right="-847"/>
        <w:jc w:val="both"/>
        <w:rPr>
          <w:rFonts w:eastAsia="Times New Roman"/>
          <w:sz w:val="22"/>
          <w:szCs w:val="22"/>
        </w:rPr>
      </w:pPr>
      <w:r w:rsidRPr="006627D4">
        <w:rPr>
          <w:rFonts w:eastAsia="Times New Roman"/>
          <w:sz w:val="22"/>
          <w:szCs w:val="22"/>
        </w:rPr>
        <w:t xml:space="preserve">•Affirme que la FAO applique une politique de tolérance zéro concernant les actes d’EAS commis par son personnel ou par toutes personnes associées à ses activités. </w:t>
      </w:r>
    </w:p>
    <w:p w:rsidR="00374A0D" w:rsidRPr="006627D4" w:rsidRDefault="00374A0D" w:rsidP="005E613E">
      <w:pPr>
        <w:ind w:left="1276" w:right="-847"/>
        <w:jc w:val="both"/>
        <w:rPr>
          <w:rFonts w:eastAsia="Times New Roman"/>
          <w:sz w:val="22"/>
          <w:szCs w:val="22"/>
        </w:rPr>
      </w:pPr>
      <w:r w:rsidRPr="006627D4">
        <w:rPr>
          <w:rFonts w:eastAsia="Times New Roman"/>
          <w:sz w:val="22"/>
          <w:szCs w:val="22"/>
        </w:rPr>
        <w:t>•Ces actes constituent des fautes graves passibles de sanctions disciplinaires, lesquelles peuvent aller jusqu’au renvoi sans préavis ou à la résiliation du contrat.</w:t>
      </w:r>
    </w:p>
    <w:p w:rsidR="00374A0D" w:rsidRDefault="00374A0D" w:rsidP="005E613E">
      <w:pPr>
        <w:ind w:left="1276" w:right="-847"/>
        <w:jc w:val="both"/>
        <w:rPr>
          <w:rFonts w:eastAsia="Times New Roman"/>
          <w:sz w:val="22"/>
          <w:szCs w:val="22"/>
        </w:rPr>
      </w:pPr>
      <w:r w:rsidRPr="006627D4">
        <w:rPr>
          <w:rFonts w:eastAsia="Times New Roman"/>
          <w:sz w:val="22"/>
          <w:szCs w:val="22"/>
        </w:rPr>
        <w:t>•Énonce la mise en œuvre de la PEAS au sein de la FAO en alignement avec la circulaire du Secrétaire général des Nations Unies sur les dispositions spéciales visant à prévenir l’exploitation et les abus sexuels de 2003.</w:t>
      </w:r>
    </w:p>
    <w:p w:rsidR="00374A0D" w:rsidRPr="006627D4" w:rsidRDefault="00374A0D" w:rsidP="005E613E">
      <w:pPr>
        <w:ind w:left="-284" w:right="-847"/>
        <w:jc w:val="both"/>
        <w:rPr>
          <w:rFonts w:eastAsia="Times New Roman"/>
          <w:sz w:val="22"/>
          <w:szCs w:val="22"/>
        </w:rPr>
      </w:pPr>
    </w:p>
    <w:p w:rsidR="00374A0D" w:rsidRPr="000A2AED" w:rsidRDefault="00374A0D" w:rsidP="005E613E">
      <w:pPr>
        <w:pStyle w:val="PargrafodaLista"/>
        <w:numPr>
          <w:ilvl w:val="0"/>
          <w:numId w:val="176"/>
        </w:numPr>
        <w:autoSpaceDE w:val="0"/>
        <w:autoSpaceDN w:val="0"/>
        <w:adjustRightInd w:val="0"/>
        <w:ind w:right="-847"/>
        <w:jc w:val="both"/>
        <w:rPr>
          <w:rFonts w:ascii="Times New Roman" w:hAnsi="Times New Roman"/>
          <w:b/>
          <w:sz w:val="24"/>
          <w:szCs w:val="24"/>
        </w:rPr>
      </w:pPr>
      <w:r w:rsidRPr="000A2AED">
        <w:rPr>
          <w:rFonts w:ascii="Times New Roman" w:hAnsi="Times New Roman"/>
          <w:b/>
          <w:sz w:val="24"/>
          <w:szCs w:val="24"/>
        </w:rPr>
        <w:t xml:space="preserve">Circulaire administrative n° 2013/27 relative à la protection contre l’exploitation et les abus sexuels (2013): </w:t>
      </w:r>
    </w:p>
    <w:p w:rsidR="00374A0D" w:rsidRPr="006627D4" w:rsidRDefault="00374A0D" w:rsidP="005E613E">
      <w:pPr>
        <w:ind w:left="1276" w:right="-847"/>
        <w:jc w:val="both"/>
        <w:rPr>
          <w:rFonts w:eastAsia="Times New Roman"/>
          <w:sz w:val="22"/>
          <w:szCs w:val="22"/>
        </w:rPr>
      </w:pPr>
      <w:r w:rsidRPr="006627D4">
        <w:rPr>
          <w:rFonts w:eastAsia="Times New Roman"/>
          <w:sz w:val="22"/>
          <w:szCs w:val="22"/>
        </w:rPr>
        <w:t>•Réaffirme que la FAO applique une politique de tolérance zéro concernant les actes d’exploitation ou d’abus sexuels commis par son personnel ou par toute autre personne associée à ses activités.</w:t>
      </w:r>
    </w:p>
    <w:p w:rsidR="00374A0D" w:rsidRPr="006627D4" w:rsidRDefault="00374A0D" w:rsidP="005E613E">
      <w:pPr>
        <w:ind w:left="1276" w:right="-847"/>
        <w:jc w:val="both"/>
        <w:rPr>
          <w:rFonts w:eastAsia="Times New Roman"/>
          <w:sz w:val="22"/>
          <w:szCs w:val="22"/>
        </w:rPr>
      </w:pPr>
      <w:r w:rsidRPr="006627D4">
        <w:rPr>
          <w:rFonts w:eastAsia="Times New Roman"/>
          <w:sz w:val="22"/>
          <w:szCs w:val="22"/>
        </w:rPr>
        <w:t>•Affirme que les responsables et cadres de tous niveaux sont tenus d’instaurer et de préserver un environnement de travail empêchant l’EAS et de prendre toutes les mesures nécessaires dans ce sens.</w:t>
      </w:r>
    </w:p>
    <w:p w:rsidR="00374A0D" w:rsidRDefault="00374A0D" w:rsidP="005E613E">
      <w:pPr>
        <w:ind w:left="1276" w:right="-847"/>
        <w:jc w:val="both"/>
        <w:rPr>
          <w:rFonts w:eastAsia="Times New Roman"/>
          <w:sz w:val="22"/>
          <w:szCs w:val="22"/>
        </w:rPr>
      </w:pPr>
      <w:r w:rsidRPr="006627D4">
        <w:rPr>
          <w:rFonts w:eastAsia="Times New Roman"/>
          <w:sz w:val="22"/>
          <w:szCs w:val="22"/>
        </w:rPr>
        <w:t>•Établit des procédures de signalement et d’enquête relatives aux allégations d’EAS impliquant des membres du personnel de la FAO ou des personnes associées aux activités de l’Organisation.</w:t>
      </w:r>
    </w:p>
    <w:p w:rsidR="00374A0D" w:rsidRPr="006627D4" w:rsidRDefault="00374A0D" w:rsidP="005E613E">
      <w:pPr>
        <w:ind w:left="1276" w:right="-847"/>
        <w:jc w:val="both"/>
        <w:rPr>
          <w:rFonts w:eastAsia="Times New Roman"/>
          <w:sz w:val="22"/>
          <w:szCs w:val="22"/>
        </w:rPr>
      </w:pPr>
    </w:p>
    <w:p w:rsidR="00374A0D" w:rsidRDefault="00374A0D" w:rsidP="005E613E">
      <w:pPr>
        <w:pStyle w:val="PargrafodaLista"/>
        <w:numPr>
          <w:ilvl w:val="0"/>
          <w:numId w:val="176"/>
        </w:numPr>
        <w:autoSpaceDE w:val="0"/>
        <w:autoSpaceDN w:val="0"/>
        <w:adjustRightInd w:val="0"/>
        <w:ind w:right="-847"/>
        <w:jc w:val="both"/>
        <w:rPr>
          <w:rFonts w:ascii="Times New Roman" w:hAnsi="Times New Roman"/>
          <w:b/>
          <w:sz w:val="24"/>
          <w:szCs w:val="24"/>
        </w:rPr>
      </w:pPr>
      <w:r w:rsidRPr="000A2AED">
        <w:rPr>
          <w:rFonts w:ascii="Times New Roman" w:hAnsi="Times New Roman"/>
          <w:b/>
          <w:sz w:val="24"/>
          <w:szCs w:val="24"/>
        </w:rPr>
        <w:t>Le cadre normatif de la FAO en matière de PEAS s’applique à toutes les personnes employées par la FAO, quels que soient leur lieu d’affectation, leur type de contrat ou leur grade, ainsi qu’à tous les partenaires de l’Organisation, comme les fournisseurs et les partenaires d’exécution.</w:t>
      </w:r>
    </w:p>
    <w:p w:rsidR="00374A0D" w:rsidRPr="006E493B" w:rsidRDefault="00374A0D" w:rsidP="005E613E">
      <w:pPr>
        <w:pStyle w:val="PargrafodaLista"/>
        <w:autoSpaceDE w:val="0"/>
        <w:autoSpaceDN w:val="0"/>
        <w:adjustRightInd w:val="0"/>
        <w:ind w:left="862" w:right="-847"/>
        <w:jc w:val="both"/>
        <w:rPr>
          <w:rFonts w:ascii="Times New Roman" w:hAnsi="Times New Roman"/>
          <w:b/>
          <w:sz w:val="24"/>
          <w:szCs w:val="24"/>
        </w:rPr>
      </w:pPr>
    </w:p>
    <w:p w:rsidR="00374A0D" w:rsidRPr="00345951" w:rsidRDefault="00374A0D" w:rsidP="005E613E">
      <w:pPr>
        <w:spacing w:after="120"/>
        <w:ind w:right="-847"/>
        <w:outlineLvl w:val="1"/>
        <w:rPr>
          <w:b/>
          <w:bCs/>
        </w:rPr>
      </w:pPr>
      <w:bookmarkStart w:id="423" w:name="_Toc73459799"/>
      <w:r w:rsidRPr="00345951">
        <w:rPr>
          <w:b/>
          <w:bCs/>
        </w:rPr>
        <w:t>LA PREVENTION ET RÉPONSE À ‘L’EAS/HS ET LES VIOLENCES CONTRE LES ENFANTS</w:t>
      </w:r>
      <w:bookmarkEnd w:id="423"/>
      <w:r w:rsidRPr="00345951">
        <w:rPr>
          <w:b/>
          <w:bCs/>
        </w:rPr>
        <w:t xml:space="preserve"> </w:t>
      </w:r>
    </w:p>
    <w:p w:rsidR="00374A0D" w:rsidRPr="00345951" w:rsidRDefault="00374A0D" w:rsidP="005E613E">
      <w:pPr>
        <w:spacing w:after="120"/>
        <w:ind w:right="-847"/>
        <w:outlineLvl w:val="1"/>
        <w:rPr>
          <w:b/>
          <w:bCs/>
        </w:rPr>
      </w:pPr>
      <w:bookmarkStart w:id="424" w:name="_Toc73459800"/>
      <w:r w:rsidRPr="00345951">
        <w:rPr>
          <w:b/>
          <w:bCs/>
        </w:rPr>
        <w:t>Généralités</w:t>
      </w:r>
      <w:bookmarkEnd w:id="424"/>
      <w:r w:rsidRPr="00345951">
        <w:rPr>
          <w:b/>
          <w:bCs/>
        </w:rPr>
        <w:t xml:space="preserve"> </w:t>
      </w:r>
    </w:p>
    <w:p w:rsidR="00374A0D" w:rsidRPr="00846B77" w:rsidRDefault="00374A0D" w:rsidP="005E613E">
      <w:pPr>
        <w:autoSpaceDE w:val="0"/>
        <w:autoSpaceDN w:val="0"/>
        <w:adjustRightInd w:val="0"/>
        <w:ind w:left="284" w:right="-847"/>
        <w:jc w:val="both"/>
      </w:pPr>
      <w:r w:rsidRPr="00846B77">
        <w:t>La prévention d’EAS/HS et les violences contre les enfants (VCE) consiste à introduire un ensemble de définitions clefs, des codes de conduite et des lignes directrices afin de :</w:t>
      </w:r>
    </w:p>
    <w:p w:rsidR="00374A0D" w:rsidRPr="00FF0A9A" w:rsidRDefault="00374A0D" w:rsidP="005E613E">
      <w:pPr>
        <w:pStyle w:val="PargrafodaLista"/>
        <w:numPr>
          <w:ilvl w:val="0"/>
          <w:numId w:val="98"/>
        </w:numPr>
        <w:ind w:left="993" w:right="-847"/>
        <w:jc w:val="both"/>
        <w:rPr>
          <w:rFonts w:ascii="Times New Roman" w:eastAsia="Times New Roman" w:hAnsi="Times New Roman"/>
          <w:sz w:val="24"/>
          <w:szCs w:val="24"/>
        </w:rPr>
      </w:pPr>
      <w:r w:rsidRPr="00FF0A9A">
        <w:rPr>
          <w:rFonts w:ascii="Times New Roman" w:eastAsia="Times New Roman" w:hAnsi="Times New Roman"/>
          <w:sz w:val="24"/>
          <w:szCs w:val="24"/>
        </w:rPr>
        <w:t>Contribuer à prévenir, identifier et combattre les incidents d’EAS/HS et la VCE sur le chantier et dans les communautés avoisinantes.</w:t>
      </w:r>
    </w:p>
    <w:p w:rsidR="00374A0D" w:rsidRPr="00FF0A9A" w:rsidRDefault="00374A0D" w:rsidP="005E613E">
      <w:pPr>
        <w:pStyle w:val="PargrafodaLista"/>
        <w:numPr>
          <w:ilvl w:val="0"/>
          <w:numId w:val="98"/>
        </w:numPr>
        <w:ind w:left="993" w:right="-847"/>
        <w:jc w:val="both"/>
        <w:rPr>
          <w:rFonts w:ascii="Times New Roman" w:eastAsia="Times New Roman" w:hAnsi="Times New Roman"/>
          <w:sz w:val="24"/>
          <w:szCs w:val="24"/>
        </w:rPr>
      </w:pPr>
      <w:r w:rsidRPr="00FF0A9A">
        <w:rPr>
          <w:rFonts w:ascii="Times New Roman" w:eastAsia="Times New Roman" w:hAnsi="Times New Roman"/>
          <w:sz w:val="24"/>
          <w:szCs w:val="24"/>
        </w:rPr>
        <w:t>Prévenir et/ou atténuer les risques de VBG, y compris ceux liés à l’EAS/HS et de VCE sur le site du projet et dans les communautés locales. Les personnes travaillant dans le projet doivent adopter ces Codes de conduite qui vise à :</w:t>
      </w:r>
    </w:p>
    <w:p w:rsidR="00374A0D" w:rsidRPr="00FF0A9A" w:rsidRDefault="00374A0D" w:rsidP="005E613E">
      <w:pPr>
        <w:pStyle w:val="PargrafodaLista"/>
        <w:ind w:left="1418" w:right="-847"/>
        <w:jc w:val="both"/>
        <w:rPr>
          <w:rFonts w:ascii="Times New Roman" w:eastAsia="Times New Roman" w:hAnsi="Times New Roman"/>
          <w:sz w:val="24"/>
          <w:szCs w:val="24"/>
        </w:rPr>
      </w:pPr>
      <w:r w:rsidRPr="00FF0A9A">
        <w:rPr>
          <w:rFonts w:ascii="Times New Roman" w:eastAsia="Times New Roman" w:hAnsi="Times New Roman"/>
          <w:sz w:val="24"/>
          <w:szCs w:val="24"/>
        </w:rPr>
        <w:t xml:space="preserve"> i. Sensibiliser le personnel opérant dans le projet aux attentes en matière de ESHS et de HST ; et</w:t>
      </w:r>
    </w:p>
    <w:p w:rsidR="00374A0D" w:rsidRPr="00FF0A9A" w:rsidRDefault="00374A0D" w:rsidP="005E613E">
      <w:pPr>
        <w:pStyle w:val="PargrafodaLista"/>
        <w:ind w:left="1418" w:right="-847"/>
        <w:jc w:val="both"/>
        <w:rPr>
          <w:rFonts w:ascii="Times New Roman" w:eastAsia="Times New Roman" w:hAnsi="Times New Roman"/>
          <w:sz w:val="24"/>
          <w:szCs w:val="24"/>
        </w:rPr>
      </w:pPr>
      <w:r w:rsidRPr="00FF0A9A">
        <w:rPr>
          <w:rFonts w:ascii="Times New Roman" w:eastAsia="Times New Roman" w:hAnsi="Times New Roman"/>
          <w:sz w:val="24"/>
          <w:szCs w:val="24"/>
        </w:rPr>
        <w:t xml:space="preserve">ii. Créer une prise de conscience concernant l’EAS/HS et de VCE, et : </w:t>
      </w:r>
    </w:p>
    <w:p w:rsidR="00374A0D" w:rsidRPr="00FF0A9A" w:rsidRDefault="00374A0D" w:rsidP="005E613E">
      <w:pPr>
        <w:pStyle w:val="PargrafodaLista"/>
        <w:ind w:left="2268" w:right="-847"/>
        <w:jc w:val="both"/>
        <w:rPr>
          <w:rFonts w:ascii="Times New Roman" w:eastAsia="Times New Roman" w:hAnsi="Times New Roman"/>
          <w:sz w:val="24"/>
          <w:szCs w:val="24"/>
        </w:rPr>
      </w:pPr>
      <w:r w:rsidRPr="00FF0A9A">
        <w:rPr>
          <w:rFonts w:ascii="Times New Roman" w:eastAsia="Times New Roman" w:hAnsi="Times New Roman"/>
          <w:sz w:val="24"/>
          <w:szCs w:val="24"/>
        </w:rPr>
        <w:t xml:space="preserve">a)  Créer un consensus sur le fait que tels actes n’ont pas leur place dans le projet ; et </w:t>
      </w:r>
    </w:p>
    <w:p w:rsidR="00374A0D" w:rsidRPr="00FF0A9A" w:rsidRDefault="00374A0D" w:rsidP="005E613E">
      <w:pPr>
        <w:pStyle w:val="PargrafodaLista"/>
        <w:ind w:left="2268" w:right="-847"/>
        <w:jc w:val="both"/>
        <w:rPr>
          <w:rFonts w:ascii="Times New Roman" w:eastAsia="Times New Roman" w:hAnsi="Times New Roman"/>
          <w:sz w:val="24"/>
          <w:szCs w:val="24"/>
        </w:rPr>
      </w:pPr>
      <w:r w:rsidRPr="00FF0A9A">
        <w:rPr>
          <w:rFonts w:ascii="Times New Roman" w:eastAsia="Times New Roman" w:hAnsi="Times New Roman"/>
          <w:sz w:val="24"/>
          <w:szCs w:val="24"/>
        </w:rPr>
        <w:t xml:space="preserve">b) Établir un protocole pour identifier les incidents d’EAS/HS et de VCE ; répondre à tels incidents ; et les sanctionner. </w:t>
      </w:r>
    </w:p>
    <w:p w:rsidR="00374A0D" w:rsidRDefault="00374A0D" w:rsidP="005E613E">
      <w:pPr>
        <w:pStyle w:val="PargrafodaLista"/>
        <w:ind w:right="-847"/>
        <w:jc w:val="both"/>
        <w:rPr>
          <w:rFonts w:eastAsia="Times New Roman"/>
        </w:rPr>
      </w:pPr>
    </w:p>
    <w:p w:rsidR="00374A0D" w:rsidRPr="00846B77" w:rsidRDefault="00374A0D" w:rsidP="005E613E">
      <w:pPr>
        <w:pStyle w:val="PargrafodaLista"/>
        <w:spacing w:after="120" w:line="240" w:lineRule="auto"/>
        <w:ind w:left="2420" w:right="-847"/>
        <w:outlineLvl w:val="1"/>
        <w:rPr>
          <w:rFonts w:ascii="Times New Roman" w:hAnsi="Times New Roman"/>
          <w:b/>
          <w:bCs/>
          <w:sz w:val="24"/>
          <w:szCs w:val="24"/>
        </w:rPr>
      </w:pPr>
      <w:bookmarkStart w:id="425" w:name="_Toc73459801"/>
      <w:r w:rsidRPr="00846B77">
        <w:rPr>
          <w:rFonts w:ascii="Times New Roman" w:hAnsi="Times New Roman"/>
          <w:b/>
          <w:bCs/>
          <w:sz w:val="24"/>
          <w:szCs w:val="24"/>
        </w:rPr>
        <w:t>Définition</w:t>
      </w:r>
      <w:bookmarkEnd w:id="425"/>
    </w:p>
    <w:p w:rsidR="00374A0D" w:rsidRPr="00FF0A9A" w:rsidRDefault="00374A0D" w:rsidP="005E613E">
      <w:pPr>
        <w:widowControl w:val="0"/>
        <w:autoSpaceDE w:val="0"/>
        <w:autoSpaceDN w:val="0"/>
        <w:adjustRightInd w:val="0"/>
        <w:ind w:left="426" w:right="-847"/>
        <w:jc w:val="both"/>
        <w:rPr>
          <w:color w:val="000000" w:themeColor="text1"/>
          <w:lang w:eastAsia="en-US"/>
        </w:rPr>
      </w:pPr>
      <w:r w:rsidRPr="00FF0A9A">
        <w:rPr>
          <w:color w:val="000000" w:themeColor="text1"/>
          <w:lang w:eastAsia="en-US"/>
        </w:rPr>
        <w:t>•</w:t>
      </w:r>
      <w:r w:rsidRPr="00FF0A9A">
        <w:rPr>
          <w:b/>
          <w:bCs/>
          <w:color w:val="000000" w:themeColor="text1"/>
          <w:lang w:eastAsia="en-US"/>
        </w:rPr>
        <w:t xml:space="preserve">L’exploitation et abus sexuels (EAS) : </w:t>
      </w:r>
      <w:r w:rsidRPr="00FF0A9A">
        <w:rPr>
          <w:color w:val="000000" w:themeColor="text1"/>
          <w:lang w:eastAsia="en-US"/>
        </w:rPr>
        <w:t> «Formes particulières de violence basée sur le genre signalées dans des contextes humanitaires, plus particulièrement les actes mettant en cause  des travailleurs humanitaires.»</w:t>
      </w:r>
    </w:p>
    <w:p w:rsidR="00374A0D" w:rsidRPr="00FF0A9A" w:rsidRDefault="00374A0D" w:rsidP="005E613E">
      <w:pPr>
        <w:ind w:left="426" w:right="-847"/>
        <w:rPr>
          <w:rFonts w:eastAsia="Times New Roman"/>
          <w:color w:val="000000" w:themeColor="text1"/>
        </w:rPr>
      </w:pPr>
    </w:p>
    <w:p w:rsidR="00374A0D" w:rsidRPr="00FF0A9A" w:rsidRDefault="00374A0D" w:rsidP="005E613E">
      <w:pPr>
        <w:widowControl w:val="0"/>
        <w:autoSpaceDE w:val="0"/>
        <w:autoSpaceDN w:val="0"/>
        <w:adjustRightInd w:val="0"/>
        <w:ind w:left="426" w:right="-847"/>
        <w:jc w:val="both"/>
        <w:rPr>
          <w:color w:val="000000" w:themeColor="text1"/>
          <w:lang w:eastAsia="en-US"/>
        </w:rPr>
      </w:pPr>
      <w:r w:rsidRPr="00FF0A9A">
        <w:rPr>
          <w:b/>
          <w:color w:val="000000" w:themeColor="text1"/>
          <w:lang w:eastAsia="en-US"/>
        </w:rPr>
        <w:t>L’expression « exploitation sexuelle »</w:t>
      </w:r>
      <w:r w:rsidRPr="00FF0A9A">
        <w:rPr>
          <w:color w:val="000000" w:themeColor="text1"/>
          <w:lang w:eastAsia="en-US"/>
        </w:rPr>
        <w:t xml:space="preserve"> désigne le fait d’abuser ou de tenter d’abuser d’un état de vulnérabilité, d’un rapport de force inégal ou de rapports de confiance à des fins sexuelles, y compris mais non exclusivement en vue d’en tirer un avantage pécuniaire, social ou politique. </w:t>
      </w:r>
    </w:p>
    <w:p w:rsidR="00374A0D" w:rsidRPr="00FF0A9A" w:rsidRDefault="00374A0D" w:rsidP="005E613E">
      <w:pPr>
        <w:widowControl w:val="0"/>
        <w:autoSpaceDE w:val="0"/>
        <w:autoSpaceDN w:val="0"/>
        <w:adjustRightInd w:val="0"/>
        <w:ind w:left="426" w:right="-847"/>
        <w:jc w:val="both"/>
        <w:rPr>
          <w:color w:val="000000" w:themeColor="text1"/>
          <w:lang w:eastAsia="en-US"/>
        </w:rPr>
      </w:pPr>
      <w:r w:rsidRPr="00FF0A9A">
        <w:rPr>
          <w:color w:val="000000" w:themeColor="text1"/>
          <w:lang w:eastAsia="en-US"/>
        </w:rPr>
        <w:t xml:space="preserve">                                                                                                                                          </w:t>
      </w:r>
    </w:p>
    <w:p w:rsidR="00374A0D" w:rsidRPr="00FF0A9A" w:rsidRDefault="00374A0D" w:rsidP="005E613E">
      <w:pPr>
        <w:widowControl w:val="0"/>
        <w:autoSpaceDE w:val="0"/>
        <w:autoSpaceDN w:val="0"/>
        <w:adjustRightInd w:val="0"/>
        <w:ind w:left="426" w:right="-847"/>
        <w:jc w:val="both"/>
        <w:rPr>
          <w:color w:val="000000" w:themeColor="text1"/>
          <w:lang w:eastAsia="en-US"/>
        </w:rPr>
      </w:pPr>
      <w:r w:rsidRPr="00FF0A9A">
        <w:rPr>
          <w:b/>
          <w:color w:val="000000" w:themeColor="text1"/>
          <w:lang w:eastAsia="en-US"/>
        </w:rPr>
        <w:t xml:space="preserve"> L’expression « abus sexuel »</w:t>
      </w:r>
      <w:r w:rsidRPr="00FF0A9A">
        <w:rPr>
          <w:color w:val="000000" w:themeColor="text1"/>
          <w:lang w:eastAsia="en-US"/>
        </w:rPr>
        <w:t xml:space="preserve"> désigne toute atteinte sexuelle commise avec force, contrainte ou à la faveur d’un rapport inégal, la menace d’une telle atteinte constituant aussi l’abus sexuel.  </w:t>
      </w:r>
    </w:p>
    <w:p w:rsidR="00374A0D" w:rsidRPr="00FF0A9A" w:rsidRDefault="00374A0D" w:rsidP="005E613E">
      <w:pPr>
        <w:widowControl w:val="0"/>
        <w:autoSpaceDE w:val="0"/>
        <w:autoSpaceDN w:val="0"/>
        <w:adjustRightInd w:val="0"/>
        <w:ind w:left="426" w:right="-847"/>
        <w:jc w:val="both"/>
        <w:rPr>
          <w:color w:val="000000" w:themeColor="text1"/>
          <w:lang w:eastAsia="en-US"/>
        </w:rPr>
      </w:pPr>
      <w:r w:rsidRPr="00FF0A9A">
        <w:rPr>
          <w:color w:val="000000" w:themeColor="text1"/>
          <w:lang w:eastAsia="en-US"/>
        </w:rPr>
        <w:t>                                                                                                                                                 </w:t>
      </w:r>
    </w:p>
    <w:p w:rsidR="00374A0D" w:rsidRPr="00FF0A9A" w:rsidRDefault="00374A0D" w:rsidP="005E613E">
      <w:pPr>
        <w:widowControl w:val="0"/>
        <w:autoSpaceDE w:val="0"/>
        <w:autoSpaceDN w:val="0"/>
        <w:adjustRightInd w:val="0"/>
        <w:ind w:left="426" w:right="-847"/>
        <w:jc w:val="both"/>
        <w:rPr>
          <w:color w:val="000000" w:themeColor="text1"/>
          <w:lang w:eastAsia="en-US"/>
        </w:rPr>
      </w:pPr>
      <w:r w:rsidRPr="00FF0A9A">
        <w:rPr>
          <w:color w:val="000000" w:themeColor="text1"/>
          <w:lang w:eastAsia="en-US"/>
        </w:rPr>
        <w:t>L’</w:t>
      </w:r>
      <w:r w:rsidRPr="00FF0A9A">
        <w:rPr>
          <w:b/>
          <w:color w:val="000000" w:themeColor="text1"/>
          <w:lang w:eastAsia="en-US"/>
        </w:rPr>
        <w:t>EAS</w:t>
      </w:r>
      <w:r w:rsidRPr="00FF0A9A">
        <w:rPr>
          <w:color w:val="000000" w:themeColor="text1"/>
          <w:lang w:eastAsia="en-US"/>
        </w:rPr>
        <w:t xml:space="preserve"> inclut aussi les relations sexuelles avec un enfant, quel que soit le contexte, défini comme un être humain âgé de moins de dix-huit ans.                                                           </w:t>
      </w:r>
      <w:hyperlink r:id="rId63" w:history="1">
        <w:r w:rsidRPr="00FF0A9A">
          <w:rPr>
            <w:color w:val="000000" w:themeColor="text1"/>
            <w:lang w:eastAsia="en-US"/>
          </w:rPr>
          <w:t> </w:t>
        </w:r>
      </w:hyperlink>
    </w:p>
    <w:p w:rsidR="00374A0D" w:rsidRPr="00A05698" w:rsidRDefault="00374A0D" w:rsidP="005E613E">
      <w:pPr>
        <w:ind w:right="-847"/>
        <w:jc w:val="both"/>
        <w:rPr>
          <w:rFonts w:eastAsia="Times New Roman"/>
        </w:rPr>
      </w:pPr>
    </w:p>
    <w:p w:rsidR="00374A0D" w:rsidRPr="00A05698" w:rsidRDefault="00374A0D" w:rsidP="005E613E">
      <w:pPr>
        <w:pStyle w:val="PargrafodaLista"/>
        <w:spacing w:after="120" w:line="240" w:lineRule="auto"/>
        <w:ind w:left="2420" w:right="-847"/>
        <w:outlineLvl w:val="1"/>
        <w:rPr>
          <w:rFonts w:ascii="Times New Roman" w:hAnsi="Times New Roman"/>
          <w:b/>
          <w:bCs/>
          <w:sz w:val="24"/>
          <w:szCs w:val="24"/>
        </w:rPr>
      </w:pPr>
      <w:bookmarkStart w:id="426" w:name="_Toc73459802"/>
      <w:r w:rsidRPr="002B08BA">
        <w:rPr>
          <w:rFonts w:ascii="Times New Roman" w:hAnsi="Times New Roman"/>
          <w:b/>
          <w:bCs/>
          <w:sz w:val="24"/>
          <w:szCs w:val="24"/>
        </w:rPr>
        <w:t>TRAITEMENT DE PLAINTES D’EAS/HS</w:t>
      </w:r>
      <w:r w:rsidRPr="00A05698" w:rsidDel="00622329">
        <w:rPr>
          <w:rFonts w:ascii="Times New Roman" w:hAnsi="Times New Roman"/>
          <w:b/>
          <w:bCs/>
          <w:sz w:val="24"/>
          <w:szCs w:val="24"/>
        </w:rPr>
        <w:t xml:space="preserve"> </w:t>
      </w:r>
      <w:r w:rsidRPr="00A05698">
        <w:rPr>
          <w:rFonts w:ascii="Times New Roman" w:hAnsi="Times New Roman"/>
          <w:b/>
          <w:bCs/>
          <w:sz w:val="24"/>
          <w:szCs w:val="24"/>
        </w:rPr>
        <w:t>et VCE</w:t>
      </w:r>
      <w:bookmarkEnd w:id="426"/>
      <w:r w:rsidRPr="00A05698">
        <w:rPr>
          <w:rFonts w:ascii="Times New Roman" w:hAnsi="Times New Roman"/>
          <w:b/>
          <w:bCs/>
          <w:sz w:val="24"/>
          <w:szCs w:val="24"/>
        </w:rPr>
        <w:t xml:space="preserve"> </w:t>
      </w:r>
    </w:p>
    <w:p w:rsidR="00374A0D" w:rsidRPr="00A05698" w:rsidRDefault="00374A0D" w:rsidP="005E613E">
      <w:pPr>
        <w:ind w:left="426" w:right="-847"/>
        <w:jc w:val="both"/>
        <w:rPr>
          <w:rFonts w:eastAsia="Times New Roman"/>
          <w:b/>
          <w:u w:val="single"/>
        </w:rPr>
      </w:pPr>
      <w:r w:rsidRPr="00A05698">
        <w:rPr>
          <w:rFonts w:eastAsia="Times New Roman"/>
          <w:b/>
          <w:u w:val="single"/>
        </w:rPr>
        <w:t xml:space="preserve">L’Équipe de conformité (EC) </w:t>
      </w:r>
      <w:r>
        <w:rPr>
          <w:rFonts w:eastAsia="Times New Roman"/>
          <w:b/>
          <w:u w:val="single"/>
        </w:rPr>
        <w:t>EAS/HS</w:t>
      </w:r>
      <w:r w:rsidRPr="00A05698">
        <w:rPr>
          <w:rFonts w:eastAsia="Times New Roman"/>
          <w:b/>
          <w:u w:val="single"/>
        </w:rPr>
        <w:t xml:space="preserve"> et VCE </w:t>
      </w:r>
    </w:p>
    <w:p w:rsidR="00374A0D" w:rsidRPr="00A05698" w:rsidRDefault="00374A0D" w:rsidP="005E613E">
      <w:pPr>
        <w:ind w:left="426" w:right="-847"/>
        <w:jc w:val="both"/>
        <w:rPr>
          <w:rFonts w:eastAsia="Times New Roman"/>
        </w:rPr>
      </w:pPr>
    </w:p>
    <w:p w:rsidR="00374A0D" w:rsidRPr="00846B77" w:rsidRDefault="00374A0D" w:rsidP="005E613E">
      <w:pPr>
        <w:ind w:left="426" w:right="-847"/>
        <w:jc w:val="both"/>
        <w:rPr>
          <w:rFonts w:eastAsia="Times New Roman"/>
        </w:rPr>
      </w:pPr>
      <w:r w:rsidRPr="00846B77">
        <w:rPr>
          <w:rFonts w:eastAsia="Times New Roman"/>
        </w:rPr>
        <w:t xml:space="preserve">Le projet mettra en place une Équipe de conformité (EC) EAS/HS et VCE. Elle comprendra, selon les besoins du projet, au moins quatre représentants (« Points focaux »), répartis comme suit : </w:t>
      </w:r>
    </w:p>
    <w:p w:rsidR="00374A0D" w:rsidRPr="00FF0A9A" w:rsidRDefault="00374A0D" w:rsidP="005E613E">
      <w:pPr>
        <w:ind w:left="851" w:right="-847"/>
        <w:jc w:val="both"/>
        <w:rPr>
          <w:rFonts w:eastAsia="Times New Roman"/>
        </w:rPr>
      </w:pPr>
      <w:r w:rsidRPr="00FF0A9A">
        <w:rPr>
          <w:rFonts w:eastAsia="Times New Roman"/>
        </w:rPr>
        <w:t>i. Un spécialiste des sauvegardes, nommé par le UCP;</w:t>
      </w:r>
    </w:p>
    <w:p w:rsidR="00374A0D" w:rsidRPr="00FF0A9A" w:rsidRDefault="00374A0D" w:rsidP="005E613E">
      <w:pPr>
        <w:ind w:left="851" w:right="-847"/>
        <w:jc w:val="both"/>
        <w:rPr>
          <w:rFonts w:eastAsia="Times New Roman"/>
        </w:rPr>
      </w:pPr>
      <w:r w:rsidRPr="00FF0A9A">
        <w:rPr>
          <w:rFonts w:eastAsia="Times New Roman"/>
        </w:rPr>
        <w:t xml:space="preserve">ii. Le gestionnaire chargé de l’hygiène et de la sécurité du travail nommé par l’entrepreneur, ou toute autre personne chargée des questions de VBG et VCE, ayant le temps et l’expérience nécessaires pour assumer ce poste ; </w:t>
      </w:r>
    </w:p>
    <w:p w:rsidR="00374A0D" w:rsidRPr="00FF0A9A" w:rsidRDefault="00374A0D" w:rsidP="005E613E">
      <w:pPr>
        <w:ind w:left="851" w:right="-847"/>
        <w:jc w:val="both"/>
        <w:rPr>
          <w:rFonts w:eastAsia="Times New Roman"/>
        </w:rPr>
      </w:pPr>
      <w:r w:rsidRPr="00FF0A9A">
        <w:rPr>
          <w:rFonts w:eastAsia="Times New Roman"/>
        </w:rPr>
        <w:t xml:space="preserve">iii. Le consultant chargé de la supervision ; et, </w:t>
      </w:r>
    </w:p>
    <w:p w:rsidR="00374A0D" w:rsidRPr="00FF0A9A" w:rsidRDefault="00374A0D" w:rsidP="005E613E">
      <w:pPr>
        <w:ind w:left="851" w:right="-847"/>
        <w:jc w:val="both"/>
        <w:rPr>
          <w:rFonts w:eastAsia="Times New Roman"/>
        </w:rPr>
      </w:pPr>
      <w:r w:rsidRPr="00FF0A9A">
        <w:rPr>
          <w:rFonts w:eastAsia="Times New Roman"/>
        </w:rPr>
        <w:t xml:space="preserve">iv. Un représentant d’un prestataire de services local ayant de l’expérience en matière d’EAS/HS et VCE (le « Prestataire de services »). </w:t>
      </w:r>
    </w:p>
    <w:p w:rsidR="00374A0D" w:rsidRPr="00846B77" w:rsidRDefault="00374A0D" w:rsidP="005E613E">
      <w:pPr>
        <w:ind w:left="-284" w:right="-847"/>
        <w:jc w:val="both"/>
        <w:rPr>
          <w:rFonts w:eastAsia="Times New Roman"/>
        </w:rPr>
      </w:pPr>
    </w:p>
    <w:p w:rsidR="00374A0D" w:rsidRPr="00846B77" w:rsidRDefault="00374A0D" w:rsidP="005E613E">
      <w:pPr>
        <w:ind w:left="426" w:right="-847"/>
        <w:jc w:val="both"/>
        <w:rPr>
          <w:rFonts w:eastAsia="Times New Roman"/>
        </w:rPr>
      </w:pPr>
      <w:r w:rsidRPr="00846B77">
        <w:rPr>
          <w:rFonts w:eastAsia="Times New Roman"/>
        </w:rPr>
        <w:t>L’Équipe de conformité (</w:t>
      </w:r>
      <w:r w:rsidR="00064F08" w:rsidRPr="00846B77">
        <w:rPr>
          <w:rFonts w:eastAsia="Times New Roman"/>
        </w:rPr>
        <w:t>EC) sera</w:t>
      </w:r>
      <w:r w:rsidRPr="00846B77">
        <w:rPr>
          <w:rFonts w:eastAsia="Times New Roman"/>
        </w:rPr>
        <w:t xml:space="preserve"> tenue : </w:t>
      </w:r>
    </w:p>
    <w:p w:rsidR="00374A0D" w:rsidRPr="00FF0A9A" w:rsidRDefault="00374A0D" w:rsidP="005E613E">
      <w:pPr>
        <w:ind w:left="851" w:right="-847"/>
        <w:jc w:val="both"/>
        <w:rPr>
          <w:rFonts w:eastAsia="Times New Roman"/>
        </w:rPr>
      </w:pPr>
      <w:r w:rsidRPr="00FF0A9A">
        <w:rPr>
          <w:rFonts w:eastAsia="Times New Roman"/>
        </w:rPr>
        <w:t xml:space="preserve">i. D’approuver tout changement apporté aux Codes de conduite en matière d’EAS/HS et VCE figurant dans le présent document, après approbation de la part de la Banque mondiale pour tout changement de ce type ;  </w:t>
      </w:r>
    </w:p>
    <w:p w:rsidR="00374A0D" w:rsidRPr="00FF0A9A" w:rsidRDefault="00374A0D" w:rsidP="005E613E">
      <w:pPr>
        <w:ind w:left="851" w:right="-847"/>
        <w:jc w:val="both"/>
        <w:rPr>
          <w:rFonts w:eastAsia="Times New Roman"/>
        </w:rPr>
      </w:pPr>
      <w:r w:rsidRPr="00FF0A9A">
        <w:rPr>
          <w:rFonts w:eastAsia="Times New Roman"/>
        </w:rPr>
        <w:t>iii. L’entreprise pourra développer son propre Plan d’action sur l’EAS/HS et VCE et le partager pour approbation à l’UGP et de la Banque Mondiale,</w:t>
      </w:r>
    </w:p>
    <w:p w:rsidR="00374A0D" w:rsidRPr="00FF0A9A" w:rsidRDefault="00374A0D" w:rsidP="005E613E">
      <w:pPr>
        <w:ind w:left="851" w:right="-847"/>
        <w:jc w:val="both"/>
        <w:rPr>
          <w:rFonts w:eastAsia="Times New Roman"/>
        </w:rPr>
      </w:pPr>
      <w:r w:rsidRPr="00FF0A9A">
        <w:rPr>
          <w:rFonts w:eastAsia="Times New Roman"/>
        </w:rPr>
        <w:t xml:space="preserve">iv. D’obtenir les autorisations de UCP et de la Banque mondiale pour le Plan d’action sur l’EAS/HS et VCE avant la pleine mobilisation ; </w:t>
      </w:r>
    </w:p>
    <w:p w:rsidR="00374A0D" w:rsidRPr="00FF0A9A" w:rsidRDefault="00374A0D" w:rsidP="005E613E">
      <w:pPr>
        <w:ind w:left="851" w:right="-847"/>
        <w:jc w:val="both"/>
        <w:rPr>
          <w:rFonts w:eastAsia="Times New Roman"/>
        </w:rPr>
      </w:pPr>
      <w:r w:rsidRPr="00FF0A9A">
        <w:rPr>
          <w:rFonts w:eastAsia="Times New Roman"/>
        </w:rPr>
        <w:t xml:space="preserve">vi. De s’assurer que les statistiques des plaintes au sujet des VBG et VCE sont à jour et soit incluses dans les rapports réguliers du projet. </w:t>
      </w:r>
    </w:p>
    <w:p w:rsidR="00374A0D" w:rsidRPr="00846B77" w:rsidRDefault="00374A0D" w:rsidP="005E613E">
      <w:pPr>
        <w:ind w:right="-847"/>
        <w:jc w:val="both"/>
        <w:rPr>
          <w:rFonts w:eastAsia="Times New Roman"/>
        </w:rPr>
      </w:pPr>
    </w:p>
    <w:p w:rsidR="00374A0D" w:rsidRPr="00846B77" w:rsidRDefault="00374A0D" w:rsidP="005E613E">
      <w:pPr>
        <w:ind w:left="426" w:right="-847"/>
        <w:jc w:val="both"/>
        <w:rPr>
          <w:rFonts w:eastAsia="Times New Roman"/>
        </w:rPr>
      </w:pPr>
      <w:r w:rsidRPr="00846B77">
        <w:rPr>
          <w:rFonts w:eastAsia="Times New Roman"/>
        </w:rPr>
        <w:t xml:space="preserve">L’équipe de conformité (EC) tiendra des réunions trimestrielles de mise à jour pour discuter des moyens de renforcer les ressources et le soutien en matière de VBG et VCE pour les employés et les membres des communautés. </w:t>
      </w:r>
    </w:p>
    <w:p w:rsidR="00374A0D" w:rsidRPr="00A05698" w:rsidRDefault="00374A0D" w:rsidP="005E613E">
      <w:pPr>
        <w:pStyle w:val="PargrafodaLista"/>
        <w:spacing w:after="120" w:line="240" w:lineRule="auto"/>
        <w:ind w:left="2989" w:right="-847"/>
        <w:outlineLvl w:val="1"/>
        <w:rPr>
          <w:rFonts w:ascii="Times New Roman" w:hAnsi="Times New Roman"/>
          <w:b/>
          <w:bCs/>
          <w:sz w:val="24"/>
          <w:szCs w:val="24"/>
        </w:rPr>
      </w:pPr>
      <w:bookmarkStart w:id="427" w:name="_Toc73459803"/>
      <w:r w:rsidRPr="00A05698">
        <w:rPr>
          <w:rFonts w:ascii="Times New Roman" w:hAnsi="Times New Roman"/>
          <w:b/>
          <w:bCs/>
          <w:sz w:val="24"/>
          <w:szCs w:val="24"/>
        </w:rPr>
        <w:t>Dépôt de plaintes : Procédures relatives aux allégations d</w:t>
      </w:r>
      <w:r>
        <w:rPr>
          <w:rFonts w:ascii="Times New Roman" w:hAnsi="Times New Roman"/>
          <w:b/>
          <w:bCs/>
          <w:sz w:val="24"/>
          <w:szCs w:val="24"/>
        </w:rPr>
        <w:t>’EAS/HS</w:t>
      </w:r>
      <w:r w:rsidRPr="00A05698">
        <w:rPr>
          <w:rFonts w:ascii="Times New Roman" w:hAnsi="Times New Roman"/>
          <w:b/>
          <w:bCs/>
          <w:sz w:val="24"/>
          <w:szCs w:val="24"/>
        </w:rPr>
        <w:t xml:space="preserve"> et VCE</w:t>
      </w:r>
      <w:bookmarkEnd w:id="427"/>
      <w:r w:rsidRPr="00A05698">
        <w:rPr>
          <w:rFonts w:ascii="Times New Roman" w:hAnsi="Times New Roman"/>
          <w:b/>
          <w:bCs/>
          <w:sz w:val="24"/>
          <w:szCs w:val="24"/>
        </w:rPr>
        <w:t xml:space="preserve"> </w:t>
      </w:r>
    </w:p>
    <w:p w:rsidR="00374A0D" w:rsidRPr="00A05698" w:rsidRDefault="00374A0D" w:rsidP="005E613E">
      <w:pPr>
        <w:ind w:left="426" w:right="-847"/>
        <w:jc w:val="both"/>
        <w:rPr>
          <w:rFonts w:eastAsia="Times New Roman"/>
        </w:rPr>
      </w:pPr>
      <w:r w:rsidRPr="00A05698">
        <w:rPr>
          <w:rFonts w:eastAsia="Times New Roman"/>
        </w:rPr>
        <w:t>L’ensemble du personnel, des bénévoles, des consultants et des sous-traitants sont encouragés à signaler les cas présumés ou avérés d</w:t>
      </w:r>
      <w:r>
        <w:rPr>
          <w:rFonts w:eastAsia="Times New Roman"/>
        </w:rPr>
        <w:t>’EAS/HS</w:t>
      </w:r>
      <w:r w:rsidRPr="00A05698">
        <w:rPr>
          <w:rFonts w:eastAsia="Times New Roman"/>
        </w:rPr>
        <w:t xml:space="preserve"> et VCE. Les gestionnaires sont tenus de signaler les cas présumés ou avérés d</w:t>
      </w:r>
      <w:r>
        <w:rPr>
          <w:rFonts w:eastAsia="Times New Roman"/>
        </w:rPr>
        <w:t>’EAS/HS</w:t>
      </w:r>
      <w:r w:rsidRPr="00A05698">
        <w:rPr>
          <w:rFonts w:eastAsia="Times New Roman"/>
        </w:rPr>
        <w:t xml:space="preserve"> et VCE, car ils ont la responsabilité de faire respecter les engagements de l’entreprise et de tenir leurs subordonnés directs responsables du respect du Code individuel de conduite. </w:t>
      </w:r>
    </w:p>
    <w:p w:rsidR="00374A0D" w:rsidRPr="00A05698" w:rsidRDefault="00374A0D" w:rsidP="005E613E">
      <w:pPr>
        <w:ind w:left="426" w:right="-847"/>
        <w:jc w:val="both"/>
        <w:rPr>
          <w:rFonts w:eastAsia="Times New Roman"/>
        </w:rPr>
      </w:pPr>
    </w:p>
    <w:p w:rsidR="00374A0D" w:rsidRDefault="00374A0D" w:rsidP="005E613E">
      <w:pPr>
        <w:ind w:left="426" w:right="-847"/>
        <w:jc w:val="both"/>
        <w:rPr>
          <w:rFonts w:eastAsia="Times New Roman"/>
        </w:rPr>
      </w:pPr>
      <w:r w:rsidRPr="00A05698">
        <w:rPr>
          <w:rFonts w:eastAsia="Times New Roman"/>
        </w:rPr>
        <w:t xml:space="preserve">Le projet fournira des informations aux employés et à la communauté sur la façon de signaler les cas de violation du Code de conduite en matière </w:t>
      </w:r>
      <w:r>
        <w:rPr>
          <w:rFonts w:eastAsia="Times New Roman"/>
        </w:rPr>
        <w:t>d’EAS/HS</w:t>
      </w:r>
      <w:r w:rsidRPr="00A05698">
        <w:rPr>
          <w:rFonts w:eastAsia="Times New Roman"/>
        </w:rPr>
        <w:t xml:space="preserve"> et VCE par le biais du Mécanisme de plaintes et des doléances. L’équipe de conformité (EC) assurera le suivi des cas de violation du Code de conduite en matière d</w:t>
      </w:r>
      <w:r>
        <w:rPr>
          <w:rFonts w:eastAsia="Times New Roman"/>
        </w:rPr>
        <w:t>’EAS/HS</w:t>
      </w:r>
      <w:r w:rsidRPr="00A05698">
        <w:rPr>
          <w:rFonts w:eastAsia="Times New Roman"/>
        </w:rPr>
        <w:t xml:space="preserve"> et VCE signalés par l’intermédiaire du mécanisme des plaintes.</w:t>
      </w:r>
    </w:p>
    <w:p w:rsidR="00374A0D" w:rsidRDefault="00374A0D" w:rsidP="005E613E">
      <w:pPr>
        <w:ind w:left="426" w:right="-847"/>
        <w:jc w:val="both"/>
        <w:rPr>
          <w:rFonts w:eastAsia="Times New Roman"/>
        </w:rPr>
      </w:pPr>
    </w:p>
    <w:p w:rsidR="00374A0D" w:rsidRPr="00E0506F" w:rsidRDefault="00374A0D" w:rsidP="005E613E">
      <w:pPr>
        <w:ind w:left="426" w:right="-847"/>
        <w:jc w:val="both"/>
        <w:rPr>
          <w:rFonts w:eastAsia="Times New Roman"/>
        </w:rPr>
      </w:pPr>
      <w:r w:rsidRPr="00E0506F">
        <w:rPr>
          <w:rFonts w:eastAsia="Times New Roman"/>
        </w:rPr>
        <w:t xml:space="preserve">En ce qui concerne les plaintes d’EAS/HS, le traitement confidentiel des données est essentiel, et l’enregistrement de la plainte doit être mis en connaissance de la Banque Mondiale dans </w:t>
      </w:r>
      <w:r w:rsidR="00064F08" w:rsidRPr="00E0506F">
        <w:rPr>
          <w:rFonts w:eastAsia="Times New Roman"/>
        </w:rPr>
        <w:t>un délai</w:t>
      </w:r>
      <w:r w:rsidRPr="00E0506F">
        <w:rPr>
          <w:rFonts w:eastAsia="Times New Roman"/>
        </w:rPr>
        <w:t xml:space="preserve"> de 24 heures dès l’enregistrement.</w:t>
      </w:r>
    </w:p>
    <w:p w:rsidR="00374A0D" w:rsidRPr="00E0506F" w:rsidRDefault="00374A0D" w:rsidP="005E613E">
      <w:pPr>
        <w:ind w:left="426" w:right="-847"/>
        <w:jc w:val="both"/>
        <w:rPr>
          <w:rFonts w:eastAsia="Times New Roman"/>
        </w:rPr>
      </w:pPr>
      <w:r w:rsidRPr="00E0506F">
        <w:rPr>
          <w:rFonts w:eastAsia="Times New Roman"/>
        </w:rPr>
        <w:t>Si le projet recruté une ONG spécialisé pour l’appui dans la mise en œuvre des actions contre l’EAS/HS, y compris le MGP, cette organisation pourra réaliser l’enregistrement de la plainte et aussi assurera la représentation de la survivante auprès du MGP avec son consentement éclairé</w:t>
      </w:r>
    </w:p>
    <w:p w:rsidR="00374A0D" w:rsidRPr="00E0506F" w:rsidRDefault="00374A0D" w:rsidP="005E613E">
      <w:pPr>
        <w:ind w:left="426" w:right="-847"/>
        <w:jc w:val="both"/>
        <w:rPr>
          <w:rFonts w:eastAsia="Times New Roman"/>
        </w:rPr>
      </w:pPr>
    </w:p>
    <w:p w:rsidR="00374A0D" w:rsidRPr="00E0506F" w:rsidRDefault="00374A0D" w:rsidP="005E613E">
      <w:pPr>
        <w:ind w:left="426" w:right="-847"/>
        <w:jc w:val="both"/>
        <w:rPr>
          <w:rFonts w:eastAsia="Times New Roman"/>
        </w:rPr>
      </w:pPr>
      <w:r w:rsidRPr="00E0506F">
        <w:rPr>
          <w:rFonts w:eastAsia="Times New Roman"/>
        </w:rPr>
        <w:t xml:space="preserve">Une fois que le processus de vérification a terminé et conclu que la plainte est liée au projet, le présumé auteur devra être informé de la sanction établie, ainsi que la survivante </w:t>
      </w:r>
    </w:p>
    <w:p w:rsidR="00374A0D" w:rsidRPr="00E0506F" w:rsidRDefault="00374A0D" w:rsidP="005E613E">
      <w:pPr>
        <w:ind w:left="426" w:right="-847"/>
        <w:jc w:val="both"/>
        <w:rPr>
          <w:rFonts w:eastAsia="Times New Roman"/>
        </w:rPr>
      </w:pPr>
    </w:p>
    <w:p w:rsidR="00374A0D" w:rsidRPr="00E0506F" w:rsidRDefault="00374A0D" w:rsidP="005E613E">
      <w:pPr>
        <w:ind w:left="426" w:right="-847"/>
        <w:jc w:val="both"/>
        <w:rPr>
          <w:rFonts w:eastAsia="Times New Roman"/>
        </w:rPr>
      </w:pPr>
      <w:r w:rsidRPr="00E0506F">
        <w:rPr>
          <w:rFonts w:eastAsia="Times New Roman"/>
        </w:rPr>
        <w:t xml:space="preserve">Le processus de vérification est un processus administratif qui ne donnera pas aucune compensation économique à la survivante, et conclura avec une sanction, dans le cas échéant, au présumé auteur. Cette résolution ne détermine pas la responsabilité et/ou culpabilité, sinon la probabilité que cet acte soit lié ou pas au projet  </w:t>
      </w:r>
    </w:p>
    <w:p w:rsidR="00374A0D" w:rsidRPr="00A05698" w:rsidRDefault="00374A0D" w:rsidP="005E613E">
      <w:pPr>
        <w:ind w:right="-847"/>
        <w:jc w:val="both"/>
        <w:rPr>
          <w:rFonts w:eastAsia="Times New Roman"/>
        </w:rPr>
      </w:pPr>
    </w:p>
    <w:p w:rsidR="00374A0D" w:rsidRPr="00FB5ACF" w:rsidRDefault="00374A0D" w:rsidP="005E613E">
      <w:pPr>
        <w:ind w:left="426" w:right="-847"/>
        <w:jc w:val="both"/>
        <w:rPr>
          <w:rFonts w:eastAsia="Times New Roman"/>
          <w:b/>
          <w:u w:val="single"/>
        </w:rPr>
      </w:pPr>
      <w:r w:rsidRPr="00FB5ACF">
        <w:rPr>
          <w:rFonts w:eastAsia="Times New Roman"/>
          <w:b/>
          <w:u w:val="single"/>
        </w:rPr>
        <w:t xml:space="preserve">Mesures de responsabilisation et confidentialité </w:t>
      </w:r>
    </w:p>
    <w:p w:rsidR="00374A0D" w:rsidRPr="00A05698" w:rsidRDefault="00374A0D" w:rsidP="005E613E">
      <w:pPr>
        <w:ind w:left="426" w:right="-847"/>
        <w:jc w:val="both"/>
        <w:rPr>
          <w:rFonts w:eastAsia="Times New Roman"/>
        </w:rPr>
      </w:pPr>
    </w:p>
    <w:p w:rsidR="00374A0D" w:rsidRPr="00A05698" w:rsidRDefault="00374A0D" w:rsidP="005E613E">
      <w:pPr>
        <w:ind w:left="426" w:right="-847"/>
        <w:jc w:val="both"/>
        <w:rPr>
          <w:rFonts w:eastAsia="Times New Roman"/>
        </w:rPr>
      </w:pPr>
      <w:r w:rsidRPr="00A05698">
        <w:rPr>
          <w:rFonts w:eastAsia="Times New Roman"/>
        </w:rPr>
        <w:t>Toutes les dénonciations d</w:t>
      </w:r>
      <w:r>
        <w:rPr>
          <w:rFonts w:eastAsia="Times New Roman"/>
        </w:rPr>
        <w:t>’EAS/HS</w:t>
      </w:r>
      <w:r w:rsidRPr="00A05698">
        <w:rPr>
          <w:rFonts w:eastAsia="Times New Roman"/>
        </w:rPr>
        <w:t xml:space="preserve"> et de VCE doivent être traitées en toute confidentialité afin de protéger les droits de toutes les</w:t>
      </w:r>
      <w:r>
        <w:rPr>
          <w:rFonts w:eastAsia="Times New Roman"/>
        </w:rPr>
        <w:t xml:space="preserve"> personnes concernées. L’UCP</w:t>
      </w:r>
      <w:r w:rsidRPr="00A05698">
        <w:rPr>
          <w:rFonts w:eastAsia="Times New Roman"/>
        </w:rPr>
        <w:t xml:space="preserve">, l’entrepreneur et le consultant doivent préserver la confidentialité des employés qui dénoncent des actes de violence ou des menaces de violence ainsi bien que la confidentialité de tout employé accusé d’avoir commis des actes de violence ou proféré des menaces de violence (sauf si une violation de la confidentialité est nécessaire pour protéger des personnes ou des biens contre des dommages graves ou lorsque la loi l’exige). </w:t>
      </w:r>
    </w:p>
    <w:p w:rsidR="00374A0D" w:rsidRPr="00A05698" w:rsidRDefault="00374A0D" w:rsidP="005E613E">
      <w:pPr>
        <w:ind w:left="426" w:right="-847"/>
        <w:rPr>
          <w:rFonts w:eastAsia="Times New Roman"/>
        </w:rPr>
      </w:pPr>
    </w:p>
    <w:p w:rsidR="00374A0D" w:rsidRPr="00A05698" w:rsidRDefault="00374A0D" w:rsidP="005E613E">
      <w:pPr>
        <w:ind w:left="426" w:right="-847"/>
        <w:rPr>
          <w:rFonts w:eastAsia="Times New Roman"/>
        </w:rPr>
      </w:pPr>
      <w:r w:rsidRPr="00A05698">
        <w:rPr>
          <w:rFonts w:eastAsia="Times New Roman"/>
        </w:rPr>
        <w:t>Pour s’assurer que les survivant(e)s se sentent à l’aise pour partager leur expérience d</w:t>
      </w:r>
      <w:r>
        <w:rPr>
          <w:rFonts w:eastAsia="Times New Roman"/>
        </w:rPr>
        <w:t>’EAS/HS</w:t>
      </w:r>
      <w:r w:rsidRPr="00A05698">
        <w:rPr>
          <w:rFonts w:eastAsia="Times New Roman"/>
        </w:rPr>
        <w:t xml:space="preserve"> et de VCE, elles peuvent dénoncer les cas de VBG et de VCE par divers moyens, à savoir :</w:t>
      </w:r>
    </w:p>
    <w:p w:rsidR="00374A0D" w:rsidRPr="00FB5ACF" w:rsidRDefault="00374A0D" w:rsidP="005E613E">
      <w:pPr>
        <w:ind w:left="1134" w:right="-847"/>
        <w:rPr>
          <w:rFonts w:eastAsia="Times New Roman"/>
          <w:sz w:val="22"/>
          <w:szCs w:val="22"/>
        </w:rPr>
      </w:pPr>
      <w:r w:rsidRPr="00A05698">
        <w:rPr>
          <w:rFonts w:eastAsia="Times New Roman"/>
        </w:rPr>
        <w:t xml:space="preserve">i) </w:t>
      </w:r>
      <w:r w:rsidRPr="00FB5ACF">
        <w:rPr>
          <w:rFonts w:eastAsia="Times New Roman"/>
          <w:sz w:val="22"/>
          <w:szCs w:val="22"/>
        </w:rPr>
        <w:t xml:space="preserve">en ligne ; </w:t>
      </w:r>
    </w:p>
    <w:p w:rsidR="00374A0D" w:rsidRPr="00FB5ACF" w:rsidRDefault="00374A0D" w:rsidP="005E613E">
      <w:pPr>
        <w:ind w:left="1134" w:right="-847"/>
        <w:rPr>
          <w:rFonts w:eastAsia="Times New Roman"/>
          <w:sz w:val="22"/>
          <w:szCs w:val="22"/>
        </w:rPr>
      </w:pPr>
      <w:r w:rsidRPr="00FB5ACF">
        <w:rPr>
          <w:rFonts w:eastAsia="Times New Roman"/>
          <w:sz w:val="22"/>
          <w:szCs w:val="22"/>
        </w:rPr>
        <w:t xml:space="preserve">ii) par téléphone ; </w:t>
      </w:r>
    </w:p>
    <w:p w:rsidR="00374A0D" w:rsidRPr="00FB5ACF" w:rsidRDefault="00374A0D" w:rsidP="005E613E">
      <w:pPr>
        <w:ind w:left="1134" w:right="-847"/>
        <w:rPr>
          <w:rFonts w:eastAsia="Times New Roman"/>
          <w:sz w:val="22"/>
          <w:szCs w:val="22"/>
        </w:rPr>
      </w:pPr>
      <w:r w:rsidRPr="00FB5ACF">
        <w:rPr>
          <w:rFonts w:eastAsia="Times New Roman"/>
          <w:sz w:val="22"/>
          <w:szCs w:val="22"/>
        </w:rPr>
        <w:t>iii) en personne ;</w:t>
      </w:r>
    </w:p>
    <w:p w:rsidR="00374A0D" w:rsidRPr="00FB5ACF" w:rsidRDefault="00374A0D" w:rsidP="005E613E">
      <w:pPr>
        <w:ind w:left="1134" w:right="-847"/>
        <w:rPr>
          <w:rFonts w:eastAsia="Times New Roman"/>
          <w:sz w:val="22"/>
          <w:szCs w:val="22"/>
        </w:rPr>
      </w:pPr>
      <w:r w:rsidRPr="00FB5ACF">
        <w:rPr>
          <w:rFonts w:eastAsia="Times New Roman"/>
          <w:sz w:val="22"/>
          <w:szCs w:val="22"/>
        </w:rPr>
        <w:t xml:space="preserve">iv) auprès du Prestataire de services local ; </w:t>
      </w:r>
    </w:p>
    <w:p w:rsidR="00374A0D" w:rsidRPr="00FB5ACF" w:rsidRDefault="00374A0D" w:rsidP="005E613E">
      <w:pPr>
        <w:ind w:left="1134" w:right="-847"/>
        <w:rPr>
          <w:rFonts w:eastAsia="Times New Roman"/>
          <w:sz w:val="22"/>
          <w:szCs w:val="22"/>
        </w:rPr>
      </w:pPr>
      <w:r w:rsidRPr="00FB5ACF">
        <w:rPr>
          <w:rFonts w:eastAsia="Times New Roman"/>
          <w:sz w:val="22"/>
          <w:szCs w:val="22"/>
        </w:rPr>
        <w:t>v) auprès du/des gestionnaire(s) ;</w:t>
      </w:r>
    </w:p>
    <w:p w:rsidR="00374A0D" w:rsidRPr="00FB5ACF" w:rsidRDefault="00374A0D" w:rsidP="005E613E">
      <w:pPr>
        <w:ind w:left="1134" w:right="-847"/>
        <w:rPr>
          <w:rFonts w:eastAsia="Times New Roman"/>
          <w:sz w:val="22"/>
          <w:szCs w:val="22"/>
        </w:rPr>
      </w:pPr>
      <w:r w:rsidRPr="00FB5ACF">
        <w:rPr>
          <w:rFonts w:eastAsia="Times New Roman"/>
          <w:sz w:val="22"/>
          <w:szCs w:val="22"/>
        </w:rPr>
        <w:t xml:space="preserve">vi) auprès des conseils villageois ; ou </w:t>
      </w:r>
    </w:p>
    <w:p w:rsidR="00374A0D" w:rsidRPr="00FB5ACF" w:rsidRDefault="00374A0D" w:rsidP="005E613E">
      <w:pPr>
        <w:ind w:left="1134" w:right="-847"/>
        <w:rPr>
          <w:rFonts w:eastAsia="Times New Roman"/>
          <w:sz w:val="22"/>
          <w:szCs w:val="22"/>
        </w:rPr>
      </w:pPr>
      <w:r w:rsidRPr="00FB5ACF">
        <w:rPr>
          <w:rFonts w:eastAsia="Times New Roman"/>
          <w:sz w:val="22"/>
          <w:szCs w:val="22"/>
        </w:rPr>
        <w:t xml:space="preserve">vii) à la police. </w:t>
      </w:r>
    </w:p>
    <w:p w:rsidR="00374A0D" w:rsidRPr="00A05698" w:rsidRDefault="00374A0D" w:rsidP="005E613E">
      <w:pPr>
        <w:ind w:right="-847"/>
        <w:rPr>
          <w:rFonts w:eastAsia="Times New Roman"/>
        </w:rPr>
      </w:pPr>
    </w:p>
    <w:p w:rsidR="00374A0D" w:rsidRPr="00A05698" w:rsidRDefault="00374A0D" w:rsidP="005E613E">
      <w:pPr>
        <w:ind w:left="426" w:right="-847"/>
        <w:jc w:val="both"/>
        <w:rPr>
          <w:rFonts w:eastAsia="Times New Roman"/>
        </w:rPr>
      </w:pPr>
      <w:r w:rsidRPr="00A05698">
        <w:rPr>
          <w:rFonts w:eastAsia="Times New Roman"/>
        </w:rPr>
        <w:t>Afin de préserver la confidentialité, seul le Prestataire de services aura accès aux informations c</w:t>
      </w:r>
      <w:r>
        <w:rPr>
          <w:rFonts w:eastAsia="Times New Roman"/>
        </w:rPr>
        <w:t xml:space="preserve">oncernant le/a survivant(e). </w:t>
      </w:r>
      <w:r w:rsidRPr="00A05698">
        <w:rPr>
          <w:rFonts w:eastAsia="Times New Roman"/>
        </w:rPr>
        <w:t xml:space="preserve">L’équipe de conformité (EC) sera le principal Point focal en ce qui concerne les informations et le suivi de l’auteur des violences. </w:t>
      </w:r>
    </w:p>
    <w:p w:rsidR="00374A0D" w:rsidRPr="00A05698" w:rsidRDefault="00374A0D" w:rsidP="005E613E">
      <w:pPr>
        <w:ind w:right="-847"/>
        <w:rPr>
          <w:rFonts w:eastAsia="Times New Roman"/>
        </w:rPr>
      </w:pPr>
    </w:p>
    <w:p w:rsidR="00374A0D" w:rsidRPr="00A05698" w:rsidRDefault="00374A0D" w:rsidP="005E613E">
      <w:pPr>
        <w:pStyle w:val="PargrafodaLista"/>
        <w:spacing w:after="120" w:line="240" w:lineRule="auto"/>
        <w:ind w:left="2989" w:right="-847"/>
        <w:outlineLvl w:val="1"/>
        <w:rPr>
          <w:rFonts w:ascii="Times New Roman" w:hAnsi="Times New Roman"/>
          <w:b/>
          <w:bCs/>
          <w:sz w:val="24"/>
          <w:szCs w:val="24"/>
        </w:rPr>
      </w:pPr>
      <w:bookmarkStart w:id="428" w:name="_Toc73459804"/>
      <w:r w:rsidRPr="00A05698">
        <w:rPr>
          <w:rFonts w:ascii="Times New Roman" w:hAnsi="Times New Roman"/>
          <w:b/>
          <w:bCs/>
          <w:sz w:val="24"/>
          <w:szCs w:val="24"/>
        </w:rPr>
        <w:t>Suivi et évaluation</w:t>
      </w:r>
      <w:bookmarkEnd w:id="428"/>
      <w:r w:rsidRPr="00A05698">
        <w:rPr>
          <w:rFonts w:ascii="Times New Roman" w:hAnsi="Times New Roman"/>
          <w:b/>
          <w:bCs/>
          <w:sz w:val="24"/>
          <w:szCs w:val="24"/>
        </w:rPr>
        <w:t xml:space="preserve"> </w:t>
      </w:r>
    </w:p>
    <w:p w:rsidR="00374A0D" w:rsidRPr="00A05698" w:rsidRDefault="00374A0D" w:rsidP="005E613E">
      <w:pPr>
        <w:ind w:left="426" w:right="-847"/>
        <w:jc w:val="both"/>
        <w:rPr>
          <w:rFonts w:eastAsia="Times New Roman"/>
        </w:rPr>
      </w:pPr>
      <w:r w:rsidRPr="00A05698">
        <w:rPr>
          <w:rFonts w:eastAsia="Times New Roman"/>
        </w:rPr>
        <w:t>L’équipe de conformité (EC) doit assurer le suivi des cas qui ont été signalés et conserver tous les cas signalés dans un endroit préservé et sécurisé. Le suivi doit permettre de recenser le nombre de cas qui ont été signalés et la proport</w:t>
      </w:r>
      <w:r>
        <w:rPr>
          <w:rFonts w:eastAsia="Times New Roman"/>
        </w:rPr>
        <w:t>ion de cas qui sont gérés par l’UCP</w:t>
      </w:r>
      <w:r w:rsidRPr="00A05698">
        <w:rPr>
          <w:rFonts w:eastAsia="Times New Roman"/>
        </w:rPr>
        <w:t xml:space="preserve">, les ONG, </w:t>
      </w:r>
      <w:r>
        <w:rPr>
          <w:rFonts w:eastAsia="Times New Roman"/>
        </w:rPr>
        <w:t>la police (</w:t>
      </w:r>
      <w:r w:rsidRPr="00FC025D">
        <w:rPr>
          <w:rFonts w:eastAsia="Times New Roman"/>
        </w:rPr>
        <w:t>le renvoi à la police ne peut se faire qu'avec le consentement éclairé et explicite de la victime.)</w:t>
      </w:r>
      <w:r>
        <w:rPr>
          <w:rFonts w:eastAsia="Times New Roman"/>
        </w:rPr>
        <w:t xml:space="preserve">, </w:t>
      </w:r>
      <w:r w:rsidRPr="00A05698">
        <w:rPr>
          <w:rFonts w:eastAsia="Times New Roman"/>
        </w:rPr>
        <w:t xml:space="preserve">etc. Ces statistiques doivent être communiquées au MGP et à l’ingénieur chargé de la surveillance pour être incluses dans leurs rapports. </w:t>
      </w:r>
    </w:p>
    <w:p w:rsidR="00374A0D" w:rsidRPr="00A05698" w:rsidRDefault="00374A0D" w:rsidP="005E613E">
      <w:pPr>
        <w:ind w:left="426" w:right="-847"/>
        <w:jc w:val="both"/>
        <w:rPr>
          <w:rFonts w:eastAsia="Times New Roman"/>
        </w:rPr>
      </w:pPr>
    </w:p>
    <w:p w:rsidR="00374A0D" w:rsidRPr="00A05698" w:rsidRDefault="00374A0D" w:rsidP="005E613E">
      <w:pPr>
        <w:ind w:left="426" w:right="-847"/>
        <w:jc w:val="both"/>
        <w:rPr>
          <w:rFonts w:eastAsia="Times New Roman"/>
        </w:rPr>
      </w:pPr>
      <w:r w:rsidRPr="00A05698">
        <w:rPr>
          <w:rFonts w:eastAsia="Times New Roman"/>
        </w:rPr>
        <w:t xml:space="preserve">Pour tous les cas </w:t>
      </w:r>
      <w:r>
        <w:rPr>
          <w:rFonts w:eastAsia="Times New Roman"/>
        </w:rPr>
        <w:t>d’EAS/HS</w:t>
      </w:r>
      <w:r w:rsidRPr="00A05698">
        <w:rPr>
          <w:rFonts w:eastAsia="Times New Roman"/>
        </w:rPr>
        <w:t xml:space="preserve"> et de VCE justifiant une</w:t>
      </w:r>
      <w:r>
        <w:rPr>
          <w:rFonts w:eastAsia="Times New Roman"/>
        </w:rPr>
        <w:t xml:space="preserve"> action de la police (</w:t>
      </w:r>
      <w:r w:rsidRPr="00FC025D">
        <w:rPr>
          <w:rFonts w:eastAsia="Times New Roman"/>
        </w:rPr>
        <w:t>le renvoi à la police ne peut se faire qu'avec le consentement éclairé et explicite de la victime.)</w:t>
      </w:r>
      <w:r>
        <w:rPr>
          <w:rFonts w:eastAsia="Times New Roman"/>
        </w:rPr>
        <w:t xml:space="preserve">, l’UCP </w:t>
      </w:r>
      <w:r w:rsidRPr="00A05698">
        <w:rPr>
          <w:rFonts w:eastAsia="Times New Roman"/>
        </w:rPr>
        <w:t>et la Banque mondiale doivent en être immédiatement informés.</w:t>
      </w:r>
    </w:p>
    <w:p w:rsidR="00374A0D" w:rsidRPr="00A05698" w:rsidRDefault="00374A0D" w:rsidP="005E613E">
      <w:pPr>
        <w:ind w:left="-284" w:right="-847"/>
        <w:jc w:val="both"/>
        <w:rPr>
          <w:rFonts w:eastAsia="Times New Roman"/>
        </w:rPr>
      </w:pPr>
    </w:p>
    <w:p w:rsidR="00374A0D" w:rsidRPr="00A05698" w:rsidRDefault="00374A0D" w:rsidP="005E613E">
      <w:pPr>
        <w:pStyle w:val="PargrafodaLista"/>
        <w:spacing w:after="120" w:line="240" w:lineRule="auto"/>
        <w:ind w:left="2989" w:right="-847"/>
        <w:outlineLvl w:val="1"/>
        <w:rPr>
          <w:rFonts w:ascii="Times New Roman" w:hAnsi="Times New Roman"/>
          <w:b/>
          <w:bCs/>
          <w:sz w:val="24"/>
          <w:szCs w:val="24"/>
        </w:rPr>
      </w:pPr>
      <w:bookmarkStart w:id="429" w:name="_Toc73459805"/>
      <w:r w:rsidRPr="00A05698">
        <w:rPr>
          <w:rFonts w:ascii="Times New Roman" w:hAnsi="Times New Roman"/>
          <w:b/>
          <w:bCs/>
          <w:sz w:val="24"/>
          <w:szCs w:val="24"/>
        </w:rPr>
        <w:t>Stratégie de sensibilisation</w:t>
      </w:r>
      <w:bookmarkEnd w:id="429"/>
      <w:r w:rsidRPr="00A05698">
        <w:rPr>
          <w:rFonts w:ascii="Times New Roman" w:hAnsi="Times New Roman"/>
          <w:b/>
          <w:bCs/>
          <w:sz w:val="24"/>
          <w:szCs w:val="24"/>
        </w:rPr>
        <w:t xml:space="preserve"> </w:t>
      </w:r>
    </w:p>
    <w:p w:rsidR="00374A0D" w:rsidRDefault="00374A0D" w:rsidP="005E613E">
      <w:pPr>
        <w:ind w:left="426" w:right="-847"/>
        <w:jc w:val="both"/>
        <w:rPr>
          <w:rFonts w:eastAsia="Times New Roman"/>
        </w:rPr>
      </w:pPr>
      <w:r w:rsidRPr="00A05698">
        <w:rPr>
          <w:rFonts w:eastAsia="Times New Roman"/>
        </w:rPr>
        <w:t xml:space="preserve">Il est important de mettre en place une Stratégie de sensibilisation comprenant des activités visant à sensibiliser les employés sur les VBG et les VCE sur le lieu de travail et leurs risques connexes, les dispositions des Codes de conduite en matière de VBG et VCE, les Procédures relatives aux allégations, les mesures de Responsabilisation et Confidentialité et le Protocole d’intervention. Cette Stratégie sera assortie d’un calendrier indiquant les diverses activités de sensibilisation à travers lesquelles elle sera mise en œuvre et les dates d’exécution (prévues) correspondantes. Les activités de sensibilisation devraient être liées aux formations dispensées par le Prestataire de services. </w:t>
      </w:r>
    </w:p>
    <w:p w:rsidR="00374A0D" w:rsidRPr="00A05698" w:rsidRDefault="00374A0D" w:rsidP="005E613E">
      <w:pPr>
        <w:ind w:left="426" w:right="-847"/>
        <w:jc w:val="both"/>
        <w:rPr>
          <w:rFonts w:eastAsia="Times New Roman"/>
        </w:rPr>
      </w:pPr>
    </w:p>
    <w:p w:rsidR="00374A0D" w:rsidRPr="00A05698" w:rsidRDefault="00374A0D" w:rsidP="005E613E">
      <w:pPr>
        <w:pStyle w:val="PargrafodaLista"/>
        <w:spacing w:after="120" w:line="240" w:lineRule="auto"/>
        <w:ind w:left="2989" w:right="-847"/>
        <w:outlineLvl w:val="1"/>
        <w:rPr>
          <w:rFonts w:ascii="Times New Roman" w:hAnsi="Times New Roman"/>
          <w:b/>
          <w:bCs/>
          <w:sz w:val="24"/>
          <w:szCs w:val="24"/>
        </w:rPr>
      </w:pPr>
      <w:bookmarkStart w:id="430" w:name="_Toc73459806"/>
      <w:r w:rsidRPr="00A05698">
        <w:rPr>
          <w:rFonts w:ascii="Times New Roman" w:hAnsi="Times New Roman"/>
          <w:b/>
          <w:bCs/>
          <w:sz w:val="24"/>
          <w:szCs w:val="24"/>
        </w:rPr>
        <w:t>Protocole d’intervention</w:t>
      </w:r>
      <w:bookmarkEnd w:id="430"/>
      <w:r w:rsidRPr="00A05698">
        <w:rPr>
          <w:rFonts w:ascii="Times New Roman" w:hAnsi="Times New Roman"/>
          <w:b/>
          <w:bCs/>
          <w:sz w:val="24"/>
          <w:szCs w:val="24"/>
        </w:rPr>
        <w:t xml:space="preserve"> </w:t>
      </w:r>
    </w:p>
    <w:p w:rsidR="00374A0D" w:rsidRPr="00A05698" w:rsidRDefault="00374A0D" w:rsidP="005E613E">
      <w:pPr>
        <w:ind w:left="426" w:right="-847"/>
        <w:jc w:val="both"/>
        <w:rPr>
          <w:rFonts w:eastAsia="Times New Roman"/>
        </w:rPr>
      </w:pPr>
      <w:r w:rsidRPr="00A05698">
        <w:rPr>
          <w:rFonts w:eastAsia="Times New Roman"/>
        </w:rPr>
        <w:t>L’équipe de conformité (EC</w:t>
      </w:r>
      <w:r>
        <w:rPr>
          <w:rFonts w:eastAsia="Times New Roman"/>
        </w:rPr>
        <w:t>)</w:t>
      </w:r>
      <w:r w:rsidRPr="00A05698">
        <w:rPr>
          <w:rFonts w:eastAsia="Times New Roman"/>
        </w:rPr>
        <w:t xml:space="preserve"> sera chargée d’élaborer un Protocole d’intervention écrit pour satisfaire aux exigences du projet, conformément aux lois et protocoles nationaux. En effet, Le Protocole d’intervention doit comprendre des mécanismes pour dénoncer les auteurs de violence sur le lieu de travail et intervenir auprès d’eux. Le présent Protocole comprendra le processus du MGP, afin de garantir une intervention efficace et confidentielle en ce qui concerne les divulgations de cas d</w:t>
      </w:r>
      <w:r>
        <w:rPr>
          <w:rFonts w:eastAsia="Times New Roman"/>
        </w:rPr>
        <w:t>’EAS/HS</w:t>
      </w:r>
      <w:r w:rsidRPr="00A05698">
        <w:rPr>
          <w:rFonts w:eastAsia="Times New Roman"/>
        </w:rPr>
        <w:t xml:space="preserve"> et VCE. L’employé qui divulgue un cas de VBG et de VCE sur le lieu de travail doit être référé au MGP aux fins de dénonciation. </w:t>
      </w:r>
    </w:p>
    <w:p w:rsidR="00374A0D" w:rsidRPr="00A05698" w:rsidRDefault="00374A0D" w:rsidP="005E613E">
      <w:pPr>
        <w:ind w:right="-847"/>
        <w:rPr>
          <w:rFonts w:eastAsia="Times New Roman"/>
        </w:rPr>
      </w:pPr>
    </w:p>
    <w:p w:rsidR="00374A0D" w:rsidRPr="00A05698" w:rsidRDefault="00374A0D" w:rsidP="005E613E">
      <w:pPr>
        <w:pStyle w:val="PargrafodaLista"/>
        <w:spacing w:after="120" w:line="240" w:lineRule="auto"/>
        <w:ind w:left="2989" w:right="-847"/>
        <w:outlineLvl w:val="1"/>
        <w:rPr>
          <w:rFonts w:ascii="Times New Roman" w:hAnsi="Times New Roman"/>
          <w:b/>
          <w:bCs/>
          <w:sz w:val="24"/>
          <w:szCs w:val="24"/>
        </w:rPr>
      </w:pPr>
      <w:bookmarkStart w:id="431" w:name="_Toc73459807"/>
      <w:r w:rsidRPr="00A05698">
        <w:rPr>
          <w:rFonts w:ascii="Times New Roman" w:hAnsi="Times New Roman"/>
          <w:b/>
          <w:bCs/>
          <w:sz w:val="24"/>
          <w:szCs w:val="24"/>
        </w:rPr>
        <w:t>Mesures de soutien aux survivant(e)s</w:t>
      </w:r>
      <w:bookmarkEnd w:id="431"/>
      <w:r w:rsidRPr="00A05698">
        <w:rPr>
          <w:rFonts w:ascii="Times New Roman" w:hAnsi="Times New Roman"/>
          <w:b/>
          <w:bCs/>
          <w:sz w:val="24"/>
          <w:szCs w:val="24"/>
        </w:rPr>
        <w:t xml:space="preserve"> </w:t>
      </w:r>
    </w:p>
    <w:p w:rsidR="00374A0D" w:rsidRPr="00FC025D" w:rsidRDefault="00374A0D" w:rsidP="005E613E">
      <w:pPr>
        <w:ind w:left="426" w:right="-847"/>
        <w:jc w:val="both"/>
        <w:rPr>
          <w:rFonts w:eastAsia="Times New Roman"/>
        </w:rPr>
      </w:pPr>
      <w:r w:rsidRPr="00083B97">
        <w:rPr>
          <w:rFonts w:eastAsia="Times New Roman"/>
        </w:rPr>
        <w:t>Il est essentiel d’apporter une réponse appropriée aux plaintes des survivant(e)s de violence dans le respect de leurs choix, afin de réduire au minimum les risques de nouveaux traumatismes et de nouvelles violences à l’endroit des survivant(e)s. Ces dernières doivent être orientées vers le prestataire de services</w:t>
      </w:r>
      <w:r w:rsidRPr="00FC025D">
        <w:footnoteReference w:id="5"/>
      </w:r>
      <w:r w:rsidRPr="00083B97">
        <w:rPr>
          <w:rFonts w:eastAsia="Times New Roman"/>
        </w:rPr>
        <w:t xml:space="preserve"> pour obtenir des services de soutien appropriés dans la communauté y compris un soutien médical et psychosocial, un hébergement d’urgence, la sécurité, notamment la protection policière et le soutien aux moyens de subsistance en facilitant le contact et la coordination avec ces services. </w:t>
      </w:r>
      <w:r w:rsidRPr="00FC025D">
        <w:rPr>
          <w:rFonts w:eastAsia="Times New Roman"/>
        </w:rPr>
        <w:t>Le projet devrait garantir que les fournisseurs de services VBG qui seront identifiés ont la capacité d'offrir un service gratuit aux survivants du EAS / HS qui leur sont référés.</w:t>
      </w:r>
    </w:p>
    <w:p w:rsidR="00374A0D" w:rsidRPr="00A05698" w:rsidRDefault="00374A0D" w:rsidP="005E613E">
      <w:pPr>
        <w:ind w:right="-847"/>
        <w:rPr>
          <w:rFonts w:eastAsia="Times New Roman"/>
        </w:rPr>
      </w:pPr>
    </w:p>
    <w:p w:rsidR="00374A0D" w:rsidRPr="00A05698" w:rsidRDefault="00374A0D" w:rsidP="005E613E">
      <w:pPr>
        <w:pStyle w:val="PargrafodaLista"/>
        <w:spacing w:after="120" w:line="240" w:lineRule="auto"/>
        <w:ind w:left="2989" w:right="-847"/>
        <w:outlineLvl w:val="1"/>
        <w:rPr>
          <w:rFonts w:ascii="Times New Roman" w:hAnsi="Times New Roman"/>
          <w:b/>
          <w:bCs/>
          <w:sz w:val="24"/>
          <w:szCs w:val="24"/>
        </w:rPr>
      </w:pPr>
      <w:bookmarkStart w:id="432" w:name="_Toc73459808"/>
      <w:r w:rsidRPr="00A05698">
        <w:rPr>
          <w:rFonts w:ascii="Times New Roman" w:hAnsi="Times New Roman"/>
          <w:b/>
          <w:bCs/>
          <w:sz w:val="24"/>
          <w:szCs w:val="24"/>
        </w:rPr>
        <w:t>Politique et intervention relative aux auteurs de violence</w:t>
      </w:r>
      <w:bookmarkEnd w:id="432"/>
      <w:r w:rsidRPr="00A05698">
        <w:rPr>
          <w:rFonts w:ascii="Times New Roman" w:hAnsi="Times New Roman"/>
          <w:b/>
          <w:bCs/>
          <w:sz w:val="24"/>
          <w:szCs w:val="24"/>
        </w:rPr>
        <w:t xml:space="preserve"> </w:t>
      </w:r>
    </w:p>
    <w:p w:rsidR="00374A0D" w:rsidRPr="00A05698" w:rsidRDefault="00374A0D" w:rsidP="005E613E">
      <w:pPr>
        <w:ind w:left="426" w:right="-847"/>
        <w:jc w:val="both"/>
        <w:rPr>
          <w:rFonts w:eastAsia="Times New Roman"/>
        </w:rPr>
      </w:pPr>
      <w:r w:rsidRPr="00A05698">
        <w:rPr>
          <w:rFonts w:eastAsia="Times New Roman"/>
        </w:rPr>
        <w:t xml:space="preserve">Encourager et accepter la dénonciation par le biais du MGP faite par les employés et les membres des communautés au sujet des auteurs de violence sur le lieu de travail. Par l’équipe de conformité (EC) et/ou du Prestataire de services, superviser l’enquête sur ces plaintes, en veillant à l’équité procédurale pour l’accusé, et ce, dans le respect des lois locales. Si un employé enfreint le Code de conduite, l’employeur prendra des mesures qui pourraient consister à : </w:t>
      </w:r>
    </w:p>
    <w:p w:rsidR="00374A0D" w:rsidRPr="00FB5ACF" w:rsidRDefault="00374A0D" w:rsidP="005E613E">
      <w:pPr>
        <w:ind w:left="1134" w:right="-847"/>
        <w:rPr>
          <w:rFonts w:eastAsia="Times New Roman"/>
          <w:sz w:val="22"/>
          <w:szCs w:val="22"/>
        </w:rPr>
      </w:pPr>
      <w:r w:rsidRPr="00FB5ACF">
        <w:rPr>
          <w:rFonts w:eastAsia="Times New Roman"/>
          <w:sz w:val="22"/>
          <w:szCs w:val="22"/>
        </w:rPr>
        <w:t xml:space="preserve">i. Prendre des mesures disciplinaires conformément aux sanctions prévues dans les Codes de conduite en matière d’EAS/HS et de VCE ; </w:t>
      </w:r>
    </w:p>
    <w:p w:rsidR="00374A0D" w:rsidRPr="00FB5ACF" w:rsidRDefault="00374A0D" w:rsidP="005E613E">
      <w:pPr>
        <w:ind w:left="1134" w:right="-847"/>
        <w:rPr>
          <w:rFonts w:eastAsia="Times New Roman"/>
          <w:sz w:val="22"/>
          <w:szCs w:val="22"/>
        </w:rPr>
      </w:pPr>
      <w:r w:rsidRPr="00FB5ACF">
        <w:rPr>
          <w:rFonts w:eastAsia="Times New Roman"/>
          <w:sz w:val="22"/>
          <w:szCs w:val="22"/>
        </w:rPr>
        <w:t xml:space="preserve">ii. Dénoncer l’auteur de la violence à la police conformément aux paradigmes juridiques locaux ; et/ou </w:t>
      </w:r>
    </w:p>
    <w:p w:rsidR="00374A0D" w:rsidRPr="00FB5ACF" w:rsidRDefault="00374A0D" w:rsidP="005E613E">
      <w:pPr>
        <w:ind w:left="1134" w:right="-847"/>
        <w:rPr>
          <w:rFonts w:eastAsia="Times New Roman"/>
          <w:sz w:val="22"/>
          <w:szCs w:val="22"/>
        </w:rPr>
      </w:pPr>
      <w:r w:rsidRPr="00FB5ACF">
        <w:rPr>
          <w:rFonts w:eastAsia="Times New Roman"/>
          <w:sz w:val="22"/>
          <w:szCs w:val="22"/>
        </w:rPr>
        <w:t xml:space="preserve">iii. Si possible, fournir ou faciliter la mise en place de services de conseil à l’auteur de la violence. </w:t>
      </w:r>
    </w:p>
    <w:p w:rsidR="00374A0D" w:rsidRPr="00A05698" w:rsidRDefault="00374A0D" w:rsidP="005E613E">
      <w:pPr>
        <w:ind w:right="-847"/>
        <w:rPr>
          <w:rFonts w:eastAsia="Times New Roman"/>
        </w:rPr>
      </w:pPr>
    </w:p>
    <w:p w:rsidR="00374A0D" w:rsidRPr="00A05698" w:rsidRDefault="00374A0D" w:rsidP="005E613E">
      <w:pPr>
        <w:pStyle w:val="PargrafodaLista"/>
        <w:spacing w:after="120" w:line="240" w:lineRule="auto"/>
        <w:ind w:left="2989" w:right="-847"/>
        <w:outlineLvl w:val="1"/>
        <w:rPr>
          <w:rFonts w:ascii="Times New Roman" w:hAnsi="Times New Roman"/>
          <w:b/>
          <w:bCs/>
          <w:sz w:val="24"/>
          <w:szCs w:val="24"/>
        </w:rPr>
      </w:pPr>
      <w:bookmarkStart w:id="433" w:name="_Toc73459809"/>
      <w:r w:rsidRPr="00A05698">
        <w:rPr>
          <w:rFonts w:ascii="Times New Roman" w:hAnsi="Times New Roman"/>
          <w:b/>
          <w:bCs/>
          <w:sz w:val="24"/>
          <w:szCs w:val="24"/>
        </w:rPr>
        <w:t>Sanctions</w:t>
      </w:r>
      <w:bookmarkEnd w:id="433"/>
      <w:r w:rsidRPr="00A05698">
        <w:rPr>
          <w:rFonts w:ascii="Times New Roman" w:hAnsi="Times New Roman"/>
          <w:b/>
          <w:bCs/>
          <w:sz w:val="24"/>
          <w:szCs w:val="24"/>
        </w:rPr>
        <w:t xml:space="preserve"> </w:t>
      </w:r>
    </w:p>
    <w:p w:rsidR="00374A0D" w:rsidRPr="00A05698" w:rsidRDefault="00374A0D" w:rsidP="005E613E">
      <w:pPr>
        <w:ind w:left="426" w:right="-847"/>
        <w:jc w:val="both"/>
        <w:rPr>
          <w:rFonts w:eastAsia="Times New Roman"/>
        </w:rPr>
      </w:pPr>
      <w:r w:rsidRPr="00A05698">
        <w:rPr>
          <w:rFonts w:eastAsia="Times New Roman"/>
        </w:rPr>
        <w:t>Conformément au Code de conduite, tout employé comme auteur d</w:t>
      </w:r>
      <w:r>
        <w:rPr>
          <w:rFonts w:eastAsia="Times New Roman"/>
        </w:rPr>
        <w:t>’EAS/HS</w:t>
      </w:r>
      <w:r w:rsidRPr="00A05698">
        <w:rPr>
          <w:rFonts w:eastAsia="Times New Roman"/>
        </w:rPr>
        <w:t xml:space="preserve"> ou de VCE confirmé sera passible de mesures disciplinaires correspondant aux sanctions et pratiques convenues dans le Code de conduite individuel. Il est important de noter que, pour chaque cas, les sanctions disciplinaires sont censées faire partie d’un processus qui est entièrement interne à l’employeur, qui est placé sous le plein contrôle et la pleine responsabilité de ses gestionnaires et qui est mené conformément à la législation nationale du travail en vigueur. </w:t>
      </w:r>
    </w:p>
    <w:p w:rsidR="00374A0D" w:rsidRPr="00A05698" w:rsidRDefault="00374A0D" w:rsidP="005E613E">
      <w:pPr>
        <w:ind w:left="426" w:right="-847"/>
        <w:jc w:val="both"/>
        <w:rPr>
          <w:rFonts w:eastAsia="Times New Roman"/>
        </w:rPr>
      </w:pPr>
    </w:p>
    <w:p w:rsidR="00374A0D" w:rsidRPr="00A41F0E" w:rsidRDefault="00374A0D" w:rsidP="005E613E">
      <w:pPr>
        <w:ind w:left="426" w:right="-847"/>
        <w:jc w:val="both"/>
        <w:rPr>
          <w:rFonts w:eastAsia="Times New Roman"/>
        </w:rPr>
      </w:pPr>
      <w:r w:rsidRPr="00A05698">
        <w:rPr>
          <w:rFonts w:eastAsia="Times New Roman"/>
        </w:rPr>
        <w:t>Ce processus devrait être totalement indépendant de toute enquête officielle que les autorités compétentes (par exemple la police) pourraient décider de mener dans le cadre de la même affaire, et conformément à la législation nationale en vigueur. En outre, les mesures disciplinaires internes que les gestionnaires de l’employeur pourraient décider d’adopter sont censées être distinctes de toute accusation ou sanction que l’enquête officielle pourrait occasionner (par exemple, les amendes monétaires, la détention, etc.).</w:t>
      </w:r>
    </w:p>
    <w:p w:rsidR="00D57B04" w:rsidRPr="00A05698" w:rsidRDefault="00250DA0" w:rsidP="006111C0">
      <w:pPr>
        <w:pStyle w:val="Cabealho1"/>
        <w:numPr>
          <w:ilvl w:val="0"/>
          <w:numId w:val="0"/>
        </w:numPr>
        <w:pBdr>
          <w:bottom w:val="thickThinSmallGap" w:sz="24" w:space="1" w:color="auto"/>
        </w:pBdr>
        <w:shd w:val="clear" w:color="auto" w:fill="E2EFD9" w:themeFill="accent6" w:themeFillTint="33"/>
        <w:spacing w:after="120"/>
        <w:rPr>
          <w:rFonts w:ascii="Times New Roman" w:hAnsi="Times New Roman"/>
          <w:sz w:val="28"/>
          <w:szCs w:val="28"/>
        </w:rPr>
      </w:pPr>
      <w:bookmarkStart w:id="434" w:name="_Toc73459810"/>
      <w:r w:rsidRPr="00083B97">
        <w:rPr>
          <w:rFonts w:ascii="Times New Roman" w:hAnsi="Times New Roman"/>
          <w:sz w:val="28"/>
          <w:szCs w:val="28"/>
        </w:rPr>
        <w:t xml:space="preserve">ANNEXE </w:t>
      </w:r>
      <w:r w:rsidR="00F6724C">
        <w:rPr>
          <w:rFonts w:ascii="Times New Roman" w:hAnsi="Times New Roman"/>
          <w:sz w:val="28"/>
          <w:szCs w:val="28"/>
        </w:rPr>
        <w:t>4</w:t>
      </w:r>
      <w:r w:rsidRPr="00083B97">
        <w:rPr>
          <w:rFonts w:ascii="Times New Roman" w:hAnsi="Times New Roman"/>
          <w:sz w:val="28"/>
          <w:szCs w:val="28"/>
        </w:rPr>
        <w:t xml:space="preserve">. </w:t>
      </w:r>
      <w:r w:rsidR="00D57B04" w:rsidRPr="00A05698">
        <w:rPr>
          <w:rFonts w:ascii="Times New Roman" w:hAnsi="Times New Roman"/>
          <w:sz w:val="28"/>
          <w:szCs w:val="28"/>
        </w:rPr>
        <w:t>PROCÉDURES DE GESTION DE LA MAIN-D’ŒUVRE</w:t>
      </w:r>
      <w:bookmarkEnd w:id="434"/>
    </w:p>
    <w:p w:rsidR="00681EC7" w:rsidRPr="00681EC7" w:rsidRDefault="00681EC7" w:rsidP="00023762">
      <w:pPr>
        <w:tabs>
          <w:tab w:val="left" w:pos="547"/>
          <w:tab w:val="left" w:pos="720"/>
        </w:tabs>
        <w:ind w:left="720" w:right="-50"/>
        <w:jc w:val="both"/>
        <w:rPr>
          <w:rFonts w:eastAsia="Calibri"/>
          <w:b/>
          <w:color w:val="172D5F"/>
          <w:sz w:val="21"/>
          <w:szCs w:val="21"/>
          <w:u w:val="single"/>
        </w:rPr>
      </w:pPr>
    </w:p>
    <w:p w:rsidR="00681EC7" w:rsidRPr="001F2701" w:rsidRDefault="00064F08" w:rsidP="005E613E">
      <w:pPr>
        <w:numPr>
          <w:ilvl w:val="0"/>
          <w:numId w:val="40"/>
        </w:numPr>
        <w:ind w:left="851" w:right="-851"/>
        <w:contextualSpacing/>
        <w:outlineLvl w:val="1"/>
        <w:rPr>
          <w:rFonts w:eastAsia="Times New Roman"/>
          <w:b/>
          <w:bCs/>
          <w:sz w:val="22"/>
          <w:szCs w:val="22"/>
          <w:lang w:eastAsia="es-ES"/>
        </w:rPr>
      </w:pPr>
      <w:bookmarkStart w:id="435" w:name="_Toc67508576"/>
      <w:bookmarkStart w:id="436" w:name="_Toc69918764"/>
      <w:bookmarkStart w:id="437" w:name="_Toc73459811"/>
      <w:r w:rsidRPr="001F2701">
        <w:rPr>
          <w:rFonts w:eastAsia="Times New Roman"/>
          <w:b/>
          <w:bCs/>
          <w:sz w:val="22"/>
          <w:szCs w:val="22"/>
          <w:lang w:eastAsia="es-ES"/>
        </w:rPr>
        <w:t>Procédures</w:t>
      </w:r>
      <w:r w:rsidR="00681EC7" w:rsidRPr="001F2701">
        <w:rPr>
          <w:rFonts w:eastAsia="Times New Roman"/>
          <w:b/>
          <w:bCs/>
          <w:sz w:val="22"/>
          <w:szCs w:val="22"/>
          <w:lang w:eastAsia="es-ES"/>
        </w:rPr>
        <w:t xml:space="preserve"> de Gestion de la Main-d’œuvre (PGMO)</w:t>
      </w:r>
      <w:bookmarkEnd w:id="435"/>
      <w:bookmarkEnd w:id="436"/>
      <w:bookmarkEnd w:id="437"/>
      <w:r w:rsidR="00681EC7" w:rsidRPr="001F2701">
        <w:rPr>
          <w:rFonts w:eastAsia="Times New Roman"/>
          <w:b/>
          <w:bCs/>
          <w:sz w:val="22"/>
          <w:szCs w:val="22"/>
          <w:lang w:eastAsia="es-ES"/>
        </w:rPr>
        <w:t xml:space="preserve"> </w:t>
      </w:r>
    </w:p>
    <w:p w:rsidR="00681EC7" w:rsidRPr="00681EC7" w:rsidRDefault="00681EC7" w:rsidP="005E613E">
      <w:pPr>
        <w:widowControl w:val="0"/>
        <w:autoSpaceDE w:val="0"/>
        <w:autoSpaceDN w:val="0"/>
        <w:adjustRightInd w:val="0"/>
        <w:ind w:left="284" w:right="-851"/>
        <w:jc w:val="both"/>
        <w:rPr>
          <w:rFonts w:eastAsia="Calibri"/>
          <w:color w:val="000000"/>
          <w:sz w:val="21"/>
          <w:szCs w:val="21"/>
          <w:lang w:eastAsia="en-US"/>
        </w:rPr>
      </w:pPr>
      <w:r w:rsidRPr="00681EC7">
        <w:rPr>
          <w:rFonts w:eastAsia="Calibri"/>
          <w:color w:val="000000"/>
          <w:sz w:val="21"/>
          <w:szCs w:val="21"/>
          <w:lang w:eastAsia="en-US"/>
        </w:rPr>
        <w:t xml:space="preserve">La deuxième Norme Environnementale et Sociale (NES no 2) du nouveau cadre environnemental et social (CES) de la Banque mondiale, « Emploi et conditions de travail », fait obligation à l’Unité de Gestion du Projet (UGP) d’élaborer et de mettre en œuvre des procédures écrites et applicables de Gestion de la Main-d’œuvre (PGMO) qui s’appliquent au projet PUSA. Ces procédures, présentées ci-dessous, décrivent la manière dont les travailleurs du projet seront gérés, conformément aux prescriptions du droit national et de la NES no 2 de la Banque mondiale. Les principaux objectifs visés par ces procédures sont : </w:t>
      </w:r>
    </w:p>
    <w:p w:rsidR="00681EC7" w:rsidRPr="00681EC7" w:rsidRDefault="00681EC7" w:rsidP="005E613E">
      <w:pPr>
        <w:widowControl w:val="0"/>
        <w:numPr>
          <w:ilvl w:val="0"/>
          <w:numId w:val="154"/>
        </w:numPr>
        <w:tabs>
          <w:tab w:val="left" w:pos="220"/>
          <w:tab w:val="left" w:pos="720"/>
        </w:tabs>
        <w:autoSpaceDE w:val="0"/>
        <w:autoSpaceDN w:val="0"/>
        <w:adjustRightInd w:val="0"/>
        <w:ind w:left="1560" w:right="-851" w:hanging="425"/>
        <w:jc w:val="both"/>
        <w:rPr>
          <w:rFonts w:eastAsia="Calibri"/>
          <w:color w:val="000000"/>
          <w:sz w:val="21"/>
          <w:szCs w:val="21"/>
          <w:lang w:eastAsia="en-US"/>
        </w:rPr>
      </w:pPr>
      <w:r w:rsidRPr="00681EC7">
        <w:rPr>
          <w:rFonts w:eastAsia="Calibri"/>
          <w:color w:val="000000"/>
          <w:sz w:val="21"/>
          <w:szCs w:val="21"/>
          <w:lang w:eastAsia="en-US"/>
        </w:rPr>
        <w:t xml:space="preserve">promouvoir la sécurité et la santé au travail. </w:t>
      </w:r>
    </w:p>
    <w:p w:rsidR="00681EC7" w:rsidRPr="00681EC7" w:rsidRDefault="00681EC7" w:rsidP="005E613E">
      <w:pPr>
        <w:widowControl w:val="0"/>
        <w:numPr>
          <w:ilvl w:val="0"/>
          <w:numId w:val="154"/>
        </w:numPr>
        <w:tabs>
          <w:tab w:val="left" w:pos="220"/>
          <w:tab w:val="left" w:pos="720"/>
        </w:tabs>
        <w:autoSpaceDE w:val="0"/>
        <w:autoSpaceDN w:val="0"/>
        <w:adjustRightInd w:val="0"/>
        <w:ind w:left="1560" w:right="-851" w:hanging="425"/>
        <w:jc w:val="both"/>
        <w:rPr>
          <w:rFonts w:eastAsia="Calibri"/>
          <w:color w:val="000000"/>
          <w:sz w:val="21"/>
          <w:szCs w:val="21"/>
          <w:lang w:eastAsia="en-US"/>
        </w:rPr>
      </w:pPr>
      <w:r w:rsidRPr="00681EC7">
        <w:rPr>
          <w:rFonts w:eastAsia="Calibri"/>
          <w:color w:val="000000"/>
          <w:sz w:val="21"/>
          <w:szCs w:val="21"/>
          <w:lang w:eastAsia="en-US"/>
        </w:rPr>
        <w:t xml:space="preserve">identifier les problèmes spécifiques et potentiels liés au travail dans le contexte du Projet. </w:t>
      </w:r>
    </w:p>
    <w:p w:rsidR="00681EC7" w:rsidRPr="00681EC7" w:rsidRDefault="00681EC7" w:rsidP="005E613E">
      <w:pPr>
        <w:widowControl w:val="0"/>
        <w:numPr>
          <w:ilvl w:val="0"/>
          <w:numId w:val="154"/>
        </w:numPr>
        <w:tabs>
          <w:tab w:val="left" w:pos="220"/>
          <w:tab w:val="left" w:pos="720"/>
        </w:tabs>
        <w:autoSpaceDE w:val="0"/>
        <w:autoSpaceDN w:val="0"/>
        <w:adjustRightInd w:val="0"/>
        <w:ind w:left="1560" w:right="-851" w:hanging="425"/>
        <w:jc w:val="both"/>
        <w:rPr>
          <w:rFonts w:eastAsia="Calibri"/>
          <w:color w:val="000000"/>
          <w:sz w:val="21"/>
          <w:szCs w:val="21"/>
          <w:lang w:eastAsia="en-US"/>
        </w:rPr>
      </w:pPr>
      <w:r w:rsidRPr="00681EC7">
        <w:rPr>
          <w:rFonts w:eastAsia="Calibri"/>
          <w:color w:val="000000"/>
          <w:sz w:val="21"/>
          <w:szCs w:val="21"/>
          <w:lang w:eastAsia="en-US"/>
        </w:rPr>
        <w:t xml:space="preserve">encourager le traitement équitable, la non-discrimination et l’égalité des chances pour les travailleurs du projet. </w:t>
      </w:r>
    </w:p>
    <w:p w:rsidR="00681EC7" w:rsidRPr="00681EC7" w:rsidRDefault="00681EC7" w:rsidP="005E613E">
      <w:pPr>
        <w:widowControl w:val="0"/>
        <w:numPr>
          <w:ilvl w:val="0"/>
          <w:numId w:val="154"/>
        </w:numPr>
        <w:tabs>
          <w:tab w:val="left" w:pos="220"/>
          <w:tab w:val="left" w:pos="720"/>
        </w:tabs>
        <w:autoSpaceDE w:val="0"/>
        <w:autoSpaceDN w:val="0"/>
        <w:adjustRightInd w:val="0"/>
        <w:ind w:left="1560" w:right="-851" w:hanging="425"/>
        <w:jc w:val="both"/>
        <w:rPr>
          <w:rFonts w:eastAsia="Calibri"/>
          <w:color w:val="000000"/>
          <w:sz w:val="21"/>
          <w:szCs w:val="21"/>
          <w:lang w:eastAsia="en-US"/>
        </w:rPr>
      </w:pPr>
      <w:r w:rsidRPr="00681EC7">
        <w:rPr>
          <w:rFonts w:eastAsia="Calibri"/>
          <w:color w:val="000000"/>
          <w:sz w:val="21"/>
          <w:szCs w:val="21"/>
          <w:lang w:eastAsia="en-US"/>
        </w:rPr>
        <w:t xml:space="preserve">protéger les travailleurs du projet, notamment ceux qui sont vulnérables tels que les femmes, les personnes handicapées, les enfants (en âge de travailler, conformément à la NES no2 de la Banque) et les travailleurs migrants, ainsi que les travailleurs contractuels, communautaires et les employés des fournisseurs principaux, le cas échéant. </w:t>
      </w:r>
    </w:p>
    <w:p w:rsidR="00681EC7" w:rsidRPr="00681EC7" w:rsidRDefault="00681EC7" w:rsidP="005E613E">
      <w:pPr>
        <w:widowControl w:val="0"/>
        <w:numPr>
          <w:ilvl w:val="0"/>
          <w:numId w:val="154"/>
        </w:numPr>
        <w:tabs>
          <w:tab w:val="left" w:pos="220"/>
          <w:tab w:val="left" w:pos="720"/>
        </w:tabs>
        <w:autoSpaceDE w:val="0"/>
        <w:autoSpaceDN w:val="0"/>
        <w:adjustRightInd w:val="0"/>
        <w:ind w:left="1560" w:right="-851" w:hanging="425"/>
        <w:jc w:val="both"/>
        <w:rPr>
          <w:rFonts w:eastAsia="Calibri"/>
          <w:color w:val="000000"/>
          <w:sz w:val="21"/>
          <w:szCs w:val="21"/>
          <w:lang w:eastAsia="en-US"/>
        </w:rPr>
      </w:pPr>
      <w:r w:rsidRPr="00681EC7">
        <w:rPr>
          <w:rFonts w:eastAsia="Calibri"/>
          <w:color w:val="000000"/>
          <w:sz w:val="21"/>
          <w:szCs w:val="21"/>
          <w:lang w:eastAsia="en-US"/>
        </w:rPr>
        <w:t xml:space="preserve">empêcher le recours à toute forme de travail forcé et au travail des enfants. </w:t>
      </w:r>
    </w:p>
    <w:p w:rsidR="00681EC7" w:rsidRPr="00681EC7" w:rsidRDefault="00681EC7" w:rsidP="005E613E">
      <w:pPr>
        <w:widowControl w:val="0"/>
        <w:numPr>
          <w:ilvl w:val="0"/>
          <w:numId w:val="154"/>
        </w:numPr>
        <w:tabs>
          <w:tab w:val="left" w:pos="220"/>
          <w:tab w:val="left" w:pos="720"/>
        </w:tabs>
        <w:autoSpaceDE w:val="0"/>
        <w:autoSpaceDN w:val="0"/>
        <w:adjustRightInd w:val="0"/>
        <w:ind w:left="1560" w:right="-851" w:hanging="425"/>
        <w:jc w:val="both"/>
        <w:rPr>
          <w:rFonts w:eastAsia="Calibri"/>
          <w:color w:val="000000"/>
          <w:sz w:val="21"/>
          <w:szCs w:val="21"/>
          <w:lang w:eastAsia="en-US"/>
        </w:rPr>
      </w:pPr>
      <w:r w:rsidRPr="00681EC7">
        <w:rPr>
          <w:rFonts w:eastAsia="Calibri"/>
          <w:color w:val="000000"/>
          <w:sz w:val="21"/>
          <w:szCs w:val="21"/>
          <w:lang w:eastAsia="en-US"/>
        </w:rPr>
        <w:t xml:space="preserve">soutenir les principes de liberté d’association et de conventions collectives des travailleurs du projet en accord avec le droit national. </w:t>
      </w:r>
    </w:p>
    <w:p w:rsidR="00681EC7" w:rsidRPr="00681EC7" w:rsidRDefault="00681EC7" w:rsidP="005E613E">
      <w:pPr>
        <w:widowControl w:val="0"/>
        <w:numPr>
          <w:ilvl w:val="0"/>
          <w:numId w:val="154"/>
        </w:numPr>
        <w:tabs>
          <w:tab w:val="left" w:pos="220"/>
          <w:tab w:val="left" w:pos="720"/>
        </w:tabs>
        <w:autoSpaceDE w:val="0"/>
        <w:autoSpaceDN w:val="0"/>
        <w:adjustRightInd w:val="0"/>
        <w:ind w:left="1560" w:right="-851" w:hanging="425"/>
        <w:jc w:val="both"/>
        <w:rPr>
          <w:rFonts w:eastAsia="Calibri"/>
          <w:color w:val="000000"/>
          <w:sz w:val="21"/>
          <w:szCs w:val="21"/>
          <w:lang w:eastAsia="en-US"/>
        </w:rPr>
      </w:pPr>
      <w:r w:rsidRPr="00681EC7">
        <w:rPr>
          <w:rFonts w:eastAsia="Calibri"/>
          <w:color w:val="000000"/>
          <w:sz w:val="21"/>
          <w:szCs w:val="21"/>
          <w:lang w:eastAsia="en-US"/>
        </w:rPr>
        <w:t>fournir aux travailleurs du projet les moyens d’évoquer les problèmes qui se posent sur leur lieu de travail. Ce PGMO est un document vivant qui sera réévalué, révisé et mis à jour au besoin tout au long de la mise en œuvre du Projet et de l’évolution des activités du Projet. `</w:t>
      </w:r>
    </w:p>
    <w:p w:rsidR="00681EC7" w:rsidRPr="00681EC7" w:rsidRDefault="00681EC7" w:rsidP="005E613E">
      <w:pPr>
        <w:widowControl w:val="0"/>
        <w:tabs>
          <w:tab w:val="left" w:pos="220"/>
          <w:tab w:val="left" w:pos="720"/>
        </w:tabs>
        <w:autoSpaceDE w:val="0"/>
        <w:autoSpaceDN w:val="0"/>
        <w:adjustRightInd w:val="0"/>
        <w:ind w:left="567" w:right="-851"/>
        <w:jc w:val="both"/>
        <w:rPr>
          <w:rFonts w:eastAsia="Calibri"/>
          <w:color w:val="000000"/>
          <w:sz w:val="21"/>
          <w:szCs w:val="21"/>
          <w:lang w:eastAsia="en-US"/>
        </w:rPr>
      </w:pPr>
    </w:p>
    <w:p w:rsidR="00681EC7" w:rsidRPr="001F2701" w:rsidRDefault="00681EC7" w:rsidP="005E613E">
      <w:pPr>
        <w:numPr>
          <w:ilvl w:val="0"/>
          <w:numId w:val="159"/>
        </w:numPr>
        <w:ind w:left="709" w:right="-851"/>
        <w:contextualSpacing/>
        <w:outlineLvl w:val="1"/>
        <w:rPr>
          <w:rFonts w:eastAsia="Times New Roman"/>
          <w:b/>
          <w:bCs/>
          <w:sz w:val="22"/>
          <w:szCs w:val="22"/>
          <w:lang w:eastAsia="es-ES"/>
        </w:rPr>
      </w:pPr>
      <w:bookmarkStart w:id="438" w:name="_Toc67508577"/>
      <w:bookmarkStart w:id="439" w:name="_Toc69918765"/>
      <w:bookmarkStart w:id="440" w:name="_Toc73459812"/>
      <w:r w:rsidRPr="001F2701">
        <w:rPr>
          <w:rFonts w:eastAsia="Times New Roman"/>
          <w:b/>
          <w:bCs/>
          <w:sz w:val="22"/>
          <w:szCs w:val="22"/>
          <w:lang w:eastAsia="es-ES"/>
        </w:rPr>
        <w:t>GÉNÉRALITÉS SUR L’UTILISATION DE LA MAIN-D’ŒUVRE DANS LE CADRE DU PROJET</w:t>
      </w:r>
      <w:bookmarkEnd w:id="438"/>
      <w:bookmarkEnd w:id="439"/>
      <w:bookmarkEnd w:id="440"/>
    </w:p>
    <w:p w:rsidR="00681EC7" w:rsidRPr="00681EC7" w:rsidRDefault="00681EC7" w:rsidP="005E613E">
      <w:pPr>
        <w:ind w:left="284" w:right="-851"/>
        <w:jc w:val="both"/>
        <w:rPr>
          <w:rFonts w:eastAsia="Times New Roman"/>
          <w:color w:val="040404"/>
          <w:sz w:val="21"/>
          <w:szCs w:val="21"/>
          <w:shd w:val="clear" w:color="auto" w:fill="FFFFFF"/>
          <w:lang w:eastAsia="es-ES"/>
        </w:rPr>
      </w:pPr>
      <w:r w:rsidRPr="00681EC7">
        <w:rPr>
          <w:rFonts w:eastAsia="Times New Roman"/>
          <w:color w:val="040404"/>
          <w:sz w:val="21"/>
          <w:szCs w:val="21"/>
          <w:shd w:val="clear" w:color="auto" w:fill="FFFFFF"/>
          <w:lang w:eastAsia="es-ES"/>
        </w:rPr>
        <w:t xml:space="preserve">Dans le cadre de la </w:t>
      </w:r>
      <w:r w:rsidRPr="00681EC7">
        <w:rPr>
          <w:rFonts w:eastAsia="Calibri"/>
          <w:color w:val="040404"/>
          <w:sz w:val="21"/>
          <w:szCs w:val="21"/>
          <w:shd w:val="clear" w:color="auto" w:fill="FFFFFF"/>
        </w:rPr>
        <w:t>mise en œuvre du Projet PUSA</w:t>
      </w:r>
      <w:r w:rsidRPr="00681EC7">
        <w:rPr>
          <w:rFonts w:eastAsia="Times New Roman"/>
          <w:color w:val="040404"/>
          <w:sz w:val="21"/>
          <w:szCs w:val="21"/>
          <w:shd w:val="clear" w:color="auto" w:fill="FFFFFF"/>
          <w:lang w:eastAsia="es-ES"/>
        </w:rPr>
        <w:t xml:space="preserve">, toute personne physique, de sexe masculin ou féminin, de bonne moralité et ayant atteint ou dépassé l’âge minimum (18 ans) requis, ou personne morale répondant aux critères et conditions des offres, peut être employée. Quant aux cadres du projet, ils seront recrutés sur la base des exigences du poste tout en écartant tout traitement discriminatoire lié au sexe, à la religion, aux handicaps et autres. </w:t>
      </w:r>
    </w:p>
    <w:p w:rsidR="00681EC7" w:rsidRPr="00681EC7" w:rsidRDefault="00681EC7" w:rsidP="005E613E">
      <w:pPr>
        <w:ind w:left="284" w:right="-851"/>
        <w:jc w:val="both"/>
        <w:rPr>
          <w:rFonts w:eastAsia="Times New Roman"/>
          <w:color w:val="040404"/>
          <w:sz w:val="21"/>
          <w:szCs w:val="21"/>
          <w:shd w:val="clear" w:color="auto" w:fill="FFFFFF"/>
          <w:lang w:eastAsia="es-ES"/>
        </w:rPr>
      </w:pPr>
      <w:r w:rsidRPr="00681EC7">
        <w:rPr>
          <w:rFonts w:eastAsia="Times New Roman"/>
          <w:color w:val="040404"/>
          <w:sz w:val="21"/>
          <w:szCs w:val="21"/>
          <w:shd w:val="clear" w:color="auto" w:fill="FFFFFF"/>
          <w:lang w:eastAsia="es-ES"/>
        </w:rPr>
        <w:t>Les investissements susceptibles de mobiliser le plus de main-d’œuvre se regroupent p</w:t>
      </w:r>
      <w:r w:rsidRPr="00681EC7">
        <w:rPr>
          <w:rFonts w:eastAsia="Calibri"/>
          <w:color w:val="040404"/>
          <w:sz w:val="21"/>
          <w:szCs w:val="21"/>
          <w:shd w:val="clear" w:color="auto" w:fill="FFFFFF"/>
        </w:rPr>
        <w:t>articulièrement au niveau des Composante 1, 2, et 3</w:t>
      </w:r>
      <w:r w:rsidRPr="00681EC7">
        <w:rPr>
          <w:rFonts w:eastAsia="Times New Roman"/>
          <w:color w:val="040404"/>
          <w:sz w:val="21"/>
          <w:szCs w:val="21"/>
          <w:shd w:val="clear" w:color="auto" w:fill="FFFFFF"/>
          <w:lang w:eastAsia="es-ES"/>
        </w:rPr>
        <w:t xml:space="preserve"> du projet ; il s’agit plus spécifiquement des activités suivantes : cibler et enregistrer les bénéficiaires du projet </w:t>
      </w:r>
      <w:r w:rsidRPr="00681EC7">
        <w:rPr>
          <w:rFonts w:eastAsia="Calibri"/>
          <w:color w:val="040404"/>
          <w:sz w:val="21"/>
          <w:szCs w:val="21"/>
          <w:shd w:val="clear" w:color="auto" w:fill="FFFFFF"/>
        </w:rPr>
        <w:t>l’achat et la distribution de semences et de matériel de plantation améliorés, l’accès au matériel et à la main-d’œuvre agricoles nécessaires, la fourniture des services de conseil requis pour soutenir l’amélioration de la production, la réhabilitation des structures de stockage, l’ouverture de routes d’accès aux zones de production agricole, la construction de marchés locaux, etc</w:t>
      </w:r>
      <w:r w:rsidRPr="00681EC7">
        <w:rPr>
          <w:rFonts w:eastAsia="Times New Roman"/>
          <w:color w:val="040404"/>
          <w:sz w:val="21"/>
          <w:szCs w:val="21"/>
          <w:shd w:val="clear" w:color="auto" w:fill="FFFFFF"/>
          <w:lang w:eastAsia="es-ES"/>
        </w:rPr>
        <w:t xml:space="preserve">. </w:t>
      </w:r>
    </w:p>
    <w:p w:rsidR="00681EC7" w:rsidRPr="00681EC7" w:rsidRDefault="00681EC7" w:rsidP="00023762">
      <w:pPr>
        <w:ind w:left="284" w:right="-50"/>
        <w:jc w:val="both"/>
        <w:rPr>
          <w:rFonts w:eastAsia="Times New Roman"/>
          <w:color w:val="040404"/>
          <w:shd w:val="clear" w:color="auto" w:fill="FFFFFF"/>
          <w:lang w:eastAsia="es-ES"/>
        </w:rPr>
      </w:pPr>
    </w:p>
    <w:p w:rsidR="00681EC7" w:rsidRPr="00681EC7" w:rsidRDefault="00681EC7" w:rsidP="00023762">
      <w:pPr>
        <w:ind w:left="284" w:right="-50"/>
        <w:jc w:val="both"/>
        <w:rPr>
          <w:rFonts w:eastAsia="Times New Roman"/>
          <w:b/>
          <w:color w:val="040404"/>
          <w:sz w:val="21"/>
          <w:szCs w:val="21"/>
          <w:shd w:val="clear" w:color="auto" w:fill="FFFFFF"/>
          <w:lang w:eastAsia="es-ES"/>
        </w:rPr>
      </w:pPr>
      <w:r w:rsidRPr="00681EC7">
        <w:rPr>
          <w:rFonts w:eastAsia="Times New Roman"/>
          <w:b/>
          <w:color w:val="040404"/>
          <w:sz w:val="21"/>
          <w:szCs w:val="21"/>
          <w:shd w:val="clear" w:color="auto" w:fill="FFFFFF"/>
          <w:lang w:eastAsia="es-ES"/>
        </w:rPr>
        <w:t xml:space="preserve">Répartition et type de main-d’œuvre du projet </w:t>
      </w:r>
    </w:p>
    <w:p w:rsidR="00681EC7" w:rsidRPr="00681EC7" w:rsidRDefault="00681EC7" w:rsidP="00023762">
      <w:pPr>
        <w:ind w:left="284" w:right="-50"/>
        <w:jc w:val="both"/>
        <w:rPr>
          <w:rFonts w:eastAsia="Times New Roman"/>
          <w:color w:val="040404"/>
          <w:sz w:val="21"/>
          <w:szCs w:val="21"/>
          <w:shd w:val="clear" w:color="auto" w:fill="FFFFFF"/>
          <w:lang w:eastAsia="es-ES"/>
        </w:rPr>
      </w:pPr>
      <w:r w:rsidRPr="00681EC7">
        <w:rPr>
          <w:rFonts w:eastAsia="Times New Roman"/>
          <w:color w:val="040404"/>
          <w:sz w:val="21"/>
          <w:szCs w:val="21"/>
          <w:shd w:val="clear" w:color="auto" w:fill="FFFFFF"/>
          <w:lang w:eastAsia="es-ES"/>
        </w:rPr>
        <w:t>Effectif des travailleurs du projet</w:t>
      </w:r>
    </w:p>
    <w:p w:rsidR="00681EC7" w:rsidRPr="00681EC7" w:rsidRDefault="00681EC7" w:rsidP="00681EC7">
      <w:pPr>
        <w:spacing w:line="276" w:lineRule="auto"/>
        <w:ind w:right="196"/>
        <w:jc w:val="both"/>
        <w:rPr>
          <w:rFonts w:eastAsia="Arial"/>
          <w:spacing w:val="29"/>
          <w:sz w:val="10"/>
        </w:rPr>
      </w:pPr>
    </w:p>
    <w:tbl>
      <w:tblPr>
        <w:tblStyle w:val="TableauGrille1Clair3"/>
        <w:tblW w:w="7694" w:type="dxa"/>
        <w:jc w:val="center"/>
        <w:tblLook w:val="04A0" w:firstRow="1" w:lastRow="0" w:firstColumn="1" w:lastColumn="0" w:noHBand="0" w:noVBand="1"/>
      </w:tblPr>
      <w:tblGrid>
        <w:gridCol w:w="4815"/>
        <w:gridCol w:w="1439"/>
        <w:gridCol w:w="1440"/>
      </w:tblGrid>
      <w:tr w:rsidR="00681EC7" w:rsidRPr="00681EC7" w:rsidTr="00681EC7">
        <w:trPr>
          <w:cnfStyle w:val="100000000000" w:firstRow="1" w:lastRow="0" w:firstColumn="0" w:lastColumn="0" w:oddVBand="0" w:evenVBand="0" w:oddHBand="0"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rsidR="00681EC7" w:rsidRPr="00681EC7" w:rsidRDefault="00681EC7" w:rsidP="00681EC7">
            <w:pPr>
              <w:jc w:val="center"/>
              <w:rPr>
                <w:rFonts w:eastAsia="Arial"/>
                <w:spacing w:val="-5"/>
                <w:sz w:val="21"/>
                <w:szCs w:val="21"/>
              </w:rPr>
            </w:pPr>
            <w:r w:rsidRPr="00681EC7">
              <w:rPr>
                <w:rFonts w:eastAsia="Arial"/>
                <w:spacing w:val="-5"/>
                <w:sz w:val="21"/>
                <w:szCs w:val="21"/>
              </w:rPr>
              <w:t>Personnel du Projet</w:t>
            </w:r>
          </w:p>
        </w:tc>
        <w:tc>
          <w:tcPr>
            <w:tcW w:w="1439" w:type="dxa"/>
            <w:vAlign w:val="center"/>
          </w:tcPr>
          <w:p w:rsidR="00681EC7" w:rsidRPr="00681EC7" w:rsidRDefault="00681EC7" w:rsidP="00681EC7">
            <w:pPr>
              <w:jc w:val="center"/>
              <w:cnfStyle w:val="100000000000" w:firstRow="1" w:lastRow="0" w:firstColumn="0" w:lastColumn="0" w:oddVBand="0" w:evenVBand="0" w:oddHBand="0" w:evenHBand="0" w:firstRowFirstColumn="0" w:firstRowLastColumn="0" w:lastRowFirstColumn="0" w:lastRowLastColumn="0"/>
              <w:rPr>
                <w:rFonts w:eastAsia="Arial"/>
                <w:spacing w:val="-5"/>
                <w:sz w:val="21"/>
                <w:szCs w:val="21"/>
              </w:rPr>
            </w:pPr>
            <w:r w:rsidRPr="00681EC7">
              <w:rPr>
                <w:rFonts w:eastAsia="Arial"/>
                <w:spacing w:val="-5"/>
                <w:sz w:val="21"/>
                <w:szCs w:val="21"/>
              </w:rPr>
              <w:t>Effectif</w:t>
            </w:r>
          </w:p>
        </w:tc>
        <w:tc>
          <w:tcPr>
            <w:tcW w:w="1440" w:type="dxa"/>
            <w:vAlign w:val="center"/>
          </w:tcPr>
          <w:p w:rsidR="00681EC7" w:rsidRPr="00681EC7" w:rsidRDefault="00681EC7" w:rsidP="00681EC7">
            <w:pPr>
              <w:jc w:val="center"/>
              <w:cnfStyle w:val="100000000000" w:firstRow="1" w:lastRow="0" w:firstColumn="0" w:lastColumn="0" w:oddVBand="0" w:evenVBand="0" w:oddHBand="0" w:evenHBand="0" w:firstRowFirstColumn="0" w:firstRowLastColumn="0" w:lastRowFirstColumn="0" w:lastRowLastColumn="0"/>
              <w:rPr>
                <w:rFonts w:eastAsia="Arial"/>
                <w:spacing w:val="-5"/>
                <w:sz w:val="21"/>
                <w:szCs w:val="21"/>
              </w:rPr>
            </w:pPr>
            <w:r w:rsidRPr="00681EC7">
              <w:rPr>
                <w:rFonts w:eastAsia="Arial"/>
                <w:spacing w:val="-5"/>
                <w:sz w:val="21"/>
                <w:szCs w:val="21"/>
              </w:rPr>
              <w:t xml:space="preserve">Pourcentage </w:t>
            </w:r>
          </w:p>
        </w:tc>
      </w:tr>
      <w:tr w:rsidR="00681EC7" w:rsidRPr="00681EC7" w:rsidTr="00681EC7">
        <w:trPr>
          <w:trHeight w:val="38"/>
          <w:jc w:val="center"/>
        </w:trPr>
        <w:tc>
          <w:tcPr>
            <w:cnfStyle w:val="001000000000" w:firstRow="0" w:lastRow="0" w:firstColumn="1" w:lastColumn="0" w:oddVBand="0" w:evenVBand="0" w:oddHBand="0" w:evenHBand="0" w:firstRowFirstColumn="0" w:firstRowLastColumn="0" w:lastRowFirstColumn="0" w:lastRowLastColumn="0"/>
            <w:tcW w:w="4815" w:type="dxa"/>
          </w:tcPr>
          <w:p w:rsidR="00681EC7" w:rsidRPr="00681EC7" w:rsidRDefault="00681EC7" w:rsidP="00681EC7">
            <w:pPr>
              <w:jc w:val="both"/>
              <w:rPr>
                <w:rFonts w:eastAsia="Arial"/>
                <w:spacing w:val="-5"/>
                <w:sz w:val="21"/>
                <w:szCs w:val="21"/>
              </w:rPr>
            </w:pPr>
            <w:r w:rsidRPr="00681EC7">
              <w:rPr>
                <w:rFonts w:eastAsia="Arial"/>
                <w:spacing w:val="-5"/>
                <w:sz w:val="21"/>
                <w:szCs w:val="21"/>
              </w:rPr>
              <w:t>Travailleurs directs</w:t>
            </w:r>
          </w:p>
        </w:tc>
        <w:tc>
          <w:tcPr>
            <w:tcW w:w="1439"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1"/>
                <w:szCs w:val="21"/>
              </w:rPr>
            </w:pPr>
          </w:p>
        </w:tc>
        <w:tc>
          <w:tcPr>
            <w:tcW w:w="1440"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1"/>
                <w:szCs w:val="21"/>
              </w:rPr>
            </w:pPr>
          </w:p>
        </w:tc>
      </w:tr>
      <w:tr w:rsidR="00681EC7" w:rsidRPr="00681EC7" w:rsidTr="00681EC7">
        <w:trPr>
          <w:trHeight w:val="124"/>
          <w:jc w:val="center"/>
        </w:trPr>
        <w:tc>
          <w:tcPr>
            <w:cnfStyle w:val="001000000000" w:firstRow="0" w:lastRow="0" w:firstColumn="1" w:lastColumn="0" w:oddVBand="0" w:evenVBand="0" w:oddHBand="0" w:evenHBand="0" w:firstRowFirstColumn="0" w:firstRowLastColumn="0" w:lastRowFirstColumn="0" w:lastRowLastColumn="0"/>
            <w:tcW w:w="4815" w:type="dxa"/>
          </w:tcPr>
          <w:p w:rsidR="00681EC7" w:rsidRPr="00681EC7" w:rsidRDefault="00681EC7" w:rsidP="00681EC7">
            <w:pPr>
              <w:jc w:val="both"/>
              <w:rPr>
                <w:rFonts w:eastAsia="Arial"/>
                <w:spacing w:val="-5"/>
                <w:sz w:val="21"/>
                <w:szCs w:val="21"/>
              </w:rPr>
            </w:pPr>
            <w:r w:rsidRPr="00681EC7">
              <w:rPr>
                <w:rFonts w:eastAsia="Arial"/>
                <w:spacing w:val="-5"/>
                <w:sz w:val="21"/>
                <w:szCs w:val="21"/>
              </w:rPr>
              <w:t>Travailleurs contractuels</w:t>
            </w:r>
          </w:p>
        </w:tc>
        <w:tc>
          <w:tcPr>
            <w:tcW w:w="1439"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1"/>
                <w:szCs w:val="21"/>
              </w:rPr>
            </w:pPr>
          </w:p>
        </w:tc>
        <w:tc>
          <w:tcPr>
            <w:tcW w:w="1440"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1"/>
                <w:szCs w:val="21"/>
              </w:rPr>
            </w:pPr>
          </w:p>
        </w:tc>
      </w:tr>
      <w:tr w:rsidR="00681EC7" w:rsidRPr="00681EC7" w:rsidTr="00681EC7">
        <w:trPr>
          <w:trHeight w:val="166"/>
          <w:jc w:val="center"/>
        </w:trPr>
        <w:tc>
          <w:tcPr>
            <w:cnfStyle w:val="001000000000" w:firstRow="0" w:lastRow="0" w:firstColumn="1" w:lastColumn="0" w:oddVBand="0" w:evenVBand="0" w:oddHBand="0" w:evenHBand="0" w:firstRowFirstColumn="0" w:firstRowLastColumn="0" w:lastRowFirstColumn="0" w:lastRowLastColumn="0"/>
            <w:tcW w:w="4815" w:type="dxa"/>
          </w:tcPr>
          <w:p w:rsidR="00681EC7" w:rsidRPr="00681EC7" w:rsidRDefault="00681EC7" w:rsidP="00681EC7">
            <w:pPr>
              <w:jc w:val="both"/>
              <w:rPr>
                <w:rFonts w:eastAsia="Arial"/>
                <w:spacing w:val="-5"/>
                <w:sz w:val="21"/>
                <w:szCs w:val="21"/>
              </w:rPr>
            </w:pPr>
            <w:r w:rsidRPr="00681EC7">
              <w:rPr>
                <w:rFonts w:eastAsia="Arial"/>
                <w:spacing w:val="-5"/>
                <w:sz w:val="21"/>
                <w:szCs w:val="21"/>
              </w:rPr>
              <w:t xml:space="preserve">Travailleurs communautaires </w:t>
            </w:r>
          </w:p>
        </w:tc>
        <w:tc>
          <w:tcPr>
            <w:tcW w:w="1439"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1"/>
                <w:szCs w:val="21"/>
              </w:rPr>
            </w:pPr>
          </w:p>
        </w:tc>
        <w:tc>
          <w:tcPr>
            <w:tcW w:w="1440"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1"/>
                <w:szCs w:val="21"/>
              </w:rPr>
            </w:pPr>
          </w:p>
        </w:tc>
      </w:tr>
      <w:tr w:rsidR="00681EC7" w:rsidRPr="00681EC7" w:rsidTr="00681EC7">
        <w:trPr>
          <w:trHeight w:val="82"/>
          <w:jc w:val="center"/>
        </w:trPr>
        <w:tc>
          <w:tcPr>
            <w:cnfStyle w:val="001000000000" w:firstRow="0" w:lastRow="0" w:firstColumn="1" w:lastColumn="0" w:oddVBand="0" w:evenVBand="0" w:oddHBand="0" w:evenHBand="0" w:firstRowFirstColumn="0" w:firstRowLastColumn="0" w:lastRowFirstColumn="0" w:lastRowLastColumn="0"/>
            <w:tcW w:w="4815" w:type="dxa"/>
          </w:tcPr>
          <w:p w:rsidR="00681EC7" w:rsidRPr="00681EC7" w:rsidRDefault="00681EC7" w:rsidP="00681EC7">
            <w:pPr>
              <w:jc w:val="center"/>
              <w:rPr>
                <w:rFonts w:eastAsia="Arial"/>
                <w:spacing w:val="-5"/>
                <w:sz w:val="21"/>
                <w:szCs w:val="21"/>
              </w:rPr>
            </w:pPr>
            <w:r w:rsidRPr="00681EC7">
              <w:rPr>
                <w:rFonts w:eastAsia="Arial"/>
                <w:spacing w:val="-5"/>
                <w:sz w:val="21"/>
                <w:szCs w:val="21"/>
              </w:rPr>
              <w:t>TOTAL</w:t>
            </w:r>
          </w:p>
        </w:tc>
        <w:tc>
          <w:tcPr>
            <w:tcW w:w="1439"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1"/>
                <w:szCs w:val="21"/>
              </w:rPr>
            </w:pPr>
          </w:p>
        </w:tc>
        <w:tc>
          <w:tcPr>
            <w:tcW w:w="1440"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1"/>
                <w:szCs w:val="21"/>
              </w:rPr>
            </w:pPr>
          </w:p>
        </w:tc>
      </w:tr>
    </w:tbl>
    <w:p w:rsidR="00681EC7" w:rsidRPr="00681EC7" w:rsidRDefault="00681EC7" w:rsidP="00681EC7">
      <w:pPr>
        <w:ind w:right="-851"/>
        <w:jc w:val="both"/>
        <w:rPr>
          <w:rFonts w:eastAsia="Arial"/>
          <w:spacing w:val="-5"/>
        </w:rPr>
      </w:pPr>
    </w:p>
    <w:p w:rsidR="00681EC7" w:rsidRPr="00E052CB" w:rsidRDefault="00681EC7" w:rsidP="00E052CB">
      <w:pPr>
        <w:ind w:left="284" w:right="-851"/>
        <w:jc w:val="both"/>
        <w:rPr>
          <w:rFonts w:eastAsia="Times New Roman"/>
          <w:b/>
          <w:color w:val="040404"/>
          <w:sz w:val="21"/>
          <w:szCs w:val="21"/>
          <w:shd w:val="clear" w:color="auto" w:fill="FFFFFF"/>
          <w:lang w:eastAsia="es-ES"/>
        </w:rPr>
      </w:pPr>
      <w:r w:rsidRPr="00E052CB">
        <w:rPr>
          <w:rFonts w:eastAsia="Times New Roman"/>
          <w:b/>
          <w:color w:val="040404"/>
          <w:sz w:val="21"/>
          <w:szCs w:val="21"/>
          <w:shd w:val="clear" w:color="auto" w:fill="FFFFFF"/>
          <w:lang w:eastAsia="es-ES"/>
        </w:rPr>
        <w:t>Caractéristiques des travailleurs du projet</w:t>
      </w:r>
    </w:p>
    <w:p w:rsidR="00681EC7" w:rsidRPr="00681EC7" w:rsidRDefault="00681EC7" w:rsidP="00681EC7">
      <w:pPr>
        <w:rPr>
          <w:rFonts w:eastAsia="Arial"/>
          <w:sz w:val="10"/>
        </w:rPr>
      </w:pPr>
    </w:p>
    <w:tbl>
      <w:tblPr>
        <w:tblStyle w:val="TableauGrille1Clair3"/>
        <w:tblW w:w="0" w:type="auto"/>
        <w:jc w:val="center"/>
        <w:tblLook w:val="04A0" w:firstRow="1" w:lastRow="0" w:firstColumn="1" w:lastColumn="0" w:noHBand="0" w:noVBand="1"/>
      </w:tblPr>
      <w:tblGrid>
        <w:gridCol w:w="1289"/>
        <w:gridCol w:w="396"/>
        <w:gridCol w:w="294"/>
        <w:gridCol w:w="1027"/>
        <w:gridCol w:w="1640"/>
        <w:gridCol w:w="1036"/>
        <w:gridCol w:w="1148"/>
        <w:gridCol w:w="1253"/>
        <w:gridCol w:w="1205"/>
      </w:tblGrid>
      <w:tr w:rsidR="00681EC7" w:rsidRPr="00681EC7" w:rsidTr="00E052CB">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EC7" w:rsidRPr="00681EC7" w:rsidRDefault="00681EC7" w:rsidP="00681EC7">
            <w:pPr>
              <w:ind w:right="-108"/>
              <w:jc w:val="center"/>
              <w:rPr>
                <w:rFonts w:eastAsia="Arial"/>
                <w:spacing w:val="-5"/>
                <w:sz w:val="20"/>
                <w:szCs w:val="20"/>
              </w:rPr>
            </w:pPr>
            <w:r w:rsidRPr="00681EC7">
              <w:rPr>
                <w:rFonts w:eastAsia="Arial"/>
                <w:spacing w:val="-5"/>
                <w:sz w:val="20"/>
                <w:szCs w:val="20"/>
              </w:rPr>
              <w:t>Prénom et Nom</w:t>
            </w:r>
          </w:p>
        </w:tc>
        <w:tc>
          <w:tcPr>
            <w:tcW w:w="0" w:type="auto"/>
            <w:vAlign w:val="center"/>
          </w:tcPr>
          <w:p w:rsidR="00681EC7" w:rsidRPr="00681EC7" w:rsidRDefault="00681EC7" w:rsidP="00681EC7">
            <w:pPr>
              <w:ind w:left="-91" w:right="-98"/>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Sexe</w:t>
            </w:r>
          </w:p>
        </w:tc>
        <w:tc>
          <w:tcPr>
            <w:tcW w:w="0" w:type="auto"/>
            <w:vAlign w:val="center"/>
          </w:tcPr>
          <w:p w:rsidR="00681EC7" w:rsidRPr="00681EC7" w:rsidRDefault="00681EC7" w:rsidP="00681EC7">
            <w:pPr>
              <w:ind w:left="-114" w:right="-127"/>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Age</w:t>
            </w:r>
          </w:p>
        </w:tc>
        <w:tc>
          <w:tcPr>
            <w:tcW w:w="0" w:type="auto"/>
            <w:vAlign w:val="center"/>
          </w:tcPr>
          <w:p w:rsidR="00681EC7" w:rsidRPr="00681EC7" w:rsidRDefault="00681EC7" w:rsidP="00681EC7">
            <w:pPr>
              <w:ind w:left="-128" w:right="-153"/>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Pays d’origine</w:t>
            </w:r>
          </w:p>
        </w:tc>
        <w:tc>
          <w:tcPr>
            <w:tcW w:w="0" w:type="auto"/>
            <w:vAlign w:val="center"/>
          </w:tcPr>
          <w:p w:rsidR="00681EC7" w:rsidRPr="00681EC7" w:rsidRDefault="00681EC7" w:rsidP="00681EC7">
            <w:pPr>
              <w:ind w:left="-37" w:right="-60"/>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Résidence habituelle</w:t>
            </w:r>
          </w:p>
        </w:tc>
        <w:tc>
          <w:tcPr>
            <w:tcW w:w="0" w:type="auto"/>
            <w:vAlign w:val="center"/>
          </w:tcPr>
          <w:p w:rsidR="00681EC7" w:rsidRPr="00681EC7" w:rsidRDefault="00681EC7" w:rsidP="00681EC7">
            <w:pPr>
              <w:ind w:left="-110" w:right="-76"/>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 xml:space="preserve">Type de poste </w:t>
            </w:r>
          </w:p>
        </w:tc>
        <w:tc>
          <w:tcPr>
            <w:tcW w:w="0" w:type="auto"/>
            <w:vAlign w:val="center"/>
          </w:tcPr>
          <w:p w:rsidR="00681EC7" w:rsidRPr="00681EC7" w:rsidRDefault="00681EC7" w:rsidP="00681EC7">
            <w:pPr>
              <w:ind w:left="-144" w:right="-98"/>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Type de contrat</w:t>
            </w:r>
          </w:p>
        </w:tc>
        <w:tc>
          <w:tcPr>
            <w:tcW w:w="0" w:type="auto"/>
            <w:vAlign w:val="center"/>
          </w:tcPr>
          <w:p w:rsidR="00681EC7" w:rsidRPr="00681EC7" w:rsidRDefault="00681EC7" w:rsidP="00681EC7">
            <w:pPr>
              <w:ind w:left="-118" w:right="-109"/>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Durée du contrat</w:t>
            </w:r>
          </w:p>
        </w:tc>
        <w:tc>
          <w:tcPr>
            <w:tcW w:w="0" w:type="auto"/>
            <w:vAlign w:val="center"/>
          </w:tcPr>
          <w:p w:rsidR="00681EC7" w:rsidRPr="00681EC7" w:rsidRDefault="00681EC7" w:rsidP="00681EC7">
            <w:pPr>
              <w:ind w:left="-109"/>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Zone du projet</w:t>
            </w:r>
          </w:p>
        </w:tc>
      </w:tr>
      <w:tr w:rsidR="00681EC7" w:rsidRPr="00681EC7" w:rsidTr="00E052CB">
        <w:trPr>
          <w:trHeight w:val="202"/>
          <w:jc w:val="center"/>
        </w:trPr>
        <w:tc>
          <w:tcPr>
            <w:cnfStyle w:val="001000000000" w:firstRow="0" w:lastRow="0" w:firstColumn="1" w:lastColumn="0" w:oddVBand="0" w:evenVBand="0" w:oddHBand="0" w:evenHBand="0" w:firstRowFirstColumn="0" w:firstRowLastColumn="0" w:lastRowFirstColumn="0" w:lastRowLastColumn="0"/>
            <w:tcW w:w="0" w:type="auto"/>
          </w:tcPr>
          <w:p w:rsidR="00681EC7" w:rsidRPr="00681EC7" w:rsidRDefault="00681EC7" w:rsidP="00681EC7">
            <w:pPr>
              <w:ind w:right="196"/>
              <w:jc w:val="center"/>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r>
      <w:tr w:rsidR="00681EC7" w:rsidRPr="00681EC7" w:rsidTr="00E052CB">
        <w:trPr>
          <w:trHeight w:val="152"/>
          <w:jc w:val="center"/>
        </w:trPr>
        <w:tc>
          <w:tcPr>
            <w:cnfStyle w:val="001000000000" w:firstRow="0" w:lastRow="0" w:firstColumn="1" w:lastColumn="0" w:oddVBand="0" w:evenVBand="0" w:oddHBand="0" w:evenHBand="0" w:firstRowFirstColumn="0" w:firstRowLastColumn="0" w:lastRowFirstColumn="0" w:lastRowLastColumn="0"/>
            <w:tcW w:w="0" w:type="auto"/>
          </w:tcPr>
          <w:p w:rsidR="00681EC7" w:rsidRPr="00681EC7" w:rsidRDefault="00681EC7" w:rsidP="00681EC7">
            <w:pPr>
              <w:ind w:right="196"/>
              <w:jc w:val="center"/>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0" w:type="auto"/>
          </w:tcPr>
          <w:p w:rsidR="00681EC7" w:rsidRPr="00681EC7" w:rsidRDefault="00681EC7" w:rsidP="00681EC7">
            <w:pPr>
              <w:ind w:right="196"/>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r>
    </w:tbl>
    <w:p w:rsidR="00681EC7" w:rsidRPr="00681EC7" w:rsidRDefault="00681EC7" w:rsidP="00681EC7">
      <w:pPr>
        <w:ind w:left="-284" w:right="-851"/>
        <w:jc w:val="both"/>
        <w:rPr>
          <w:rFonts w:eastAsia="Arial"/>
          <w:spacing w:val="-5"/>
        </w:rPr>
      </w:pPr>
    </w:p>
    <w:p w:rsidR="00681EC7" w:rsidRPr="00E052CB" w:rsidRDefault="00681EC7" w:rsidP="00E052CB">
      <w:pPr>
        <w:ind w:left="284" w:right="-851"/>
        <w:jc w:val="both"/>
        <w:rPr>
          <w:rFonts w:eastAsia="Times New Roman"/>
          <w:b/>
          <w:color w:val="040404"/>
          <w:sz w:val="21"/>
          <w:szCs w:val="21"/>
          <w:shd w:val="clear" w:color="auto" w:fill="FFFFFF"/>
          <w:lang w:eastAsia="es-ES"/>
        </w:rPr>
      </w:pPr>
      <w:r w:rsidRPr="00E052CB">
        <w:rPr>
          <w:rFonts w:eastAsia="Times New Roman"/>
          <w:b/>
          <w:color w:val="040404"/>
          <w:sz w:val="21"/>
          <w:szCs w:val="21"/>
          <w:shd w:val="clear" w:color="auto" w:fill="FFFFFF"/>
          <w:lang w:eastAsia="es-ES"/>
        </w:rPr>
        <w:t xml:space="preserve">Couverture des besoins en mains d’œuvre </w:t>
      </w:r>
    </w:p>
    <w:p w:rsidR="00681EC7" w:rsidRPr="00681EC7" w:rsidRDefault="00681EC7" w:rsidP="00681EC7">
      <w:pPr>
        <w:spacing w:line="276" w:lineRule="auto"/>
        <w:ind w:left="159" w:right="196"/>
        <w:jc w:val="both"/>
        <w:rPr>
          <w:rFonts w:eastAsia="Arial"/>
          <w:spacing w:val="29"/>
          <w:sz w:val="10"/>
        </w:rPr>
      </w:pPr>
    </w:p>
    <w:tbl>
      <w:tblPr>
        <w:tblStyle w:val="TableauGrille1Clair3"/>
        <w:tblW w:w="0" w:type="auto"/>
        <w:jc w:val="center"/>
        <w:tblLook w:val="04A0" w:firstRow="1" w:lastRow="0" w:firstColumn="1" w:lastColumn="0" w:noHBand="0" w:noVBand="1"/>
      </w:tblPr>
      <w:tblGrid>
        <w:gridCol w:w="1696"/>
        <w:gridCol w:w="1516"/>
        <w:gridCol w:w="1582"/>
        <w:gridCol w:w="1580"/>
        <w:gridCol w:w="1559"/>
        <w:gridCol w:w="1129"/>
      </w:tblGrid>
      <w:tr w:rsidR="00681EC7" w:rsidRPr="00681EC7" w:rsidTr="00681EC7">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681EC7" w:rsidRPr="00681EC7" w:rsidRDefault="00681EC7" w:rsidP="00681EC7">
            <w:pPr>
              <w:jc w:val="center"/>
              <w:rPr>
                <w:rFonts w:eastAsia="Arial"/>
                <w:spacing w:val="-5"/>
                <w:sz w:val="20"/>
                <w:szCs w:val="20"/>
              </w:rPr>
            </w:pPr>
            <w:r w:rsidRPr="00681EC7">
              <w:rPr>
                <w:rFonts w:eastAsia="Arial"/>
                <w:spacing w:val="-5"/>
                <w:sz w:val="20"/>
                <w:szCs w:val="20"/>
              </w:rPr>
              <w:t>Lieu d’affectation</w:t>
            </w:r>
          </w:p>
        </w:tc>
        <w:tc>
          <w:tcPr>
            <w:tcW w:w="1516" w:type="dxa"/>
            <w:vAlign w:val="center"/>
          </w:tcPr>
          <w:p w:rsidR="00681EC7" w:rsidRPr="00681EC7" w:rsidRDefault="00681EC7" w:rsidP="00681EC7">
            <w:pPr>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Type d’emploi</w:t>
            </w:r>
          </w:p>
        </w:tc>
        <w:tc>
          <w:tcPr>
            <w:tcW w:w="1582" w:type="dxa"/>
            <w:vAlign w:val="center"/>
          </w:tcPr>
          <w:p w:rsidR="00681EC7" w:rsidRPr="00681EC7" w:rsidRDefault="00681EC7" w:rsidP="00681EC7">
            <w:pPr>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Compétences</w:t>
            </w:r>
          </w:p>
        </w:tc>
        <w:tc>
          <w:tcPr>
            <w:tcW w:w="1580" w:type="dxa"/>
            <w:vAlign w:val="center"/>
          </w:tcPr>
          <w:p w:rsidR="00681EC7" w:rsidRPr="00681EC7" w:rsidRDefault="00681EC7" w:rsidP="00681EC7">
            <w:pPr>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Délais de couverture des besoins</w:t>
            </w:r>
          </w:p>
        </w:tc>
        <w:tc>
          <w:tcPr>
            <w:tcW w:w="1559" w:type="dxa"/>
            <w:vAlign w:val="center"/>
          </w:tcPr>
          <w:p w:rsidR="00681EC7" w:rsidRPr="00681EC7" w:rsidRDefault="00681EC7" w:rsidP="00681EC7">
            <w:pPr>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Ordre de couverture des besoins</w:t>
            </w:r>
          </w:p>
        </w:tc>
        <w:tc>
          <w:tcPr>
            <w:tcW w:w="1129" w:type="dxa"/>
            <w:vAlign w:val="center"/>
          </w:tcPr>
          <w:p w:rsidR="00681EC7" w:rsidRPr="00681EC7" w:rsidRDefault="00681EC7" w:rsidP="00681EC7">
            <w:pPr>
              <w:jc w:val="center"/>
              <w:cnfStyle w:val="100000000000" w:firstRow="1" w:lastRow="0" w:firstColumn="0" w:lastColumn="0" w:oddVBand="0" w:evenVBand="0" w:oddHBand="0" w:evenHBand="0" w:firstRowFirstColumn="0" w:firstRowLastColumn="0" w:lastRowFirstColumn="0" w:lastRowLastColumn="0"/>
              <w:rPr>
                <w:rFonts w:eastAsia="Arial"/>
                <w:spacing w:val="-5"/>
                <w:sz w:val="20"/>
                <w:szCs w:val="20"/>
              </w:rPr>
            </w:pPr>
            <w:r w:rsidRPr="00681EC7">
              <w:rPr>
                <w:rFonts w:eastAsia="Arial"/>
                <w:spacing w:val="-5"/>
                <w:sz w:val="20"/>
                <w:szCs w:val="20"/>
              </w:rPr>
              <w:t>Effectif</w:t>
            </w:r>
          </w:p>
        </w:tc>
      </w:tr>
      <w:tr w:rsidR="00681EC7" w:rsidRPr="00681EC7" w:rsidTr="00681EC7">
        <w:trPr>
          <w:trHeight w:val="305"/>
          <w:jc w:val="center"/>
        </w:trPr>
        <w:tc>
          <w:tcPr>
            <w:cnfStyle w:val="001000000000" w:firstRow="0" w:lastRow="0" w:firstColumn="1" w:lastColumn="0" w:oddVBand="0" w:evenVBand="0" w:oddHBand="0" w:evenHBand="0" w:firstRowFirstColumn="0" w:firstRowLastColumn="0" w:lastRowFirstColumn="0" w:lastRowLastColumn="0"/>
            <w:tcW w:w="1696" w:type="dxa"/>
          </w:tcPr>
          <w:p w:rsidR="00681EC7" w:rsidRPr="00681EC7" w:rsidRDefault="00681EC7" w:rsidP="00681EC7">
            <w:pPr>
              <w:jc w:val="both"/>
              <w:rPr>
                <w:rFonts w:eastAsia="Arial"/>
                <w:spacing w:val="-5"/>
                <w:sz w:val="20"/>
                <w:szCs w:val="20"/>
              </w:rPr>
            </w:pPr>
          </w:p>
        </w:tc>
        <w:tc>
          <w:tcPr>
            <w:tcW w:w="1516"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582"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580"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559"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129"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r>
      <w:tr w:rsidR="00681EC7" w:rsidRPr="00681EC7" w:rsidTr="00681EC7">
        <w:trPr>
          <w:trHeight w:val="293"/>
          <w:jc w:val="center"/>
        </w:trPr>
        <w:tc>
          <w:tcPr>
            <w:cnfStyle w:val="001000000000" w:firstRow="0" w:lastRow="0" w:firstColumn="1" w:lastColumn="0" w:oddVBand="0" w:evenVBand="0" w:oddHBand="0" w:evenHBand="0" w:firstRowFirstColumn="0" w:firstRowLastColumn="0" w:lastRowFirstColumn="0" w:lastRowLastColumn="0"/>
            <w:tcW w:w="1696" w:type="dxa"/>
          </w:tcPr>
          <w:p w:rsidR="00681EC7" w:rsidRPr="00681EC7" w:rsidRDefault="00681EC7" w:rsidP="00681EC7">
            <w:pPr>
              <w:jc w:val="both"/>
              <w:rPr>
                <w:rFonts w:eastAsia="Arial"/>
                <w:spacing w:val="-5"/>
                <w:sz w:val="20"/>
                <w:szCs w:val="20"/>
              </w:rPr>
            </w:pPr>
          </w:p>
        </w:tc>
        <w:tc>
          <w:tcPr>
            <w:tcW w:w="1516"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582"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580"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559"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129" w:type="dxa"/>
          </w:tcPr>
          <w:p w:rsidR="00681EC7" w:rsidRPr="00681EC7" w:rsidRDefault="00681EC7" w:rsidP="00681EC7">
            <w:pPr>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r>
    </w:tbl>
    <w:p w:rsidR="00681EC7" w:rsidRPr="00681EC7" w:rsidRDefault="00681EC7" w:rsidP="00681EC7">
      <w:pPr>
        <w:ind w:left="-284" w:right="-851"/>
        <w:jc w:val="both"/>
        <w:rPr>
          <w:rFonts w:eastAsia="Calibri"/>
        </w:rPr>
      </w:pPr>
    </w:p>
    <w:p w:rsidR="00681EC7" w:rsidRPr="00E052CB" w:rsidRDefault="00681EC7" w:rsidP="00E052CB">
      <w:pPr>
        <w:ind w:left="284" w:right="-851"/>
        <w:jc w:val="both"/>
        <w:rPr>
          <w:rFonts w:eastAsia="Times New Roman"/>
          <w:b/>
          <w:color w:val="040404"/>
          <w:sz w:val="21"/>
          <w:szCs w:val="21"/>
          <w:shd w:val="clear" w:color="auto" w:fill="FFFFFF"/>
          <w:lang w:eastAsia="es-ES"/>
        </w:rPr>
      </w:pPr>
      <w:r w:rsidRPr="00E052CB">
        <w:rPr>
          <w:rFonts w:eastAsia="Times New Roman"/>
          <w:b/>
          <w:color w:val="040404"/>
          <w:sz w:val="21"/>
          <w:szCs w:val="21"/>
          <w:shd w:val="clear" w:color="auto" w:fill="FFFFFF"/>
          <w:lang w:eastAsia="es-ES"/>
        </w:rPr>
        <w:t>Caractéristiques des travailleurs contractuels</w:t>
      </w:r>
    </w:p>
    <w:p w:rsidR="00681EC7" w:rsidRPr="00681EC7" w:rsidRDefault="00681EC7" w:rsidP="00681EC7">
      <w:pPr>
        <w:spacing w:line="276" w:lineRule="auto"/>
        <w:ind w:left="159" w:right="196"/>
        <w:jc w:val="both"/>
        <w:rPr>
          <w:rFonts w:eastAsia="Arial"/>
          <w:spacing w:val="29"/>
          <w:sz w:val="10"/>
        </w:rPr>
      </w:pPr>
    </w:p>
    <w:tbl>
      <w:tblPr>
        <w:tblStyle w:val="TableauGrille1Clair3"/>
        <w:tblW w:w="9645" w:type="dxa"/>
        <w:jc w:val="center"/>
        <w:tblLayout w:type="fixed"/>
        <w:tblLook w:val="04A0" w:firstRow="1" w:lastRow="0" w:firstColumn="1" w:lastColumn="0" w:noHBand="0" w:noVBand="1"/>
      </w:tblPr>
      <w:tblGrid>
        <w:gridCol w:w="2122"/>
        <w:gridCol w:w="1857"/>
        <w:gridCol w:w="1272"/>
        <w:gridCol w:w="1559"/>
        <w:gridCol w:w="1134"/>
        <w:gridCol w:w="1701"/>
      </w:tblGrid>
      <w:tr w:rsidR="00681EC7" w:rsidRPr="00681EC7" w:rsidTr="00681EC7">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681EC7" w:rsidRPr="00681EC7" w:rsidRDefault="00681EC7" w:rsidP="00681EC7">
            <w:pPr>
              <w:spacing w:line="276" w:lineRule="auto"/>
              <w:jc w:val="center"/>
              <w:rPr>
                <w:rFonts w:eastAsia="Arial"/>
                <w:spacing w:val="-5"/>
                <w:sz w:val="18"/>
                <w:szCs w:val="18"/>
              </w:rPr>
            </w:pPr>
            <w:r w:rsidRPr="00681EC7">
              <w:rPr>
                <w:rFonts w:eastAsia="Arial"/>
                <w:spacing w:val="-5"/>
                <w:sz w:val="18"/>
                <w:szCs w:val="18"/>
              </w:rPr>
              <w:t>Nom de la structure</w:t>
            </w:r>
          </w:p>
        </w:tc>
        <w:tc>
          <w:tcPr>
            <w:tcW w:w="1857" w:type="dxa"/>
            <w:vMerge w:val="restart"/>
            <w:vAlign w:val="center"/>
          </w:tcPr>
          <w:p w:rsidR="00681EC7" w:rsidRPr="00681EC7" w:rsidRDefault="00681EC7" w:rsidP="00681EC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spacing w:val="-5"/>
                <w:sz w:val="18"/>
                <w:szCs w:val="18"/>
              </w:rPr>
            </w:pPr>
            <w:r w:rsidRPr="00681EC7">
              <w:rPr>
                <w:rFonts w:eastAsia="Arial"/>
                <w:spacing w:val="-5"/>
                <w:sz w:val="18"/>
                <w:szCs w:val="18"/>
              </w:rPr>
              <w:t>Type de contrat</w:t>
            </w:r>
          </w:p>
          <w:p w:rsidR="00681EC7" w:rsidRPr="00681EC7" w:rsidRDefault="00681EC7" w:rsidP="00681EC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spacing w:val="-5"/>
                <w:sz w:val="18"/>
                <w:szCs w:val="18"/>
              </w:rPr>
            </w:pPr>
            <w:r w:rsidRPr="00681EC7">
              <w:rPr>
                <w:rFonts w:eastAsia="Arial"/>
                <w:spacing w:val="-5"/>
                <w:sz w:val="18"/>
                <w:szCs w:val="18"/>
              </w:rPr>
              <w:t>(Fournisseurs / Prestataires ou Sous-traitant)</w:t>
            </w:r>
          </w:p>
        </w:tc>
        <w:tc>
          <w:tcPr>
            <w:tcW w:w="3965" w:type="dxa"/>
            <w:gridSpan w:val="3"/>
            <w:tcBorders>
              <w:bottom w:val="single" w:sz="2" w:space="0" w:color="385623"/>
            </w:tcBorders>
            <w:vAlign w:val="center"/>
          </w:tcPr>
          <w:p w:rsidR="00681EC7" w:rsidRPr="00681EC7" w:rsidRDefault="00681EC7" w:rsidP="00681EC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spacing w:val="-5"/>
                <w:sz w:val="18"/>
                <w:szCs w:val="18"/>
              </w:rPr>
            </w:pPr>
            <w:r w:rsidRPr="00681EC7">
              <w:rPr>
                <w:rFonts w:eastAsia="Arial"/>
                <w:spacing w:val="-5"/>
                <w:sz w:val="18"/>
                <w:szCs w:val="18"/>
              </w:rPr>
              <w:t>Modèle de recrutement</w:t>
            </w:r>
          </w:p>
          <w:p w:rsidR="00681EC7" w:rsidRPr="00681EC7" w:rsidRDefault="00681EC7" w:rsidP="00681EC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spacing w:val="-5"/>
                <w:sz w:val="18"/>
                <w:szCs w:val="18"/>
              </w:rPr>
            </w:pPr>
            <w:r w:rsidRPr="00681EC7">
              <w:rPr>
                <w:rFonts w:eastAsia="Arial"/>
                <w:spacing w:val="-5"/>
                <w:sz w:val="18"/>
                <w:szCs w:val="18"/>
              </w:rPr>
              <w:t xml:space="preserve">(Nombre </w:t>
            </w:r>
            <w:r w:rsidRPr="00681EC7">
              <w:rPr>
                <w:rFonts w:eastAsia="Calibri"/>
                <w:color w:val="000000"/>
                <w:sz w:val="18"/>
                <w:szCs w:val="18"/>
              </w:rPr>
              <w:t>travailleurs engagés par des :)</w:t>
            </w:r>
          </w:p>
        </w:tc>
        <w:tc>
          <w:tcPr>
            <w:tcW w:w="1701" w:type="dxa"/>
            <w:vMerge w:val="restart"/>
            <w:vAlign w:val="center"/>
          </w:tcPr>
          <w:p w:rsidR="00681EC7" w:rsidRPr="00681EC7" w:rsidRDefault="00681EC7" w:rsidP="00681EC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spacing w:val="-5"/>
                <w:sz w:val="18"/>
                <w:szCs w:val="18"/>
              </w:rPr>
            </w:pPr>
            <w:r w:rsidRPr="00681EC7">
              <w:rPr>
                <w:rFonts w:eastAsia="Arial"/>
                <w:spacing w:val="-5"/>
                <w:sz w:val="18"/>
                <w:szCs w:val="18"/>
              </w:rPr>
              <w:t>Effectif total des travailleurs engagés</w:t>
            </w:r>
          </w:p>
        </w:tc>
      </w:tr>
      <w:tr w:rsidR="00681EC7" w:rsidRPr="00681EC7" w:rsidTr="00681EC7">
        <w:trPr>
          <w:trHeight w:val="90"/>
          <w:jc w:val="center"/>
        </w:trPr>
        <w:tc>
          <w:tcPr>
            <w:cnfStyle w:val="001000000000" w:firstRow="0" w:lastRow="0" w:firstColumn="1" w:lastColumn="0" w:oddVBand="0" w:evenVBand="0" w:oddHBand="0" w:evenHBand="0" w:firstRowFirstColumn="0" w:firstRowLastColumn="0" w:lastRowFirstColumn="0" w:lastRowLastColumn="0"/>
            <w:tcW w:w="2122" w:type="dxa"/>
            <w:tcBorders>
              <w:bottom w:val="single" w:sz="12" w:space="0" w:color="355222"/>
            </w:tcBorders>
          </w:tcPr>
          <w:p w:rsidR="00681EC7" w:rsidRPr="00681EC7" w:rsidRDefault="00681EC7" w:rsidP="00681EC7">
            <w:pPr>
              <w:spacing w:line="276" w:lineRule="auto"/>
              <w:jc w:val="center"/>
              <w:rPr>
                <w:rFonts w:eastAsia="Arial"/>
                <w:spacing w:val="-5"/>
                <w:sz w:val="20"/>
                <w:szCs w:val="20"/>
              </w:rPr>
            </w:pPr>
          </w:p>
        </w:tc>
        <w:tc>
          <w:tcPr>
            <w:tcW w:w="1857" w:type="dxa"/>
            <w:vMerge/>
            <w:tcBorders>
              <w:bottom w:val="single" w:sz="12" w:space="0" w:color="355222"/>
            </w:tcBorders>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272" w:type="dxa"/>
            <w:tcBorders>
              <w:top w:val="single" w:sz="2" w:space="0" w:color="385623"/>
              <w:bottom w:val="single" w:sz="12" w:space="0" w:color="355222"/>
            </w:tcBorders>
            <w:vAlign w:val="center"/>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b/>
                <w:spacing w:val="-5"/>
                <w:sz w:val="18"/>
                <w:szCs w:val="18"/>
              </w:rPr>
            </w:pPr>
            <w:r w:rsidRPr="00681EC7">
              <w:rPr>
                <w:rFonts w:eastAsia="Arial"/>
                <w:b/>
                <w:spacing w:val="-5"/>
                <w:sz w:val="18"/>
                <w:szCs w:val="18"/>
              </w:rPr>
              <w:t>Négociants</w:t>
            </w:r>
          </w:p>
        </w:tc>
        <w:tc>
          <w:tcPr>
            <w:tcW w:w="1559" w:type="dxa"/>
            <w:tcBorders>
              <w:top w:val="single" w:sz="2" w:space="0" w:color="385623"/>
              <w:bottom w:val="single" w:sz="12" w:space="0" w:color="355222"/>
            </w:tcBorders>
            <w:vAlign w:val="center"/>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b/>
                <w:spacing w:val="-5"/>
                <w:sz w:val="18"/>
                <w:szCs w:val="18"/>
              </w:rPr>
            </w:pPr>
            <w:r w:rsidRPr="00681EC7">
              <w:rPr>
                <w:rFonts w:eastAsia="Arial"/>
                <w:b/>
                <w:spacing w:val="-5"/>
                <w:sz w:val="18"/>
                <w:szCs w:val="18"/>
              </w:rPr>
              <w:t>Intermédiaires</w:t>
            </w:r>
          </w:p>
        </w:tc>
        <w:tc>
          <w:tcPr>
            <w:tcW w:w="1134" w:type="dxa"/>
            <w:tcBorders>
              <w:top w:val="single" w:sz="2" w:space="0" w:color="385623"/>
              <w:bottom w:val="single" w:sz="12" w:space="0" w:color="355222"/>
            </w:tcBorders>
            <w:vAlign w:val="center"/>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b/>
                <w:spacing w:val="-5"/>
                <w:sz w:val="18"/>
                <w:szCs w:val="18"/>
              </w:rPr>
            </w:pPr>
            <w:r w:rsidRPr="00681EC7">
              <w:rPr>
                <w:rFonts w:eastAsia="Arial"/>
                <w:b/>
                <w:spacing w:val="-5"/>
                <w:sz w:val="18"/>
                <w:szCs w:val="18"/>
              </w:rPr>
              <w:t>Agents</w:t>
            </w:r>
          </w:p>
        </w:tc>
        <w:tc>
          <w:tcPr>
            <w:tcW w:w="1701" w:type="dxa"/>
            <w:vMerge/>
            <w:tcBorders>
              <w:bottom w:val="single" w:sz="12" w:space="0" w:color="355222"/>
            </w:tcBorders>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b/>
                <w:spacing w:val="-5"/>
                <w:sz w:val="20"/>
                <w:szCs w:val="20"/>
              </w:rPr>
            </w:pPr>
          </w:p>
        </w:tc>
      </w:tr>
      <w:tr w:rsidR="00681EC7" w:rsidRPr="00681EC7" w:rsidTr="00681EC7">
        <w:trPr>
          <w:trHeight w:val="342"/>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12" w:space="0" w:color="355222"/>
            </w:tcBorders>
          </w:tcPr>
          <w:p w:rsidR="00681EC7" w:rsidRPr="00681EC7" w:rsidRDefault="00681EC7" w:rsidP="00681EC7">
            <w:pPr>
              <w:spacing w:line="276" w:lineRule="auto"/>
              <w:jc w:val="center"/>
              <w:rPr>
                <w:rFonts w:eastAsia="Arial"/>
                <w:spacing w:val="-5"/>
                <w:sz w:val="20"/>
                <w:szCs w:val="20"/>
              </w:rPr>
            </w:pPr>
          </w:p>
        </w:tc>
        <w:tc>
          <w:tcPr>
            <w:tcW w:w="1857" w:type="dxa"/>
            <w:tcBorders>
              <w:top w:val="single" w:sz="12" w:space="0" w:color="355222"/>
            </w:tcBorders>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272" w:type="dxa"/>
            <w:tcBorders>
              <w:top w:val="single" w:sz="12" w:space="0" w:color="355222"/>
            </w:tcBorders>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559" w:type="dxa"/>
            <w:tcBorders>
              <w:top w:val="single" w:sz="12" w:space="0" w:color="355222"/>
            </w:tcBorders>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134" w:type="dxa"/>
            <w:tcBorders>
              <w:top w:val="single" w:sz="12" w:space="0" w:color="355222"/>
            </w:tcBorders>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701" w:type="dxa"/>
            <w:tcBorders>
              <w:top w:val="single" w:sz="12" w:space="0" w:color="355222"/>
            </w:tcBorders>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r>
      <w:tr w:rsidR="00681EC7" w:rsidRPr="00681EC7" w:rsidTr="00681EC7">
        <w:trPr>
          <w:trHeight w:val="329"/>
          <w:jc w:val="center"/>
        </w:trPr>
        <w:tc>
          <w:tcPr>
            <w:cnfStyle w:val="001000000000" w:firstRow="0" w:lastRow="0" w:firstColumn="1" w:lastColumn="0" w:oddVBand="0" w:evenVBand="0" w:oddHBand="0" w:evenHBand="0" w:firstRowFirstColumn="0" w:firstRowLastColumn="0" w:lastRowFirstColumn="0" w:lastRowLastColumn="0"/>
            <w:tcW w:w="2122" w:type="dxa"/>
          </w:tcPr>
          <w:p w:rsidR="00681EC7" w:rsidRPr="00681EC7" w:rsidRDefault="00681EC7" w:rsidP="00681EC7">
            <w:pPr>
              <w:spacing w:line="276" w:lineRule="auto"/>
              <w:jc w:val="center"/>
              <w:rPr>
                <w:rFonts w:eastAsia="Arial"/>
                <w:spacing w:val="-5"/>
                <w:sz w:val="20"/>
                <w:szCs w:val="20"/>
              </w:rPr>
            </w:pPr>
          </w:p>
        </w:tc>
        <w:tc>
          <w:tcPr>
            <w:tcW w:w="1857" w:type="dxa"/>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272" w:type="dxa"/>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559" w:type="dxa"/>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134" w:type="dxa"/>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c>
          <w:tcPr>
            <w:tcW w:w="1701" w:type="dxa"/>
          </w:tcPr>
          <w:p w:rsidR="00681EC7" w:rsidRPr="00681EC7" w:rsidRDefault="00681EC7" w:rsidP="00681EC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pacing w:val="-5"/>
                <w:sz w:val="20"/>
                <w:szCs w:val="20"/>
              </w:rPr>
            </w:pPr>
          </w:p>
        </w:tc>
      </w:tr>
    </w:tbl>
    <w:p w:rsidR="00681EC7" w:rsidRPr="00681EC7" w:rsidRDefault="00681EC7" w:rsidP="00681EC7">
      <w:pPr>
        <w:rPr>
          <w:rFonts w:eastAsia="Calibri"/>
        </w:rPr>
      </w:pPr>
    </w:p>
    <w:p w:rsidR="00681EC7" w:rsidRPr="001F2701" w:rsidRDefault="00681EC7" w:rsidP="00157035">
      <w:pPr>
        <w:numPr>
          <w:ilvl w:val="0"/>
          <w:numId w:val="159"/>
        </w:numPr>
        <w:ind w:left="709"/>
        <w:contextualSpacing/>
        <w:outlineLvl w:val="1"/>
        <w:rPr>
          <w:rFonts w:eastAsia="Times New Roman"/>
          <w:b/>
          <w:bCs/>
          <w:sz w:val="22"/>
          <w:szCs w:val="22"/>
          <w:lang w:eastAsia="es-ES"/>
        </w:rPr>
      </w:pPr>
      <w:bookmarkStart w:id="441" w:name="_Toc67508578"/>
      <w:bookmarkStart w:id="442" w:name="_Toc69918766"/>
      <w:bookmarkStart w:id="443" w:name="_Toc73459813"/>
      <w:r w:rsidRPr="001F2701">
        <w:rPr>
          <w:rFonts w:eastAsia="Times New Roman"/>
          <w:b/>
          <w:bCs/>
          <w:sz w:val="22"/>
          <w:szCs w:val="22"/>
          <w:lang w:eastAsia="es-ES"/>
        </w:rPr>
        <w:t>ÉVALUATION DES PRINCIPAUX RISQUES QUI POURRAIENT PESER SUR LA MAIN-D’ŒUVRE</w:t>
      </w:r>
      <w:bookmarkEnd w:id="441"/>
      <w:bookmarkEnd w:id="442"/>
      <w:bookmarkEnd w:id="443"/>
    </w:p>
    <w:p w:rsidR="00681EC7" w:rsidRPr="00681EC7" w:rsidRDefault="00681EC7" w:rsidP="00157035">
      <w:pPr>
        <w:numPr>
          <w:ilvl w:val="0"/>
          <w:numId w:val="161"/>
        </w:numPr>
        <w:ind w:left="1134" w:right="-851"/>
        <w:contextualSpacing/>
        <w:jc w:val="both"/>
        <w:rPr>
          <w:rFonts w:eastAsia="Times New Roman"/>
          <w:b/>
          <w:color w:val="040404"/>
          <w:sz w:val="21"/>
          <w:szCs w:val="21"/>
          <w:shd w:val="clear" w:color="auto" w:fill="FFFFFF"/>
          <w:lang w:eastAsia="es-ES"/>
        </w:rPr>
      </w:pPr>
      <w:r w:rsidRPr="00681EC7">
        <w:rPr>
          <w:rFonts w:eastAsia="Times New Roman"/>
          <w:b/>
          <w:color w:val="040404"/>
          <w:sz w:val="21"/>
          <w:szCs w:val="21"/>
          <w:shd w:val="clear" w:color="auto" w:fill="FFFFFF"/>
          <w:lang w:eastAsia="es-ES"/>
        </w:rPr>
        <w:t xml:space="preserve">Activités du Projet : </w:t>
      </w:r>
    </w:p>
    <w:p w:rsidR="00681EC7" w:rsidRPr="00681EC7" w:rsidRDefault="00681EC7" w:rsidP="00E052CB">
      <w:pPr>
        <w:ind w:left="284" w:right="-50"/>
        <w:jc w:val="both"/>
        <w:rPr>
          <w:rFonts w:eastAsia="Times New Roman"/>
          <w:color w:val="040404"/>
          <w:sz w:val="21"/>
          <w:szCs w:val="21"/>
          <w:shd w:val="clear" w:color="auto" w:fill="FFFFFF"/>
          <w:lang w:eastAsia="es-ES"/>
        </w:rPr>
      </w:pPr>
      <w:r w:rsidRPr="00681EC7">
        <w:rPr>
          <w:rFonts w:eastAsia="Calibri"/>
          <w:color w:val="000000"/>
          <w:sz w:val="21"/>
          <w:szCs w:val="21"/>
          <w:lang w:eastAsia="en-US"/>
        </w:rPr>
        <w:t xml:space="preserve">Les activités à exécuter dans le Projet PUSA concernent </w:t>
      </w:r>
      <w:r w:rsidRPr="00681EC7">
        <w:rPr>
          <w:rFonts w:eastAsia="Times New Roman"/>
          <w:color w:val="040404"/>
          <w:sz w:val="21"/>
          <w:szCs w:val="21"/>
          <w:shd w:val="clear" w:color="auto" w:fill="FFFFFF"/>
          <w:lang w:eastAsia="es-ES"/>
        </w:rPr>
        <w:t>plus spécifiquement</w:t>
      </w:r>
      <w:r w:rsidRPr="00681EC7">
        <w:rPr>
          <w:rFonts w:eastAsia="Calibri"/>
          <w:color w:val="040404"/>
          <w:sz w:val="21"/>
          <w:szCs w:val="21"/>
          <w:shd w:val="clear" w:color="auto" w:fill="FFFFFF"/>
        </w:rPr>
        <w:t xml:space="preserve"> </w:t>
      </w:r>
      <w:r w:rsidRPr="00681EC7">
        <w:rPr>
          <w:rFonts w:eastAsia="Times New Roman"/>
          <w:color w:val="040404"/>
          <w:sz w:val="21"/>
          <w:szCs w:val="21"/>
          <w:shd w:val="clear" w:color="auto" w:fill="FFFFFF"/>
          <w:lang w:eastAsia="es-ES"/>
        </w:rPr>
        <w:t xml:space="preserve">: cibler et enregistrer les bénéficiaires du projet </w:t>
      </w:r>
      <w:r w:rsidRPr="00681EC7">
        <w:rPr>
          <w:rFonts w:eastAsia="Calibri"/>
          <w:color w:val="040404"/>
          <w:sz w:val="21"/>
          <w:szCs w:val="21"/>
          <w:shd w:val="clear" w:color="auto" w:fill="FFFFFF"/>
        </w:rPr>
        <w:t>l’achat et la distribution de semences et de matériel de plantation améliorés, l’accès au matériel et à la main-d’œuvre agricoles nécessaires, la fourniture des services de conseil requis pour soutenir l’amélioration de la production, la réhabilitation des structures de stockage, l’ouverture de routes d’accès aux zones de production agricole, la construction de marchés locaux, etc</w:t>
      </w:r>
      <w:r w:rsidRPr="00681EC7">
        <w:rPr>
          <w:rFonts w:eastAsia="Times New Roman"/>
          <w:color w:val="040404"/>
          <w:sz w:val="21"/>
          <w:szCs w:val="21"/>
          <w:shd w:val="clear" w:color="auto" w:fill="FFFFFF"/>
          <w:lang w:eastAsia="es-ES"/>
        </w:rPr>
        <w:t xml:space="preserve">. </w:t>
      </w:r>
    </w:p>
    <w:p w:rsidR="00681EC7" w:rsidRPr="00681EC7" w:rsidRDefault="00681EC7" w:rsidP="00681EC7">
      <w:pPr>
        <w:ind w:left="-284" w:right="-851"/>
        <w:jc w:val="both"/>
        <w:rPr>
          <w:rFonts w:eastAsia="Times New Roman"/>
          <w:color w:val="040404"/>
          <w:sz w:val="21"/>
          <w:szCs w:val="21"/>
          <w:shd w:val="clear" w:color="auto" w:fill="FFFFFF"/>
          <w:lang w:eastAsia="es-ES"/>
        </w:rPr>
      </w:pPr>
    </w:p>
    <w:p w:rsidR="00681EC7" w:rsidRPr="00681EC7" w:rsidRDefault="00681EC7" w:rsidP="00157035">
      <w:pPr>
        <w:numPr>
          <w:ilvl w:val="0"/>
          <w:numId w:val="161"/>
        </w:numPr>
        <w:ind w:left="1134" w:right="-851"/>
        <w:contextualSpacing/>
        <w:jc w:val="both"/>
        <w:rPr>
          <w:rFonts w:eastAsia="Times New Roman"/>
          <w:b/>
          <w:color w:val="040404"/>
          <w:sz w:val="21"/>
          <w:szCs w:val="21"/>
          <w:shd w:val="clear" w:color="auto" w:fill="FFFFFF"/>
          <w:lang w:eastAsia="es-ES"/>
        </w:rPr>
      </w:pPr>
      <w:r w:rsidRPr="00681EC7">
        <w:rPr>
          <w:rFonts w:eastAsia="Times New Roman"/>
          <w:b/>
          <w:color w:val="040404"/>
          <w:sz w:val="21"/>
          <w:szCs w:val="21"/>
          <w:shd w:val="clear" w:color="auto" w:fill="FFFFFF"/>
          <w:lang w:eastAsia="es-ES"/>
        </w:rPr>
        <w:t xml:space="preserve">Principaux risques liés à la main-d’œuvre : </w:t>
      </w:r>
    </w:p>
    <w:p w:rsidR="00681EC7" w:rsidRPr="00681EC7" w:rsidRDefault="00681EC7" w:rsidP="00E052CB">
      <w:pPr>
        <w:ind w:left="284" w:right="-50"/>
        <w:jc w:val="both"/>
        <w:rPr>
          <w:rFonts w:eastAsia="Calibri"/>
          <w:color w:val="000000"/>
          <w:sz w:val="21"/>
          <w:szCs w:val="21"/>
          <w:lang w:eastAsia="en-US"/>
        </w:rPr>
      </w:pPr>
      <w:r w:rsidRPr="00681EC7">
        <w:rPr>
          <w:rFonts w:eastAsia="Calibri"/>
          <w:color w:val="000000"/>
          <w:sz w:val="21"/>
          <w:szCs w:val="21"/>
          <w:lang w:eastAsia="en-US"/>
        </w:rPr>
        <w:t xml:space="preserve">Indépendamment des composantes, dans l’ensemble les potentiels risques pouvant affecter les travailleurs dans le cadre de ce projet sont généralement : </w:t>
      </w:r>
    </w:p>
    <w:p w:rsidR="00681EC7" w:rsidRPr="00681EC7" w:rsidRDefault="00681EC7" w:rsidP="00E052CB">
      <w:pPr>
        <w:ind w:left="284" w:right="-50"/>
        <w:jc w:val="both"/>
        <w:rPr>
          <w:rFonts w:eastAsia="Calibri"/>
          <w:color w:val="000000"/>
          <w:sz w:val="21"/>
          <w:szCs w:val="21"/>
          <w:lang w:eastAsia="en-US"/>
        </w:rPr>
      </w:pPr>
      <w:r w:rsidRPr="00681EC7">
        <w:rPr>
          <w:rFonts w:eastAsia="Calibri"/>
          <w:color w:val="000000"/>
          <w:sz w:val="21"/>
          <w:szCs w:val="21"/>
          <w:lang w:eastAsia="en-US"/>
        </w:rPr>
        <w:t xml:space="preserve">Les principaux risques auxquels sont exposés les travailleurs du projet sont assez diversifiés. Ces risques sont liés, entre autres, aux conditions de travail et d’emploi, à la discrimination et l’inégalité des chances, à l’organisation des travailleurs, au travail des enfants, au travail forcé, à la santé et sécurité au travail (SST) et à la nature des contrats. </w:t>
      </w:r>
    </w:p>
    <w:p w:rsidR="00681EC7" w:rsidRPr="00681EC7" w:rsidRDefault="00681EC7" w:rsidP="00E052CB">
      <w:pPr>
        <w:ind w:left="284" w:right="-50"/>
        <w:jc w:val="both"/>
        <w:rPr>
          <w:rFonts w:eastAsia="Calibri"/>
          <w:color w:val="000000"/>
          <w:sz w:val="21"/>
          <w:szCs w:val="21"/>
          <w:lang w:eastAsia="en-US"/>
        </w:rPr>
      </w:pPr>
      <w:r w:rsidRPr="00681EC7">
        <w:rPr>
          <w:rFonts w:eastAsia="Calibri"/>
          <w:color w:val="000000"/>
          <w:sz w:val="21"/>
          <w:szCs w:val="21"/>
          <w:lang w:eastAsia="en-US"/>
        </w:rPr>
        <w:t xml:space="preserve">Ainsi, pour faciliter une meilleure prise en compte des procédures de gestion de la main-d’œuvre dans le cadre du projet PUSA, il est recommandé obligatoirement à UCP, à tous les Entrepreneurs et les fournisseurs principaux de passer un contrat formel à tous les travailleurs du projet quelles que soient la durée et la nature des prestations à fournir. </w:t>
      </w:r>
    </w:p>
    <w:p w:rsidR="00681EC7" w:rsidRPr="00681EC7" w:rsidRDefault="00681EC7" w:rsidP="00E052CB">
      <w:pPr>
        <w:ind w:left="284" w:right="-50"/>
        <w:jc w:val="both"/>
        <w:rPr>
          <w:rFonts w:eastAsia="Calibri"/>
          <w:color w:val="000000"/>
          <w:sz w:val="21"/>
          <w:szCs w:val="21"/>
          <w:lang w:eastAsia="en-US"/>
        </w:rPr>
      </w:pPr>
    </w:p>
    <w:p w:rsidR="00681EC7" w:rsidRPr="00681EC7" w:rsidRDefault="00681EC7" w:rsidP="00E052CB">
      <w:pPr>
        <w:ind w:left="284" w:right="-50"/>
        <w:jc w:val="both"/>
        <w:rPr>
          <w:rFonts w:eastAsia="Calibri"/>
          <w:color w:val="000000"/>
          <w:sz w:val="21"/>
          <w:szCs w:val="21"/>
          <w:lang w:eastAsia="en-US"/>
        </w:rPr>
      </w:pPr>
      <w:r w:rsidRPr="00681EC7">
        <w:rPr>
          <w:rFonts w:eastAsia="Calibri"/>
          <w:color w:val="000000"/>
          <w:sz w:val="21"/>
          <w:szCs w:val="21"/>
          <w:lang w:eastAsia="en-US"/>
        </w:rPr>
        <w:t xml:space="preserve">Le tableau ci-après illustre les principaux risques auxquels seront exposés la main-d’œuvre qui sera mobilisée par le projet. </w:t>
      </w:r>
    </w:p>
    <w:p w:rsidR="00681EC7" w:rsidRPr="00681EC7" w:rsidRDefault="00681EC7" w:rsidP="00E052CB">
      <w:pPr>
        <w:ind w:left="284" w:right="-50"/>
        <w:jc w:val="both"/>
        <w:rPr>
          <w:rFonts w:eastAsia="Calibri"/>
          <w:color w:val="000000"/>
          <w:sz w:val="21"/>
          <w:szCs w:val="21"/>
          <w:lang w:eastAsia="en-US"/>
        </w:rPr>
      </w:pPr>
      <w:r w:rsidRPr="00681EC7">
        <w:rPr>
          <w:rFonts w:eastAsia="Calibri"/>
          <w:color w:val="000000"/>
          <w:sz w:val="21"/>
          <w:szCs w:val="21"/>
          <w:lang w:eastAsia="en-US"/>
        </w:rPr>
        <w:t>Tableau : Principaux risques liés à la main-d’œuvre du projet</w:t>
      </w:r>
    </w:p>
    <w:p w:rsidR="00681EC7" w:rsidRPr="00681EC7" w:rsidRDefault="00681EC7" w:rsidP="00681EC7">
      <w:pPr>
        <w:ind w:left="1440"/>
        <w:contextualSpacing/>
        <w:rPr>
          <w:rFonts w:eastAsia="Calibri"/>
        </w:rPr>
      </w:pPr>
    </w:p>
    <w:tbl>
      <w:tblPr>
        <w:tblStyle w:val="Grilledutableau2"/>
        <w:tblW w:w="10349" w:type="dxa"/>
        <w:jc w:val="center"/>
        <w:tblLook w:val="04A0" w:firstRow="1" w:lastRow="0" w:firstColumn="1" w:lastColumn="0" w:noHBand="0" w:noVBand="1"/>
      </w:tblPr>
      <w:tblGrid>
        <w:gridCol w:w="2269"/>
        <w:gridCol w:w="8080"/>
      </w:tblGrid>
      <w:tr w:rsidR="00681EC7" w:rsidRPr="00681EC7" w:rsidTr="006F7932">
        <w:trPr>
          <w:jc w:val="center"/>
        </w:trPr>
        <w:tc>
          <w:tcPr>
            <w:tcW w:w="10349" w:type="dxa"/>
            <w:gridSpan w:val="2"/>
          </w:tcPr>
          <w:p w:rsidR="00681EC7" w:rsidRPr="00681EC7" w:rsidRDefault="00681EC7" w:rsidP="00681EC7">
            <w:pPr>
              <w:rPr>
                <w:rFonts w:eastAsia="Times New Roman"/>
                <w:sz w:val="21"/>
                <w:szCs w:val="21"/>
              </w:rPr>
            </w:pPr>
            <w:r w:rsidRPr="00681EC7">
              <w:rPr>
                <w:rFonts w:eastAsia="Times New Roman"/>
                <w:sz w:val="21"/>
                <w:szCs w:val="21"/>
              </w:rPr>
              <w:t>Principaux risques liés à la main-d’œuvre</w:t>
            </w:r>
          </w:p>
        </w:tc>
      </w:tr>
      <w:tr w:rsidR="00681EC7" w:rsidRPr="00681EC7" w:rsidTr="006F7932">
        <w:trPr>
          <w:jc w:val="center"/>
        </w:trPr>
        <w:tc>
          <w:tcPr>
            <w:tcW w:w="2269" w:type="dxa"/>
          </w:tcPr>
          <w:p w:rsidR="00681EC7" w:rsidRPr="00681EC7" w:rsidRDefault="00681EC7" w:rsidP="00681EC7">
            <w:pPr>
              <w:rPr>
                <w:rFonts w:eastAsia="Times New Roman"/>
                <w:sz w:val="21"/>
                <w:szCs w:val="21"/>
              </w:rPr>
            </w:pPr>
            <w:r w:rsidRPr="00681EC7">
              <w:rPr>
                <w:rFonts w:eastAsia="Times New Roman"/>
                <w:sz w:val="21"/>
                <w:szCs w:val="21"/>
              </w:rPr>
              <w:t xml:space="preserve">Facteurs de risques </w:t>
            </w:r>
          </w:p>
        </w:tc>
        <w:tc>
          <w:tcPr>
            <w:tcW w:w="8080" w:type="dxa"/>
          </w:tcPr>
          <w:p w:rsidR="00681EC7" w:rsidRPr="00681EC7" w:rsidRDefault="00681EC7" w:rsidP="00681EC7">
            <w:pPr>
              <w:contextualSpacing/>
              <w:rPr>
                <w:rFonts w:eastAsia="Calibri"/>
                <w:sz w:val="21"/>
                <w:szCs w:val="21"/>
              </w:rPr>
            </w:pPr>
            <w:r w:rsidRPr="00681EC7">
              <w:rPr>
                <w:rFonts w:eastAsia="Times New Roman"/>
                <w:sz w:val="21"/>
                <w:szCs w:val="21"/>
              </w:rPr>
              <w:t>Principaux risques liés à la main-d’œuvre</w:t>
            </w:r>
          </w:p>
        </w:tc>
      </w:tr>
      <w:tr w:rsidR="00681EC7" w:rsidRPr="00681EC7" w:rsidTr="006F7932">
        <w:trPr>
          <w:jc w:val="center"/>
        </w:trPr>
        <w:tc>
          <w:tcPr>
            <w:tcW w:w="2269" w:type="dxa"/>
          </w:tcPr>
          <w:p w:rsidR="00681EC7" w:rsidRPr="00681EC7" w:rsidRDefault="00681EC7" w:rsidP="00681EC7">
            <w:pPr>
              <w:rPr>
                <w:rFonts w:eastAsia="Times New Roman"/>
                <w:sz w:val="21"/>
                <w:szCs w:val="21"/>
              </w:rPr>
            </w:pPr>
            <w:r w:rsidRPr="00681EC7">
              <w:rPr>
                <w:rFonts w:eastAsia="Times New Roman"/>
                <w:sz w:val="21"/>
                <w:szCs w:val="21"/>
              </w:rPr>
              <w:t>Conditions de travail et d’emploi</w:t>
            </w:r>
          </w:p>
        </w:tc>
        <w:tc>
          <w:tcPr>
            <w:tcW w:w="8080" w:type="dxa"/>
          </w:tcPr>
          <w:p w:rsidR="00681EC7" w:rsidRPr="00681EC7" w:rsidRDefault="00681EC7" w:rsidP="00681EC7">
            <w:pPr>
              <w:rPr>
                <w:rFonts w:eastAsia="Calibri"/>
                <w:sz w:val="21"/>
                <w:szCs w:val="21"/>
              </w:rPr>
            </w:pPr>
            <w:r w:rsidRPr="00681EC7">
              <w:rPr>
                <w:rFonts w:eastAsia="Times New Roman"/>
                <w:sz w:val="21"/>
                <w:szCs w:val="21"/>
              </w:rPr>
              <w:t>R</w:t>
            </w:r>
            <w:r w:rsidRPr="00681EC7">
              <w:rPr>
                <w:rFonts w:eastAsia="Calibri"/>
                <w:sz w:val="21"/>
                <w:szCs w:val="21"/>
              </w:rPr>
              <w:t xml:space="preserve">isque de non-respect des droits des travailleurs en matière de temps de travail, de salaires, d’heures supplémentaires, de rémunération et d’avantages sociaux ; </w:t>
            </w:r>
          </w:p>
          <w:p w:rsidR="00681EC7" w:rsidRPr="00681EC7" w:rsidRDefault="00681EC7" w:rsidP="00681EC7">
            <w:pPr>
              <w:rPr>
                <w:rFonts w:eastAsia="Calibri"/>
                <w:sz w:val="21"/>
                <w:szCs w:val="21"/>
              </w:rPr>
            </w:pPr>
            <w:r w:rsidRPr="00681EC7">
              <w:rPr>
                <w:rFonts w:eastAsia="Calibri"/>
                <w:sz w:val="21"/>
                <w:szCs w:val="21"/>
              </w:rPr>
              <w:t>Risque de non-respect des périodes de repos hebdomadaire, de congé annuel et de congé de maladie, de congé maternité et de congé pour raison familiale ;</w:t>
            </w:r>
          </w:p>
          <w:p w:rsidR="00681EC7" w:rsidRPr="00681EC7" w:rsidRDefault="00681EC7" w:rsidP="00681EC7">
            <w:pPr>
              <w:rPr>
                <w:rFonts w:eastAsia="Calibri"/>
                <w:sz w:val="21"/>
                <w:szCs w:val="21"/>
              </w:rPr>
            </w:pPr>
            <w:r w:rsidRPr="00681EC7">
              <w:rPr>
                <w:rFonts w:eastAsia="Calibri"/>
                <w:sz w:val="21"/>
                <w:szCs w:val="21"/>
              </w:rPr>
              <w:t xml:space="preserve">Risque de non-respect des préavis de licenciement et des indemnités de départ ; </w:t>
            </w:r>
          </w:p>
          <w:p w:rsidR="00681EC7" w:rsidRPr="00681EC7" w:rsidRDefault="00681EC7" w:rsidP="00681EC7">
            <w:pPr>
              <w:rPr>
                <w:rFonts w:eastAsia="Calibri"/>
                <w:sz w:val="21"/>
                <w:szCs w:val="21"/>
              </w:rPr>
            </w:pPr>
            <w:r w:rsidRPr="00681EC7">
              <w:rPr>
                <w:rFonts w:eastAsia="Calibri"/>
                <w:sz w:val="21"/>
                <w:szCs w:val="21"/>
              </w:rPr>
              <w:t>Risques de blessure liés à l’utilisation d’engins ou des outils de terrassement (Fractures, Blessures, décès)</w:t>
            </w:r>
          </w:p>
          <w:p w:rsidR="00681EC7" w:rsidRPr="00681EC7" w:rsidRDefault="00681EC7" w:rsidP="00681EC7">
            <w:pPr>
              <w:rPr>
                <w:rFonts w:eastAsia="Calibri"/>
                <w:sz w:val="21"/>
                <w:szCs w:val="21"/>
              </w:rPr>
            </w:pPr>
            <w:r w:rsidRPr="00681EC7">
              <w:rPr>
                <w:rFonts w:eastAsia="Calibri"/>
                <w:sz w:val="21"/>
                <w:szCs w:val="21"/>
              </w:rPr>
              <w:t>Risques liés à l’utilisation d’outils manuels (Blessures, Fractures)</w:t>
            </w:r>
          </w:p>
          <w:p w:rsidR="00681EC7" w:rsidRPr="00681EC7" w:rsidRDefault="00681EC7" w:rsidP="00681EC7">
            <w:pPr>
              <w:rPr>
                <w:rFonts w:eastAsia="Calibri"/>
                <w:sz w:val="21"/>
                <w:szCs w:val="21"/>
              </w:rPr>
            </w:pPr>
            <w:r w:rsidRPr="00681EC7">
              <w:rPr>
                <w:rFonts w:eastAsia="Calibri"/>
                <w:sz w:val="21"/>
                <w:szCs w:val="21"/>
              </w:rPr>
              <w:t>Risques liés à la manutention manuelle (Blessures, Fractures)</w:t>
            </w:r>
          </w:p>
          <w:p w:rsidR="00681EC7" w:rsidRPr="00681EC7" w:rsidRDefault="00681EC7" w:rsidP="00681EC7">
            <w:pPr>
              <w:rPr>
                <w:rFonts w:eastAsia="Calibri"/>
                <w:sz w:val="21"/>
                <w:szCs w:val="21"/>
              </w:rPr>
            </w:pPr>
            <w:r w:rsidRPr="00681EC7">
              <w:rPr>
                <w:rFonts w:eastAsia="Calibri"/>
                <w:sz w:val="21"/>
                <w:szCs w:val="21"/>
              </w:rPr>
              <w:t>Risques liés aux gestes répétitifs (Douleurs musculaires, Mal de dos, Fatigue, Stress)</w:t>
            </w:r>
          </w:p>
          <w:p w:rsidR="00681EC7" w:rsidRPr="00681EC7" w:rsidRDefault="00681EC7" w:rsidP="00681EC7">
            <w:pPr>
              <w:rPr>
                <w:rFonts w:eastAsia="Calibri"/>
                <w:sz w:val="21"/>
                <w:szCs w:val="21"/>
              </w:rPr>
            </w:pPr>
            <w:r w:rsidRPr="00681EC7">
              <w:rPr>
                <w:rFonts w:eastAsia="Calibri"/>
                <w:sz w:val="21"/>
                <w:szCs w:val="21"/>
              </w:rPr>
              <w:t>Risques liés aux chutes de plain-pied (Blessures, Fractures)</w:t>
            </w:r>
          </w:p>
          <w:p w:rsidR="00681EC7" w:rsidRPr="00681EC7" w:rsidRDefault="00681EC7" w:rsidP="00681EC7">
            <w:pPr>
              <w:rPr>
                <w:rFonts w:eastAsia="Calibri"/>
                <w:sz w:val="21"/>
                <w:szCs w:val="21"/>
              </w:rPr>
            </w:pPr>
            <w:r w:rsidRPr="00681EC7">
              <w:rPr>
                <w:rFonts w:eastAsia="Calibri"/>
                <w:sz w:val="21"/>
                <w:szCs w:val="21"/>
              </w:rPr>
              <w:t>Risques liés au bruit (Perte de l’audition temporaire ou définitive)</w:t>
            </w:r>
          </w:p>
          <w:p w:rsidR="00681EC7" w:rsidRPr="00681EC7" w:rsidRDefault="00681EC7" w:rsidP="00681EC7">
            <w:pPr>
              <w:rPr>
                <w:rFonts w:eastAsia="Calibri"/>
                <w:sz w:val="21"/>
                <w:szCs w:val="21"/>
              </w:rPr>
            </w:pPr>
            <w:r w:rsidRPr="00681EC7">
              <w:rPr>
                <w:rFonts w:eastAsia="Calibri"/>
                <w:sz w:val="21"/>
                <w:szCs w:val="21"/>
              </w:rPr>
              <w:t>Risques liés au travail par fortes chaleurs (Déshydratation)</w:t>
            </w:r>
          </w:p>
          <w:p w:rsidR="00681EC7" w:rsidRPr="00681EC7" w:rsidRDefault="00681EC7" w:rsidP="00681EC7">
            <w:pPr>
              <w:rPr>
                <w:rFonts w:eastAsia="Calibri"/>
                <w:sz w:val="21"/>
                <w:szCs w:val="21"/>
              </w:rPr>
            </w:pPr>
            <w:r w:rsidRPr="00681EC7">
              <w:rPr>
                <w:rFonts w:eastAsia="Calibri"/>
                <w:sz w:val="21"/>
                <w:szCs w:val="21"/>
              </w:rPr>
              <w:t>Risque d’accident (Collision véhicule /piéton ou Collision entre engin) ;</w:t>
            </w:r>
          </w:p>
          <w:p w:rsidR="00681EC7" w:rsidRPr="00681EC7" w:rsidRDefault="00681EC7" w:rsidP="00681EC7">
            <w:pPr>
              <w:rPr>
                <w:rFonts w:eastAsia="Calibri"/>
                <w:sz w:val="21"/>
                <w:szCs w:val="21"/>
              </w:rPr>
            </w:pPr>
            <w:r w:rsidRPr="00681EC7">
              <w:rPr>
                <w:rFonts w:eastAsia="Calibri"/>
                <w:sz w:val="21"/>
                <w:szCs w:val="21"/>
              </w:rPr>
              <w:t>Risques électrocution due à l’installation des équipements électrique ;</w:t>
            </w:r>
          </w:p>
          <w:p w:rsidR="00681EC7" w:rsidRPr="00681EC7" w:rsidRDefault="00681EC7" w:rsidP="00681EC7">
            <w:pPr>
              <w:rPr>
                <w:rFonts w:eastAsia="Calibri"/>
                <w:sz w:val="21"/>
                <w:szCs w:val="21"/>
              </w:rPr>
            </w:pPr>
            <w:r w:rsidRPr="00681EC7">
              <w:rPr>
                <w:rFonts w:eastAsia="Calibri"/>
                <w:sz w:val="21"/>
                <w:szCs w:val="21"/>
              </w:rPr>
              <w:t>Risques liés au manque d’hygiène corporelle</w:t>
            </w:r>
            <w:r w:rsidR="00855968">
              <w:rPr>
                <w:rFonts w:eastAsia="Calibri"/>
                <w:sz w:val="21"/>
                <w:szCs w:val="21"/>
              </w:rPr>
              <w:t xml:space="preserve"> due à l’absence de sanitaire dans les chantiers</w:t>
            </w:r>
          </w:p>
          <w:p w:rsidR="00681EC7" w:rsidRPr="00681EC7" w:rsidRDefault="00681EC7" w:rsidP="00681EC7">
            <w:pPr>
              <w:rPr>
                <w:rFonts w:eastAsia="Calibri"/>
                <w:sz w:val="21"/>
                <w:szCs w:val="21"/>
              </w:rPr>
            </w:pPr>
            <w:r w:rsidRPr="00681EC7">
              <w:rPr>
                <w:rFonts w:eastAsia="Calibri"/>
                <w:sz w:val="21"/>
                <w:szCs w:val="21"/>
              </w:rPr>
              <w:t>Risques d’inhalation de poussière</w:t>
            </w:r>
          </w:p>
          <w:p w:rsidR="00681EC7" w:rsidRPr="00681EC7" w:rsidRDefault="00681EC7" w:rsidP="00681EC7">
            <w:pPr>
              <w:rPr>
                <w:rFonts w:eastAsia="Calibri"/>
                <w:sz w:val="21"/>
                <w:szCs w:val="21"/>
              </w:rPr>
            </w:pPr>
            <w:r w:rsidRPr="00681EC7">
              <w:rPr>
                <w:rFonts w:eastAsia="Calibri"/>
                <w:sz w:val="21"/>
                <w:szCs w:val="21"/>
              </w:rPr>
              <w:t>Risques liés au travail de nuit (grande fatigue physique et psychique) ;</w:t>
            </w:r>
          </w:p>
          <w:p w:rsidR="00681EC7" w:rsidRPr="00681EC7" w:rsidRDefault="00681EC7" w:rsidP="00681EC7">
            <w:pPr>
              <w:rPr>
                <w:rFonts w:eastAsia="Times New Roman"/>
                <w:sz w:val="21"/>
                <w:szCs w:val="21"/>
              </w:rPr>
            </w:pPr>
            <w:r w:rsidRPr="00681EC7">
              <w:rPr>
                <w:rFonts w:eastAsia="Times New Roman"/>
                <w:sz w:val="21"/>
                <w:szCs w:val="21"/>
              </w:rPr>
              <w:t>Risque d’exposition des travailleurs à des substances dangereuses ;</w:t>
            </w:r>
          </w:p>
          <w:p w:rsidR="00681EC7" w:rsidRPr="00681EC7" w:rsidRDefault="00681EC7" w:rsidP="00681EC7">
            <w:pPr>
              <w:rPr>
                <w:rFonts w:eastAsia="Times New Roman"/>
                <w:sz w:val="21"/>
                <w:szCs w:val="21"/>
              </w:rPr>
            </w:pPr>
            <w:r w:rsidRPr="00681EC7">
              <w:rPr>
                <w:rFonts w:eastAsia="Times New Roman"/>
                <w:sz w:val="21"/>
                <w:szCs w:val="21"/>
              </w:rPr>
              <w:t>Risque d’utilisation de la machinerie en mauvais état ;</w:t>
            </w:r>
          </w:p>
          <w:p w:rsidR="00681EC7" w:rsidRPr="00681EC7" w:rsidRDefault="00681EC7" w:rsidP="00681EC7">
            <w:pPr>
              <w:rPr>
                <w:rFonts w:eastAsia="Times New Roman"/>
                <w:sz w:val="21"/>
                <w:szCs w:val="21"/>
              </w:rPr>
            </w:pPr>
            <w:r w:rsidRPr="00681EC7">
              <w:rPr>
                <w:rFonts w:eastAsia="Times New Roman"/>
                <w:sz w:val="21"/>
                <w:szCs w:val="21"/>
              </w:rPr>
              <w:t>Risque d’incendies en cas de mauvaise manipulation des produits inflammables ;</w:t>
            </w:r>
          </w:p>
        </w:tc>
      </w:tr>
      <w:tr w:rsidR="00681EC7" w:rsidRPr="00681EC7" w:rsidTr="006F7932">
        <w:trPr>
          <w:jc w:val="center"/>
        </w:trPr>
        <w:tc>
          <w:tcPr>
            <w:tcW w:w="2269" w:type="dxa"/>
          </w:tcPr>
          <w:p w:rsidR="00681EC7" w:rsidRPr="00681EC7" w:rsidRDefault="00681EC7" w:rsidP="00681EC7">
            <w:pPr>
              <w:rPr>
                <w:rFonts w:eastAsia="Times New Roman"/>
                <w:sz w:val="21"/>
                <w:szCs w:val="21"/>
              </w:rPr>
            </w:pPr>
            <w:r w:rsidRPr="00681EC7">
              <w:rPr>
                <w:rFonts w:eastAsia="Times New Roman"/>
                <w:sz w:val="21"/>
                <w:szCs w:val="21"/>
              </w:rPr>
              <w:t>Organisation des travailleurs</w:t>
            </w:r>
          </w:p>
          <w:p w:rsidR="00681EC7" w:rsidRPr="00681EC7" w:rsidRDefault="00681EC7" w:rsidP="00681EC7">
            <w:pPr>
              <w:contextualSpacing/>
              <w:rPr>
                <w:rFonts w:eastAsia="Calibri"/>
                <w:sz w:val="21"/>
                <w:szCs w:val="21"/>
              </w:rPr>
            </w:pPr>
          </w:p>
        </w:tc>
        <w:tc>
          <w:tcPr>
            <w:tcW w:w="8080" w:type="dxa"/>
          </w:tcPr>
          <w:p w:rsidR="00681EC7" w:rsidRPr="00681EC7" w:rsidRDefault="00681EC7" w:rsidP="00681EC7">
            <w:pPr>
              <w:rPr>
                <w:rFonts w:eastAsia="Times New Roman"/>
                <w:sz w:val="21"/>
                <w:szCs w:val="21"/>
              </w:rPr>
            </w:pPr>
            <w:r w:rsidRPr="00681EC7">
              <w:rPr>
                <w:rFonts w:eastAsia="Calibri"/>
                <w:sz w:val="21"/>
                <w:szCs w:val="21"/>
              </w:rPr>
              <w:t>Risque de non</w:t>
            </w:r>
            <w:r w:rsidRPr="00681EC7">
              <w:rPr>
                <w:rFonts w:eastAsia="Times New Roman"/>
                <w:sz w:val="21"/>
                <w:szCs w:val="21"/>
              </w:rPr>
              <w:t>-respect du rôle des organisations de travailleurs ;</w:t>
            </w:r>
          </w:p>
          <w:p w:rsidR="00681EC7" w:rsidRPr="00681EC7" w:rsidRDefault="00681EC7" w:rsidP="00681EC7">
            <w:pPr>
              <w:rPr>
                <w:rFonts w:eastAsia="Times New Roman"/>
                <w:sz w:val="21"/>
                <w:szCs w:val="21"/>
              </w:rPr>
            </w:pPr>
            <w:r w:rsidRPr="00681EC7">
              <w:rPr>
                <w:rFonts w:eastAsia="Calibri"/>
                <w:sz w:val="21"/>
                <w:szCs w:val="21"/>
              </w:rPr>
              <w:t xml:space="preserve">Risque d’information </w:t>
            </w:r>
            <w:r w:rsidRPr="00681EC7">
              <w:rPr>
                <w:rFonts w:eastAsia="Times New Roman"/>
                <w:sz w:val="21"/>
                <w:szCs w:val="21"/>
              </w:rPr>
              <w:t>en temps opportun nécessaires à des négociations constructives ;</w:t>
            </w:r>
          </w:p>
          <w:p w:rsidR="00681EC7" w:rsidRPr="00681EC7" w:rsidRDefault="00681EC7" w:rsidP="00681EC7">
            <w:pPr>
              <w:rPr>
                <w:rFonts w:eastAsia="Times New Roman"/>
                <w:sz w:val="21"/>
                <w:szCs w:val="21"/>
              </w:rPr>
            </w:pPr>
            <w:r w:rsidRPr="00681EC7">
              <w:rPr>
                <w:rFonts w:eastAsia="Calibri"/>
                <w:sz w:val="21"/>
                <w:szCs w:val="21"/>
              </w:rPr>
              <w:t xml:space="preserve">Risque de </w:t>
            </w:r>
            <w:r w:rsidRPr="00681EC7">
              <w:rPr>
                <w:rFonts w:eastAsia="Times New Roman"/>
                <w:sz w:val="21"/>
                <w:szCs w:val="21"/>
              </w:rPr>
              <w:t>discrimination ou mesure en représailles contre les travailleurs du projet qui participent ou souhaitent participer à des organisations de travailleurs et aux négociations collectives ou à d’autres mécanismes</w:t>
            </w:r>
          </w:p>
        </w:tc>
      </w:tr>
      <w:tr w:rsidR="00681EC7" w:rsidRPr="00681EC7" w:rsidTr="006F7932">
        <w:trPr>
          <w:jc w:val="center"/>
        </w:trPr>
        <w:tc>
          <w:tcPr>
            <w:tcW w:w="2269" w:type="dxa"/>
          </w:tcPr>
          <w:p w:rsidR="00681EC7" w:rsidRPr="00681EC7" w:rsidRDefault="00681EC7" w:rsidP="00681EC7">
            <w:pPr>
              <w:rPr>
                <w:rFonts w:eastAsia="Times New Roman"/>
                <w:sz w:val="21"/>
                <w:szCs w:val="21"/>
              </w:rPr>
            </w:pPr>
            <w:r w:rsidRPr="00681EC7">
              <w:rPr>
                <w:rFonts w:eastAsia="Times New Roman"/>
                <w:sz w:val="21"/>
                <w:szCs w:val="21"/>
              </w:rPr>
              <w:t>Santé et sécurité au travail (SST)</w:t>
            </w:r>
          </w:p>
          <w:p w:rsidR="00681EC7" w:rsidRPr="00681EC7" w:rsidRDefault="00681EC7" w:rsidP="00681EC7">
            <w:pPr>
              <w:contextualSpacing/>
              <w:rPr>
                <w:rFonts w:eastAsia="Calibri"/>
                <w:sz w:val="21"/>
                <w:szCs w:val="21"/>
              </w:rPr>
            </w:pPr>
          </w:p>
        </w:tc>
        <w:tc>
          <w:tcPr>
            <w:tcW w:w="8080" w:type="dxa"/>
          </w:tcPr>
          <w:p w:rsidR="00681EC7" w:rsidRPr="00681EC7" w:rsidRDefault="00681EC7" w:rsidP="00681EC7">
            <w:pPr>
              <w:rPr>
                <w:rFonts w:eastAsia="Times New Roman"/>
                <w:sz w:val="21"/>
                <w:szCs w:val="21"/>
              </w:rPr>
            </w:pPr>
            <w:r w:rsidRPr="00681EC7">
              <w:rPr>
                <w:rFonts w:eastAsia="Times New Roman"/>
                <w:sz w:val="21"/>
                <w:szCs w:val="21"/>
              </w:rPr>
              <w:t>Risque de manque d’accompagnement et d’assistance aux travailleurs victimes d’accidents de travail ;</w:t>
            </w:r>
          </w:p>
          <w:p w:rsidR="00681EC7" w:rsidRPr="00681EC7" w:rsidRDefault="00681EC7" w:rsidP="00681EC7">
            <w:pPr>
              <w:rPr>
                <w:rFonts w:eastAsia="Times New Roman"/>
                <w:sz w:val="21"/>
                <w:szCs w:val="21"/>
              </w:rPr>
            </w:pPr>
            <w:r w:rsidRPr="00681EC7">
              <w:rPr>
                <w:rFonts w:eastAsia="Times New Roman"/>
                <w:sz w:val="21"/>
                <w:szCs w:val="21"/>
              </w:rPr>
              <w:t>Risque de propagation des IST et VIH/SIDA en cas de comportement sexuels risqués ;</w:t>
            </w:r>
          </w:p>
          <w:p w:rsidR="00681EC7" w:rsidRPr="00681EC7" w:rsidRDefault="00681EC7" w:rsidP="00681EC7">
            <w:pPr>
              <w:rPr>
                <w:rFonts w:eastAsia="Times New Roman"/>
                <w:sz w:val="21"/>
                <w:szCs w:val="21"/>
              </w:rPr>
            </w:pPr>
            <w:r w:rsidRPr="00681EC7">
              <w:rPr>
                <w:rFonts w:eastAsia="Times New Roman"/>
                <w:sz w:val="21"/>
                <w:szCs w:val="21"/>
              </w:rPr>
              <w:t>Risque de propagation de maladies liées au manque de respect des principes d’hygiène ;</w:t>
            </w:r>
          </w:p>
          <w:p w:rsidR="00681EC7" w:rsidRPr="00681EC7" w:rsidRDefault="00681EC7" w:rsidP="00681EC7">
            <w:pPr>
              <w:rPr>
                <w:rFonts w:eastAsia="Times New Roman"/>
                <w:sz w:val="21"/>
                <w:szCs w:val="21"/>
              </w:rPr>
            </w:pPr>
            <w:r w:rsidRPr="00681EC7">
              <w:rPr>
                <w:rFonts w:eastAsia="Times New Roman"/>
                <w:sz w:val="21"/>
                <w:szCs w:val="21"/>
              </w:rPr>
              <w:t xml:space="preserve">Travailleurs et aux négociations collectives ou à d’autres mécanismes Accidents, maladies, handicaps, décès et autres incidents de travail </w:t>
            </w:r>
          </w:p>
          <w:p w:rsidR="00681EC7" w:rsidRPr="00681EC7" w:rsidRDefault="00681EC7" w:rsidP="00681EC7">
            <w:pPr>
              <w:rPr>
                <w:rFonts w:eastAsia="Times New Roman"/>
                <w:sz w:val="21"/>
                <w:szCs w:val="21"/>
              </w:rPr>
            </w:pPr>
            <w:r w:rsidRPr="00681EC7">
              <w:rPr>
                <w:rFonts w:eastAsia="Times New Roman"/>
                <w:sz w:val="21"/>
                <w:szCs w:val="21"/>
              </w:rPr>
              <w:t>Risque de propagation de maladies liées au manque de respect des principes d’hygiène (Covid-19 en particulier)</w:t>
            </w:r>
            <w:r w:rsidRPr="00681EC7">
              <w:rPr>
                <w:rFonts w:ascii="MS Mincho" w:eastAsia="MS Mincho" w:hAnsi="MS Mincho" w:cs="MS Mincho"/>
                <w:sz w:val="21"/>
                <w:szCs w:val="21"/>
              </w:rPr>
              <w:t>  </w:t>
            </w:r>
          </w:p>
        </w:tc>
      </w:tr>
      <w:tr w:rsidR="00681EC7" w:rsidRPr="00681EC7" w:rsidTr="006F7932">
        <w:trPr>
          <w:jc w:val="center"/>
        </w:trPr>
        <w:tc>
          <w:tcPr>
            <w:tcW w:w="2269" w:type="dxa"/>
          </w:tcPr>
          <w:p w:rsidR="00681EC7" w:rsidRPr="00681EC7" w:rsidRDefault="00681EC7" w:rsidP="00681EC7">
            <w:pPr>
              <w:rPr>
                <w:rFonts w:eastAsia="Times New Roman"/>
                <w:sz w:val="21"/>
                <w:szCs w:val="21"/>
              </w:rPr>
            </w:pPr>
            <w:r w:rsidRPr="00681EC7">
              <w:rPr>
                <w:rFonts w:eastAsia="Times New Roman"/>
                <w:sz w:val="21"/>
                <w:szCs w:val="21"/>
              </w:rPr>
              <w:t>Discrimination et inégalité des chances</w:t>
            </w:r>
          </w:p>
          <w:p w:rsidR="00681EC7" w:rsidRPr="00681EC7" w:rsidRDefault="00681EC7" w:rsidP="00681EC7">
            <w:pPr>
              <w:contextualSpacing/>
              <w:rPr>
                <w:rFonts w:eastAsia="Calibri"/>
                <w:sz w:val="21"/>
                <w:szCs w:val="21"/>
              </w:rPr>
            </w:pPr>
          </w:p>
        </w:tc>
        <w:tc>
          <w:tcPr>
            <w:tcW w:w="8080" w:type="dxa"/>
          </w:tcPr>
          <w:p w:rsidR="00681EC7" w:rsidRPr="00681EC7" w:rsidRDefault="00681EC7" w:rsidP="00681EC7">
            <w:pPr>
              <w:rPr>
                <w:rFonts w:eastAsia="Times New Roman"/>
                <w:sz w:val="21"/>
                <w:szCs w:val="21"/>
              </w:rPr>
            </w:pPr>
            <w:r w:rsidRPr="00681EC7">
              <w:rPr>
                <w:rFonts w:eastAsia="Times New Roman"/>
                <w:sz w:val="21"/>
                <w:szCs w:val="21"/>
              </w:rPr>
              <w:t>Risque de discrimination en matière de recrutement et de traitement des travailleurs du projet sur la base de caractéristiques personnelles sans rapport avec les besoins inhérents au poste concerné ;</w:t>
            </w:r>
          </w:p>
          <w:p w:rsidR="00681EC7" w:rsidRPr="00681EC7" w:rsidRDefault="00681EC7" w:rsidP="00681EC7">
            <w:pPr>
              <w:rPr>
                <w:rFonts w:eastAsia="Times New Roman"/>
                <w:sz w:val="21"/>
                <w:szCs w:val="21"/>
              </w:rPr>
            </w:pPr>
            <w:r w:rsidRPr="00681EC7">
              <w:rPr>
                <w:rFonts w:eastAsia="Times New Roman"/>
                <w:sz w:val="21"/>
                <w:szCs w:val="21"/>
              </w:rPr>
              <w:t>Risque de non-respect du principe de l’égalité des chances, du traitement équitable, des mesures de disciplinaires et de l’accès à l’information ;</w:t>
            </w:r>
          </w:p>
          <w:p w:rsidR="00681EC7" w:rsidRPr="00681EC7" w:rsidRDefault="00681EC7" w:rsidP="00681EC7">
            <w:pPr>
              <w:rPr>
                <w:rFonts w:eastAsia="Times New Roman"/>
                <w:sz w:val="21"/>
                <w:szCs w:val="21"/>
              </w:rPr>
            </w:pPr>
            <w:r w:rsidRPr="00681EC7">
              <w:rPr>
                <w:rFonts w:eastAsia="Times New Roman"/>
                <w:sz w:val="21"/>
                <w:szCs w:val="21"/>
              </w:rPr>
              <w:t>Risque de discrimination à l’égard des personnes vulnérables (femmes, personnes handicapées, travailleurs migrants, et les enfants en âge de travailler) ;</w:t>
            </w:r>
          </w:p>
          <w:p w:rsidR="00681EC7" w:rsidRPr="00681EC7" w:rsidRDefault="00681EC7" w:rsidP="00681EC7">
            <w:pPr>
              <w:rPr>
                <w:rFonts w:eastAsia="Times New Roman"/>
                <w:sz w:val="21"/>
                <w:szCs w:val="21"/>
              </w:rPr>
            </w:pPr>
            <w:r w:rsidRPr="00681EC7">
              <w:rPr>
                <w:rFonts w:eastAsia="Times New Roman"/>
                <w:sz w:val="21"/>
                <w:szCs w:val="21"/>
              </w:rPr>
              <w:t>Risque de discrimination et Violence Basée sur le Genre (VBG)</w:t>
            </w:r>
          </w:p>
        </w:tc>
      </w:tr>
      <w:tr w:rsidR="00681EC7" w:rsidRPr="00681EC7" w:rsidTr="006F7932">
        <w:trPr>
          <w:jc w:val="center"/>
        </w:trPr>
        <w:tc>
          <w:tcPr>
            <w:tcW w:w="2269" w:type="dxa"/>
          </w:tcPr>
          <w:p w:rsidR="00681EC7" w:rsidRPr="00681EC7" w:rsidRDefault="00681EC7" w:rsidP="00681EC7">
            <w:pPr>
              <w:rPr>
                <w:rFonts w:eastAsia="Times New Roman"/>
                <w:sz w:val="21"/>
                <w:szCs w:val="21"/>
              </w:rPr>
            </w:pPr>
            <w:r w:rsidRPr="00681EC7">
              <w:rPr>
                <w:rFonts w:eastAsia="Times New Roman"/>
                <w:sz w:val="21"/>
                <w:szCs w:val="21"/>
              </w:rPr>
              <w:t xml:space="preserve">Travail des enfants </w:t>
            </w:r>
          </w:p>
          <w:p w:rsidR="00681EC7" w:rsidRPr="00681EC7" w:rsidRDefault="00681EC7" w:rsidP="00681EC7">
            <w:pPr>
              <w:contextualSpacing/>
              <w:rPr>
                <w:rFonts w:eastAsia="Calibri"/>
                <w:sz w:val="21"/>
                <w:szCs w:val="21"/>
              </w:rPr>
            </w:pPr>
          </w:p>
        </w:tc>
        <w:tc>
          <w:tcPr>
            <w:tcW w:w="8080" w:type="dxa"/>
          </w:tcPr>
          <w:p w:rsidR="00681EC7" w:rsidRPr="00681EC7" w:rsidRDefault="00681EC7" w:rsidP="00681EC7">
            <w:pPr>
              <w:rPr>
                <w:rFonts w:eastAsia="Times New Roman"/>
                <w:sz w:val="21"/>
                <w:szCs w:val="21"/>
              </w:rPr>
            </w:pPr>
            <w:r w:rsidRPr="00681EC7">
              <w:rPr>
                <w:rFonts w:eastAsia="Times New Roman"/>
                <w:sz w:val="21"/>
                <w:szCs w:val="21"/>
              </w:rPr>
              <w:t>Risque d’embauchage d’enfants n’ayant pas atteint l’âge minimum prescrit conformément à la règlementation nationale ;</w:t>
            </w:r>
          </w:p>
          <w:p w:rsidR="00681EC7" w:rsidRPr="00681EC7" w:rsidRDefault="00681EC7" w:rsidP="00681EC7">
            <w:pPr>
              <w:rPr>
                <w:rFonts w:eastAsia="Times New Roman"/>
                <w:sz w:val="21"/>
                <w:szCs w:val="21"/>
              </w:rPr>
            </w:pPr>
            <w:r w:rsidRPr="00681EC7">
              <w:rPr>
                <w:rFonts w:eastAsia="Times New Roman"/>
                <w:sz w:val="21"/>
                <w:szCs w:val="21"/>
              </w:rPr>
              <w:t>Risque des conditions pouvant présenter un danger pour les enfants ayant dépassé l’âge minimum : compromettre leur éducation ou nuire à leur développement physique, mental, spirituel, moral ou social ;</w:t>
            </w:r>
          </w:p>
        </w:tc>
      </w:tr>
      <w:tr w:rsidR="00681EC7" w:rsidRPr="00681EC7" w:rsidTr="006F7932">
        <w:trPr>
          <w:jc w:val="center"/>
        </w:trPr>
        <w:tc>
          <w:tcPr>
            <w:tcW w:w="2269" w:type="dxa"/>
          </w:tcPr>
          <w:p w:rsidR="00681EC7" w:rsidRPr="00681EC7" w:rsidRDefault="00681EC7" w:rsidP="00681EC7">
            <w:pPr>
              <w:rPr>
                <w:rFonts w:eastAsia="Times New Roman"/>
                <w:sz w:val="21"/>
                <w:szCs w:val="21"/>
              </w:rPr>
            </w:pPr>
            <w:r w:rsidRPr="00681EC7">
              <w:rPr>
                <w:rFonts w:eastAsia="Times New Roman"/>
                <w:sz w:val="21"/>
                <w:szCs w:val="21"/>
              </w:rPr>
              <w:t xml:space="preserve">Travail forcé </w:t>
            </w:r>
          </w:p>
          <w:p w:rsidR="00681EC7" w:rsidRPr="00681EC7" w:rsidRDefault="00681EC7" w:rsidP="00681EC7">
            <w:pPr>
              <w:contextualSpacing/>
              <w:rPr>
                <w:rFonts w:eastAsia="Calibri"/>
                <w:sz w:val="21"/>
                <w:szCs w:val="21"/>
              </w:rPr>
            </w:pPr>
          </w:p>
        </w:tc>
        <w:tc>
          <w:tcPr>
            <w:tcW w:w="8080" w:type="dxa"/>
          </w:tcPr>
          <w:p w:rsidR="00681EC7" w:rsidRPr="00681EC7" w:rsidRDefault="00681EC7" w:rsidP="00681EC7">
            <w:pPr>
              <w:rPr>
                <w:rFonts w:eastAsia="Times New Roman"/>
                <w:sz w:val="21"/>
                <w:szCs w:val="21"/>
              </w:rPr>
            </w:pPr>
            <w:r w:rsidRPr="00681EC7">
              <w:rPr>
                <w:rFonts w:eastAsia="Times New Roman"/>
                <w:sz w:val="21"/>
                <w:szCs w:val="21"/>
              </w:rPr>
              <w:t>Risque de service exigé sous la menace d’une peine quelconque et pour lequel le(s) concerné(s) ne s’est (se sont) pas offert(s) de plein gré ;</w:t>
            </w:r>
          </w:p>
          <w:p w:rsidR="00681EC7" w:rsidRPr="00681EC7" w:rsidRDefault="00681EC7" w:rsidP="00681EC7">
            <w:pPr>
              <w:rPr>
                <w:rFonts w:eastAsia="Times New Roman"/>
                <w:sz w:val="21"/>
                <w:szCs w:val="21"/>
              </w:rPr>
            </w:pPr>
            <w:r w:rsidRPr="00681EC7">
              <w:rPr>
                <w:rFonts w:eastAsia="Times New Roman"/>
                <w:sz w:val="21"/>
                <w:szCs w:val="21"/>
              </w:rPr>
              <w:t>Risque d’emploi de victime de trafic humain ;</w:t>
            </w:r>
          </w:p>
        </w:tc>
      </w:tr>
      <w:tr w:rsidR="00681EC7" w:rsidRPr="00681EC7" w:rsidTr="006F7932">
        <w:trPr>
          <w:jc w:val="center"/>
        </w:trPr>
        <w:tc>
          <w:tcPr>
            <w:tcW w:w="2269" w:type="dxa"/>
          </w:tcPr>
          <w:p w:rsidR="00681EC7" w:rsidRPr="00681EC7" w:rsidRDefault="00681EC7" w:rsidP="00681EC7">
            <w:pPr>
              <w:rPr>
                <w:rFonts w:eastAsia="Times New Roman"/>
                <w:sz w:val="21"/>
                <w:szCs w:val="21"/>
              </w:rPr>
            </w:pPr>
            <w:r w:rsidRPr="00681EC7">
              <w:rPr>
                <w:rFonts w:eastAsia="Times New Roman"/>
                <w:sz w:val="21"/>
                <w:szCs w:val="21"/>
              </w:rPr>
              <w:t xml:space="preserve">Nature des contrats </w:t>
            </w:r>
          </w:p>
        </w:tc>
        <w:tc>
          <w:tcPr>
            <w:tcW w:w="8080" w:type="dxa"/>
          </w:tcPr>
          <w:p w:rsidR="00681EC7" w:rsidRPr="00681EC7" w:rsidRDefault="00681EC7" w:rsidP="00681EC7">
            <w:pPr>
              <w:rPr>
                <w:rFonts w:eastAsia="Times New Roman"/>
                <w:sz w:val="21"/>
                <w:szCs w:val="21"/>
              </w:rPr>
            </w:pPr>
            <w:r w:rsidRPr="00681EC7">
              <w:rPr>
                <w:rFonts w:eastAsia="Times New Roman"/>
                <w:sz w:val="21"/>
                <w:szCs w:val="21"/>
              </w:rPr>
              <w:t>Risque de non prise en compte des procédures de gestion de la main-d’œuvre dans le contrat des tiers ;</w:t>
            </w:r>
          </w:p>
          <w:p w:rsidR="00681EC7" w:rsidRPr="00681EC7" w:rsidRDefault="00681EC7" w:rsidP="00681EC7">
            <w:pPr>
              <w:rPr>
                <w:rFonts w:eastAsia="Times New Roman"/>
                <w:sz w:val="21"/>
                <w:szCs w:val="21"/>
              </w:rPr>
            </w:pPr>
            <w:r w:rsidRPr="00681EC7">
              <w:rPr>
                <w:rFonts w:eastAsia="Times New Roman"/>
                <w:sz w:val="21"/>
                <w:szCs w:val="21"/>
              </w:rPr>
              <w:t>Risque d’inaccessibilité du mécanisme de gestion des plaintes pour les travailleurs contractuels ;</w:t>
            </w:r>
          </w:p>
        </w:tc>
      </w:tr>
    </w:tbl>
    <w:p w:rsidR="00681EC7" w:rsidRPr="00681EC7" w:rsidRDefault="00681EC7" w:rsidP="00681EC7">
      <w:pPr>
        <w:rPr>
          <w:rFonts w:eastAsia="Calibri"/>
        </w:rPr>
      </w:pPr>
    </w:p>
    <w:p w:rsidR="00681EC7" w:rsidRPr="001F2701" w:rsidRDefault="00681EC7" w:rsidP="005E613E">
      <w:pPr>
        <w:numPr>
          <w:ilvl w:val="0"/>
          <w:numId w:val="159"/>
        </w:numPr>
        <w:ind w:left="709" w:right="-851"/>
        <w:contextualSpacing/>
        <w:outlineLvl w:val="1"/>
        <w:rPr>
          <w:rFonts w:eastAsia="Times New Roman"/>
          <w:b/>
          <w:bCs/>
          <w:sz w:val="22"/>
          <w:szCs w:val="22"/>
          <w:lang w:eastAsia="es-ES"/>
        </w:rPr>
      </w:pPr>
      <w:bookmarkStart w:id="444" w:name="_Toc67508579"/>
      <w:bookmarkStart w:id="445" w:name="_Toc69918767"/>
      <w:bookmarkStart w:id="446" w:name="_Toc73459814"/>
      <w:r w:rsidRPr="001F2701">
        <w:rPr>
          <w:rFonts w:eastAsia="Times New Roman"/>
          <w:b/>
          <w:bCs/>
          <w:sz w:val="22"/>
          <w:szCs w:val="22"/>
          <w:lang w:eastAsia="es-ES"/>
        </w:rPr>
        <w:t xml:space="preserve">BREF TOUR D’HORIZON DE LA LÉGISLATION DU </w:t>
      </w:r>
      <w:r w:rsidR="007B4D24" w:rsidRPr="001F2701">
        <w:rPr>
          <w:rFonts w:eastAsia="Times New Roman"/>
          <w:b/>
          <w:bCs/>
          <w:sz w:val="22"/>
          <w:szCs w:val="22"/>
          <w:lang w:eastAsia="es-ES"/>
        </w:rPr>
        <w:t>TRAVAIL :</w:t>
      </w:r>
      <w:r w:rsidRPr="001F2701">
        <w:rPr>
          <w:rFonts w:eastAsia="Times New Roman"/>
          <w:b/>
          <w:bCs/>
          <w:sz w:val="22"/>
          <w:szCs w:val="22"/>
          <w:lang w:eastAsia="es-ES"/>
        </w:rPr>
        <w:t xml:space="preserve"> CONDITIONS GÉNÉRALES</w:t>
      </w:r>
      <w:bookmarkEnd w:id="444"/>
      <w:bookmarkEnd w:id="445"/>
      <w:bookmarkEnd w:id="446"/>
    </w:p>
    <w:p w:rsidR="00681EC7" w:rsidRPr="00681EC7" w:rsidRDefault="00681EC7" w:rsidP="005E613E">
      <w:pPr>
        <w:numPr>
          <w:ilvl w:val="0"/>
          <w:numId w:val="161"/>
        </w:numPr>
        <w:ind w:left="851" w:right="-851"/>
        <w:contextualSpacing/>
        <w:jc w:val="both"/>
        <w:rPr>
          <w:rFonts w:eastAsia="Times New Roman"/>
          <w:b/>
          <w:color w:val="040404"/>
          <w:sz w:val="21"/>
          <w:szCs w:val="21"/>
          <w:shd w:val="clear" w:color="auto" w:fill="FFFFFF"/>
          <w:lang w:eastAsia="es-ES"/>
        </w:rPr>
      </w:pPr>
      <w:r w:rsidRPr="00681EC7">
        <w:rPr>
          <w:rFonts w:eastAsia="Times New Roman"/>
          <w:b/>
          <w:color w:val="040404"/>
          <w:sz w:val="21"/>
          <w:szCs w:val="21"/>
          <w:shd w:val="clear" w:color="auto" w:fill="FFFFFF"/>
          <w:lang w:eastAsia="es-ES"/>
        </w:rPr>
        <w:t xml:space="preserve">Cadre juridique national </w:t>
      </w:r>
    </w:p>
    <w:p w:rsidR="00681EC7" w:rsidRPr="00681EC7" w:rsidRDefault="00681EC7" w:rsidP="005E613E">
      <w:pPr>
        <w:spacing w:line="276" w:lineRule="auto"/>
        <w:ind w:left="851" w:right="-851"/>
        <w:jc w:val="both"/>
        <w:rPr>
          <w:rFonts w:eastAsia="Calibri"/>
          <w:color w:val="000000"/>
          <w:sz w:val="21"/>
          <w:szCs w:val="21"/>
          <w:lang w:eastAsia="en-US"/>
        </w:rPr>
      </w:pPr>
      <w:r w:rsidRPr="00681EC7">
        <w:rPr>
          <w:rFonts w:eastAsia="Calibri"/>
          <w:color w:val="000000"/>
          <w:sz w:val="21"/>
          <w:szCs w:val="21"/>
          <w:lang w:eastAsia="en-US"/>
        </w:rPr>
        <w:t xml:space="preserve">La Guinée Bissau dispose de quelques lois qui régissent les conditions des travailleurs </w:t>
      </w:r>
    </w:p>
    <w:p w:rsidR="00681EC7" w:rsidRPr="00681EC7" w:rsidRDefault="00681EC7" w:rsidP="005E613E">
      <w:pPr>
        <w:ind w:left="560" w:right="-851"/>
        <w:rPr>
          <w:rFonts w:eastAsia="Calibri"/>
          <w:color w:val="000000"/>
          <w:sz w:val="21"/>
          <w:szCs w:val="21"/>
          <w:lang w:eastAsia="en-US"/>
        </w:rPr>
      </w:pPr>
      <w:r w:rsidRPr="00681EC7">
        <w:rPr>
          <w:rFonts w:eastAsia="Calibri"/>
          <w:b/>
          <w:sz w:val="22"/>
          <w:szCs w:val="22"/>
        </w:rPr>
        <w:t xml:space="preserve">Loi nº2 / 86 du 5 avril 1986 - Loi générale de travail </w:t>
      </w:r>
    </w:p>
    <w:p w:rsidR="00681EC7" w:rsidRPr="00681EC7" w:rsidRDefault="00681EC7" w:rsidP="005E613E">
      <w:pPr>
        <w:ind w:right="-851"/>
        <w:rPr>
          <w:rFonts w:eastAsia="Calibri"/>
          <w:color w:val="000000"/>
          <w:sz w:val="21"/>
          <w:szCs w:val="21"/>
          <w:lang w:eastAsia="en-US"/>
        </w:rPr>
      </w:pPr>
    </w:p>
    <w:p w:rsidR="00681EC7" w:rsidRPr="00681EC7" w:rsidRDefault="00681EC7" w:rsidP="005E613E">
      <w:pPr>
        <w:numPr>
          <w:ilvl w:val="0"/>
          <w:numId w:val="162"/>
        </w:numPr>
        <w:ind w:left="1560" w:right="-851"/>
        <w:contextualSpacing/>
        <w:rPr>
          <w:rFonts w:eastAsia="Calibri"/>
          <w:b/>
          <w:color w:val="000000"/>
          <w:sz w:val="21"/>
          <w:szCs w:val="21"/>
          <w:lang w:eastAsia="en-US"/>
        </w:rPr>
      </w:pPr>
      <w:r w:rsidRPr="00681EC7">
        <w:rPr>
          <w:rFonts w:eastAsia="Calibri"/>
          <w:b/>
          <w:color w:val="000000"/>
          <w:sz w:val="21"/>
          <w:szCs w:val="21"/>
          <w:lang w:eastAsia="en-US"/>
        </w:rPr>
        <w:t>ARTICLE 161</w:t>
      </w:r>
      <w:r w:rsidRPr="00681EC7">
        <w:rPr>
          <w:rFonts w:eastAsia="Calibri"/>
          <w:b/>
          <w:sz w:val="22"/>
          <w:szCs w:val="22"/>
        </w:rPr>
        <w:t xml:space="preserve"> </w:t>
      </w:r>
      <w:r w:rsidRPr="00681EC7">
        <w:rPr>
          <w:rFonts w:eastAsia="Calibri"/>
          <w:b/>
          <w:color w:val="000000"/>
          <w:sz w:val="21"/>
          <w:szCs w:val="21"/>
          <w:lang w:eastAsia="en-US"/>
        </w:rPr>
        <w:t>(Principes généraux)</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L'employeur est tenu d'organiser et d'effectuer le travail dans des conditions d'hygiène, de sécurité et de protection de la santé des travailleurs. Ces conditions seront établies dans une législation complémentaire, en tenant compte des contraintes et des spécificités des différents secteurs d'activité économique. La législation définira les fonctions et les responsabilités respectives des pouvoirs publics, des employeurs et des travailleurs, conformément à la complémentarité de ces responsabilités.</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L'Etat établit, en fonction des ressources du service national de santé, l'obligation de procéder à des examens médicaux comprenant, en priorité, le travail des mineurs de moins de 18 ans et le travail effectué dans des secteurs d'activité ou des entreprises dont le type d'exploitation est susceptible d'entraîner des risques pour l'intégrité physique ou la santé du travailleur.</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Tant que la législation prévue au paragraphe 1 n'a pas été promulguée, l'Inspection générale du travail peut, en cas d'imminence de risques graves pour la santé des travailleurs ou en cas de conditions manifestement inadéquates de sécurité et d'hygiène au travail, déterminer que l'employeur adopte les des mesures correctives, en fixant un délai raisonnable à cet effet.</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 xml:space="preserve">La détermination de l'Inspection générale du travail sera précédée d'un avis technique, à la demande d'autres organes compétents en la matière. </w:t>
      </w:r>
    </w:p>
    <w:p w:rsidR="00681EC7" w:rsidRPr="00681EC7" w:rsidRDefault="00681EC7" w:rsidP="005E613E">
      <w:pPr>
        <w:ind w:right="-851"/>
        <w:jc w:val="both"/>
        <w:rPr>
          <w:rFonts w:eastAsia="Calibri"/>
          <w:color w:val="000000"/>
          <w:sz w:val="21"/>
          <w:szCs w:val="21"/>
          <w:lang w:eastAsia="en-US"/>
        </w:rPr>
      </w:pPr>
    </w:p>
    <w:p w:rsidR="00681EC7" w:rsidRPr="00681EC7" w:rsidRDefault="00681EC7" w:rsidP="005E613E">
      <w:pPr>
        <w:numPr>
          <w:ilvl w:val="0"/>
          <w:numId w:val="162"/>
        </w:numPr>
        <w:ind w:left="1560" w:right="-851"/>
        <w:contextualSpacing/>
        <w:rPr>
          <w:rFonts w:eastAsia="Calibri"/>
          <w:b/>
          <w:color w:val="000000"/>
          <w:sz w:val="21"/>
          <w:szCs w:val="21"/>
          <w:lang w:eastAsia="en-US"/>
        </w:rPr>
      </w:pPr>
      <w:r w:rsidRPr="00681EC7">
        <w:rPr>
          <w:rFonts w:eastAsia="Calibri"/>
          <w:b/>
          <w:color w:val="000000"/>
          <w:sz w:val="21"/>
          <w:szCs w:val="21"/>
          <w:lang w:eastAsia="en-US"/>
        </w:rPr>
        <w:t xml:space="preserve"> ARTICLE 4 (Concept de contrat de travail)</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 xml:space="preserve">Un contrat de travail est un contrat par lequel un travailleur est obligé, moyennant rémunération, de confier son activité intellectuelle ou manuelle à un employeur, sous son autorité et sa direction. </w:t>
      </w:r>
    </w:p>
    <w:p w:rsidR="00681EC7" w:rsidRPr="00681EC7" w:rsidRDefault="00681EC7" w:rsidP="005E613E">
      <w:pPr>
        <w:ind w:left="-284" w:right="-851"/>
        <w:jc w:val="both"/>
        <w:rPr>
          <w:rFonts w:eastAsia="Calibri"/>
          <w:color w:val="000000"/>
          <w:sz w:val="21"/>
          <w:szCs w:val="21"/>
          <w:lang w:eastAsia="en-US"/>
        </w:rPr>
      </w:pPr>
    </w:p>
    <w:p w:rsidR="00681EC7" w:rsidRPr="00681EC7" w:rsidRDefault="00681EC7" w:rsidP="005E613E">
      <w:pPr>
        <w:numPr>
          <w:ilvl w:val="0"/>
          <w:numId w:val="162"/>
        </w:numPr>
        <w:ind w:left="1560" w:right="-851"/>
        <w:contextualSpacing/>
        <w:rPr>
          <w:rFonts w:eastAsia="Calibri"/>
          <w:b/>
          <w:color w:val="000000"/>
          <w:sz w:val="21"/>
          <w:szCs w:val="21"/>
          <w:lang w:eastAsia="en-US"/>
        </w:rPr>
      </w:pPr>
      <w:r w:rsidRPr="00681EC7">
        <w:rPr>
          <w:rFonts w:eastAsia="Calibri"/>
          <w:b/>
          <w:color w:val="000000"/>
          <w:sz w:val="21"/>
          <w:szCs w:val="21"/>
          <w:lang w:eastAsia="en-US"/>
        </w:rPr>
        <w:t xml:space="preserve"> ARTICLE 7 (Forme du contrat de travail)</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Les contrats de travail sont soumis à la forme écrite, à l'exception de ceux conclus pour l'exécution de tâches spécifiques d'une durée n'excédant pas trente jours.</w:t>
      </w:r>
    </w:p>
    <w:p w:rsidR="00681EC7" w:rsidRPr="00681EC7" w:rsidRDefault="00681EC7" w:rsidP="005E613E">
      <w:pPr>
        <w:ind w:left="-284" w:right="-851"/>
        <w:jc w:val="both"/>
        <w:rPr>
          <w:rFonts w:eastAsia="Calibri"/>
          <w:color w:val="000000"/>
          <w:sz w:val="21"/>
          <w:szCs w:val="21"/>
          <w:lang w:eastAsia="en-US"/>
        </w:rPr>
      </w:pPr>
    </w:p>
    <w:p w:rsidR="00681EC7" w:rsidRPr="00681EC7" w:rsidRDefault="00681EC7" w:rsidP="005E613E">
      <w:pPr>
        <w:numPr>
          <w:ilvl w:val="0"/>
          <w:numId w:val="162"/>
        </w:numPr>
        <w:ind w:left="1560" w:right="-851"/>
        <w:contextualSpacing/>
        <w:rPr>
          <w:rFonts w:eastAsia="Calibri"/>
          <w:b/>
          <w:color w:val="000000"/>
          <w:sz w:val="21"/>
          <w:szCs w:val="21"/>
          <w:lang w:eastAsia="en-US"/>
        </w:rPr>
      </w:pPr>
      <w:r w:rsidRPr="00681EC7">
        <w:rPr>
          <w:rFonts w:eastAsia="Calibri"/>
          <w:b/>
          <w:color w:val="000000"/>
          <w:sz w:val="21"/>
          <w:szCs w:val="21"/>
          <w:lang w:eastAsia="en-US"/>
        </w:rPr>
        <w:t xml:space="preserve"> ARTICLE 9 (Contrat de travail avec et sans terme)</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Le contrat de travail peut être conclu pour une durée indéterminée ou, pour une durée déterminée.</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Le contrat de travail à durée indéterminée est celui qui est signé pour être en vigueur pour une durée illimitée.</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Le contrat de travail à durée déterminée est celui qui est entré en vigueur pour une durée limitée, certaine ou incertaine.</w:t>
      </w:r>
    </w:p>
    <w:p w:rsidR="00681EC7" w:rsidRPr="00681EC7" w:rsidRDefault="00681EC7" w:rsidP="005E613E">
      <w:pPr>
        <w:numPr>
          <w:ilvl w:val="0"/>
          <w:numId w:val="162"/>
        </w:numPr>
        <w:ind w:left="1560" w:right="-851"/>
        <w:contextualSpacing/>
        <w:rPr>
          <w:rFonts w:eastAsia="Calibri"/>
          <w:b/>
          <w:color w:val="000000"/>
          <w:sz w:val="21"/>
          <w:szCs w:val="21"/>
          <w:lang w:eastAsia="en-US"/>
        </w:rPr>
      </w:pPr>
      <w:r w:rsidRPr="00681EC7">
        <w:rPr>
          <w:rFonts w:eastAsia="Calibri"/>
          <w:b/>
          <w:color w:val="000000"/>
          <w:sz w:val="21"/>
          <w:szCs w:val="21"/>
          <w:lang w:eastAsia="en-US"/>
        </w:rPr>
        <w:t xml:space="preserve"> ARTICLE 28 (Changement de catégorie professionnelle)</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L'employeur et le salarié peuvent convenir, à tout moment, de lui attribuer une autre catégorie professionnelle inférieure, sans réduction de salaire.</w:t>
      </w:r>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L'employeur ne peut attribuer un niveau professionnel auquel le travailleur exerce que dans les cas suivants :</w:t>
      </w:r>
    </w:p>
    <w:p w:rsidR="00681EC7" w:rsidRPr="00681EC7" w:rsidRDefault="00681EC7" w:rsidP="005E613E">
      <w:pPr>
        <w:ind w:left="-284" w:right="-851"/>
        <w:jc w:val="both"/>
        <w:rPr>
          <w:rFonts w:eastAsia="Calibri"/>
          <w:color w:val="000000"/>
          <w:sz w:val="21"/>
          <w:szCs w:val="21"/>
          <w:lang w:eastAsia="en-US"/>
        </w:rPr>
      </w:pPr>
    </w:p>
    <w:p w:rsidR="00681EC7" w:rsidRPr="00681EC7" w:rsidRDefault="00681EC7" w:rsidP="005E613E">
      <w:pPr>
        <w:numPr>
          <w:ilvl w:val="0"/>
          <w:numId w:val="163"/>
        </w:numPr>
        <w:ind w:left="993" w:right="-851"/>
        <w:contextualSpacing/>
        <w:jc w:val="both"/>
        <w:rPr>
          <w:rFonts w:eastAsia="Calibri"/>
          <w:color w:val="000000"/>
          <w:sz w:val="21"/>
          <w:szCs w:val="21"/>
          <w:lang w:eastAsia="en-US"/>
        </w:rPr>
      </w:pPr>
      <w:r w:rsidRPr="00681EC7">
        <w:rPr>
          <w:rFonts w:eastAsia="Calibri"/>
          <w:color w:val="000000"/>
          <w:sz w:val="21"/>
          <w:szCs w:val="21"/>
          <w:lang w:eastAsia="en-US"/>
        </w:rPr>
        <w:t>Lorsque le poste est éteint ou pour des raisons de réorganisation de l'entreprise, les conditions d'exercice technique du poste sont sensiblement modifiées, acceptant de rester dans l'entreprise dans une autre catégorie professionnelle qui lui est proposée ;</w:t>
      </w:r>
    </w:p>
    <w:p w:rsidR="00681EC7" w:rsidRPr="00681EC7" w:rsidRDefault="00681EC7" w:rsidP="005E613E">
      <w:pPr>
        <w:numPr>
          <w:ilvl w:val="0"/>
          <w:numId w:val="163"/>
        </w:numPr>
        <w:ind w:left="993" w:right="-851"/>
        <w:contextualSpacing/>
        <w:jc w:val="both"/>
        <w:rPr>
          <w:rFonts w:eastAsia="Calibri"/>
          <w:color w:val="000000"/>
          <w:sz w:val="21"/>
          <w:szCs w:val="21"/>
          <w:lang w:eastAsia="en-US"/>
        </w:rPr>
      </w:pPr>
      <w:r w:rsidRPr="00681EC7">
        <w:rPr>
          <w:rFonts w:eastAsia="Calibri"/>
          <w:color w:val="000000"/>
          <w:sz w:val="21"/>
          <w:szCs w:val="21"/>
          <w:lang w:eastAsia="en-US"/>
        </w:rPr>
        <w:t>Lorsque, en raison d'un accident du travail ou d'une maladie professionnelle, l'accomplissement des tâches correspondant à la catégorie professionnelle du travailleur devient impraticable et qu'il accepte de rester dans l'entreprise avec une autre catégorie professionnelle qui lui est proposée ;</w:t>
      </w:r>
    </w:p>
    <w:p w:rsidR="00681EC7" w:rsidRDefault="00681EC7" w:rsidP="005E613E">
      <w:pPr>
        <w:numPr>
          <w:ilvl w:val="0"/>
          <w:numId w:val="163"/>
        </w:numPr>
        <w:ind w:left="993" w:right="-851"/>
        <w:contextualSpacing/>
        <w:jc w:val="both"/>
        <w:rPr>
          <w:rFonts w:eastAsia="Calibri"/>
          <w:color w:val="000000"/>
          <w:sz w:val="21"/>
          <w:szCs w:val="21"/>
          <w:lang w:eastAsia="en-US"/>
        </w:rPr>
      </w:pPr>
      <w:r w:rsidRPr="00681EC7">
        <w:rPr>
          <w:rFonts w:eastAsia="Calibri"/>
          <w:color w:val="000000"/>
          <w:sz w:val="21"/>
          <w:szCs w:val="21"/>
          <w:lang w:eastAsia="en-US"/>
        </w:rPr>
        <w:t>Lorsqu'il s'agit de l'incapacité manifeste du travailleur aux fonctions adaptées et qu'il accepte de rester dans l'entreprise avec une autre catégorie professionnelle qui lui est proposée.</w:t>
      </w:r>
    </w:p>
    <w:p w:rsidR="009A16FC" w:rsidRPr="00681EC7" w:rsidRDefault="009A16FC" w:rsidP="005E613E">
      <w:pPr>
        <w:ind w:left="436" w:right="-851"/>
        <w:contextualSpacing/>
        <w:jc w:val="both"/>
        <w:rPr>
          <w:rFonts w:eastAsia="Calibri"/>
          <w:color w:val="000000"/>
          <w:sz w:val="21"/>
          <w:szCs w:val="21"/>
          <w:lang w:eastAsia="en-US"/>
        </w:rPr>
      </w:pPr>
    </w:p>
    <w:p w:rsidR="00D9290D" w:rsidRPr="009A16FC" w:rsidRDefault="00D9290D" w:rsidP="005E613E">
      <w:pPr>
        <w:numPr>
          <w:ilvl w:val="0"/>
          <w:numId w:val="162"/>
        </w:numPr>
        <w:ind w:left="1560" w:right="-851"/>
        <w:contextualSpacing/>
        <w:rPr>
          <w:rFonts w:eastAsia="Calibri"/>
          <w:b/>
          <w:color w:val="000000"/>
          <w:sz w:val="21"/>
          <w:szCs w:val="21"/>
          <w:lang w:eastAsia="en-US"/>
        </w:rPr>
      </w:pPr>
      <w:r w:rsidRPr="009A16FC">
        <w:rPr>
          <w:rFonts w:eastAsia="Calibri"/>
          <w:b/>
          <w:color w:val="000000"/>
          <w:sz w:val="21"/>
          <w:szCs w:val="21"/>
          <w:lang w:eastAsia="en-US"/>
        </w:rPr>
        <w:t>ARTICLE 29 : Transfert de travailleurs vers une autre localité</w:t>
      </w:r>
    </w:p>
    <w:p w:rsidR="00D9290D" w:rsidRPr="009A16FC" w:rsidRDefault="00D9290D" w:rsidP="005E613E">
      <w:pPr>
        <w:numPr>
          <w:ilvl w:val="0"/>
          <w:numId w:val="163"/>
        </w:numPr>
        <w:ind w:left="993" w:right="-851"/>
        <w:contextualSpacing/>
        <w:jc w:val="both"/>
        <w:rPr>
          <w:rFonts w:eastAsia="Calibri"/>
          <w:color w:val="000000"/>
          <w:sz w:val="21"/>
          <w:szCs w:val="21"/>
          <w:lang w:eastAsia="en-US"/>
        </w:rPr>
      </w:pPr>
      <w:r w:rsidRPr="009A16FC">
        <w:rPr>
          <w:rFonts w:eastAsia="Calibri"/>
          <w:color w:val="000000"/>
          <w:sz w:val="21"/>
          <w:szCs w:val="21"/>
          <w:lang w:eastAsia="en-US"/>
        </w:rPr>
        <w:t>L’employeur ne peut pas, sans l’accord du travailleur, déplacer son lieu de travail à un autre endroit et, à moins qu’il n’y ait un transfert total ou partiel de l’entreprise où il fournit le service</w:t>
      </w:r>
    </w:p>
    <w:p w:rsidR="00D9290D" w:rsidRPr="009A16FC" w:rsidRDefault="00D9290D" w:rsidP="005E613E">
      <w:pPr>
        <w:numPr>
          <w:ilvl w:val="0"/>
          <w:numId w:val="163"/>
        </w:numPr>
        <w:ind w:left="993" w:right="-851"/>
        <w:contextualSpacing/>
        <w:jc w:val="both"/>
        <w:rPr>
          <w:rFonts w:eastAsia="Calibri"/>
          <w:color w:val="000000"/>
          <w:sz w:val="21"/>
          <w:szCs w:val="21"/>
          <w:lang w:eastAsia="en-US"/>
        </w:rPr>
      </w:pPr>
      <w:r w:rsidRPr="009A16FC">
        <w:rPr>
          <w:rFonts w:eastAsia="Calibri"/>
          <w:color w:val="000000"/>
          <w:sz w:val="21"/>
          <w:szCs w:val="21"/>
          <w:lang w:eastAsia="en-US"/>
        </w:rPr>
        <w:t>Le changement de lieu de travail implique le paiement au travailleur des frais de transport et autres directement imposés par le transfert.</w:t>
      </w:r>
    </w:p>
    <w:p w:rsidR="00D9290D" w:rsidRDefault="00D9290D" w:rsidP="005E613E">
      <w:pPr>
        <w:numPr>
          <w:ilvl w:val="0"/>
          <w:numId w:val="163"/>
        </w:numPr>
        <w:ind w:left="993" w:right="-851"/>
        <w:contextualSpacing/>
        <w:jc w:val="both"/>
        <w:rPr>
          <w:rFonts w:eastAsia="Calibri"/>
          <w:color w:val="000000"/>
          <w:sz w:val="21"/>
          <w:szCs w:val="21"/>
          <w:lang w:eastAsia="en-US"/>
        </w:rPr>
      </w:pPr>
      <w:r w:rsidRPr="009A16FC">
        <w:rPr>
          <w:rFonts w:eastAsia="Calibri"/>
          <w:color w:val="000000"/>
          <w:sz w:val="21"/>
          <w:szCs w:val="21"/>
          <w:lang w:eastAsia="en-US"/>
        </w:rPr>
        <w:t>Dans le cas de la dernière partie du paragraphe 1, le travailleur peut résilier le contrat de travail et avoir droit à une indemnisation prévue dans l’article 129 (3)</w:t>
      </w:r>
    </w:p>
    <w:p w:rsidR="00CF7284" w:rsidRPr="009A16FC" w:rsidRDefault="00CF7284" w:rsidP="005E613E">
      <w:pPr>
        <w:ind w:left="436" w:right="-851"/>
        <w:contextualSpacing/>
        <w:jc w:val="both"/>
        <w:rPr>
          <w:rFonts w:eastAsia="Calibri"/>
          <w:color w:val="000000"/>
          <w:sz w:val="21"/>
          <w:szCs w:val="21"/>
          <w:lang w:eastAsia="en-US"/>
        </w:rPr>
      </w:pPr>
    </w:p>
    <w:p w:rsidR="006062C5" w:rsidRPr="006062C5" w:rsidRDefault="006062C5" w:rsidP="005E613E">
      <w:pPr>
        <w:numPr>
          <w:ilvl w:val="0"/>
          <w:numId w:val="162"/>
        </w:numPr>
        <w:ind w:left="1560" w:right="-851"/>
        <w:contextualSpacing/>
        <w:rPr>
          <w:rFonts w:eastAsia="Calibri"/>
          <w:b/>
          <w:color w:val="000000"/>
          <w:sz w:val="21"/>
          <w:szCs w:val="21"/>
          <w:lang w:eastAsia="en-US"/>
        </w:rPr>
      </w:pPr>
      <w:r w:rsidRPr="006062C5">
        <w:rPr>
          <w:rFonts w:eastAsia="Calibri"/>
          <w:b/>
          <w:color w:val="000000"/>
          <w:sz w:val="21"/>
          <w:szCs w:val="21"/>
          <w:lang w:eastAsia="en-US"/>
        </w:rPr>
        <w:t>ARTICLE 47 : Heures de travail</w:t>
      </w:r>
    </w:p>
    <w:p w:rsidR="006062C5" w:rsidRPr="006062C5" w:rsidRDefault="006062C5" w:rsidP="005E613E">
      <w:pPr>
        <w:numPr>
          <w:ilvl w:val="0"/>
          <w:numId w:val="163"/>
        </w:numPr>
        <w:ind w:left="993" w:right="-851"/>
        <w:contextualSpacing/>
        <w:jc w:val="both"/>
        <w:rPr>
          <w:rFonts w:eastAsia="Calibri"/>
          <w:color w:val="000000"/>
          <w:sz w:val="21"/>
          <w:szCs w:val="21"/>
          <w:lang w:eastAsia="en-US"/>
        </w:rPr>
      </w:pPr>
      <w:r w:rsidRPr="006062C5">
        <w:rPr>
          <w:rFonts w:eastAsia="Calibri"/>
          <w:color w:val="000000"/>
          <w:sz w:val="21"/>
          <w:szCs w:val="21"/>
          <w:lang w:eastAsia="en-US"/>
        </w:rPr>
        <w:t>Comprendre par horaire de travail la détermination des heures de début et de fin de la période de travail quotidienne normale, ainsi que les pauses.</w:t>
      </w:r>
    </w:p>
    <w:p w:rsidR="006062C5" w:rsidRPr="006062C5" w:rsidRDefault="006062C5" w:rsidP="005E613E">
      <w:pPr>
        <w:numPr>
          <w:ilvl w:val="0"/>
          <w:numId w:val="163"/>
        </w:numPr>
        <w:ind w:left="993" w:right="-851"/>
        <w:contextualSpacing/>
        <w:jc w:val="both"/>
        <w:rPr>
          <w:rFonts w:eastAsia="Calibri"/>
          <w:color w:val="000000"/>
          <w:sz w:val="21"/>
          <w:szCs w:val="21"/>
          <w:lang w:eastAsia="en-US"/>
        </w:rPr>
      </w:pPr>
      <w:r w:rsidRPr="006062C5">
        <w:rPr>
          <w:rFonts w:eastAsia="Calibri"/>
          <w:color w:val="000000"/>
          <w:sz w:val="21"/>
          <w:szCs w:val="21"/>
          <w:lang w:eastAsia="en-US"/>
        </w:rPr>
        <w:t>Les travailleurs doivent occuper leurs postes de travail au début de la période normale de travail et ne doivent considérer que le travail terminé à l'heure fixée pour sa cessation.</w:t>
      </w:r>
    </w:p>
    <w:p w:rsidR="006062C5" w:rsidRDefault="006062C5" w:rsidP="005E613E">
      <w:pPr>
        <w:numPr>
          <w:ilvl w:val="0"/>
          <w:numId w:val="163"/>
        </w:numPr>
        <w:ind w:left="993" w:right="-851"/>
        <w:contextualSpacing/>
        <w:jc w:val="both"/>
        <w:rPr>
          <w:rFonts w:eastAsia="Calibri"/>
          <w:color w:val="000000"/>
          <w:sz w:val="21"/>
          <w:szCs w:val="21"/>
          <w:lang w:eastAsia="en-US"/>
        </w:rPr>
      </w:pPr>
      <w:r w:rsidRPr="006062C5">
        <w:rPr>
          <w:rFonts w:eastAsia="Calibri"/>
          <w:color w:val="000000"/>
          <w:sz w:val="21"/>
          <w:szCs w:val="21"/>
          <w:lang w:eastAsia="en-US"/>
        </w:rPr>
        <w:t>Il doit y avoir une tolérance de de quinze minutes pour les transactions, les opérations et les services commencés et non terminés dans de la période normale de travail quotidien, mais cette tolérance n’est pas autorisée à devenir une pratique courante.</w:t>
      </w:r>
    </w:p>
    <w:p w:rsidR="004A4E2F" w:rsidRPr="006062C5" w:rsidRDefault="004A4E2F" w:rsidP="005E613E">
      <w:pPr>
        <w:ind w:left="436" w:right="-851"/>
        <w:contextualSpacing/>
        <w:jc w:val="both"/>
        <w:rPr>
          <w:rFonts w:eastAsia="Calibri"/>
          <w:color w:val="000000"/>
          <w:sz w:val="21"/>
          <w:szCs w:val="21"/>
          <w:lang w:eastAsia="en-US"/>
        </w:rPr>
      </w:pPr>
    </w:p>
    <w:p w:rsidR="004A4E2F" w:rsidRPr="004A4E2F" w:rsidRDefault="004A4E2F" w:rsidP="005E613E">
      <w:pPr>
        <w:numPr>
          <w:ilvl w:val="0"/>
          <w:numId w:val="162"/>
        </w:numPr>
        <w:ind w:left="1560" w:right="-851"/>
        <w:contextualSpacing/>
        <w:rPr>
          <w:rFonts w:eastAsia="Calibri"/>
          <w:b/>
          <w:color w:val="000000"/>
          <w:sz w:val="21"/>
          <w:szCs w:val="21"/>
          <w:lang w:eastAsia="en-US"/>
        </w:rPr>
      </w:pPr>
      <w:r w:rsidRPr="004A4E2F">
        <w:rPr>
          <w:rFonts w:eastAsia="Calibri"/>
          <w:b/>
          <w:color w:val="000000"/>
          <w:sz w:val="21"/>
          <w:szCs w:val="21"/>
          <w:lang w:eastAsia="en-US"/>
        </w:rPr>
        <w:t xml:space="preserve">ARTICLE 155 : </w:t>
      </w:r>
      <w:r w:rsidR="007667BC" w:rsidRPr="007667BC">
        <w:rPr>
          <w:rFonts w:eastAsia="Calibri"/>
          <w:b/>
          <w:color w:val="000000"/>
          <w:sz w:val="21"/>
          <w:szCs w:val="21"/>
          <w:lang w:eastAsia="en-US"/>
        </w:rPr>
        <w:t>TRAVAIL DES FEMMES</w:t>
      </w:r>
    </w:p>
    <w:p w:rsidR="004A4E2F" w:rsidRPr="004A4E2F" w:rsidRDefault="004A4E2F" w:rsidP="005E613E">
      <w:pPr>
        <w:numPr>
          <w:ilvl w:val="0"/>
          <w:numId w:val="163"/>
        </w:numPr>
        <w:ind w:left="993" w:right="-851"/>
        <w:contextualSpacing/>
        <w:jc w:val="both"/>
        <w:rPr>
          <w:rFonts w:eastAsia="Calibri"/>
          <w:color w:val="000000"/>
          <w:sz w:val="21"/>
          <w:szCs w:val="21"/>
          <w:lang w:eastAsia="en-US"/>
        </w:rPr>
      </w:pPr>
      <w:r w:rsidRPr="004A4E2F">
        <w:rPr>
          <w:rFonts w:eastAsia="Calibri"/>
          <w:color w:val="000000"/>
          <w:sz w:val="21"/>
          <w:szCs w:val="21"/>
          <w:lang w:eastAsia="en-US"/>
        </w:rPr>
        <w:t>Garantir l'égalité des femmes et des hommes en matière de chances et de traitement en matière d'emploi et de travail</w:t>
      </w:r>
    </w:p>
    <w:p w:rsidR="004A4E2F" w:rsidRPr="004A4E2F" w:rsidRDefault="004A4E2F" w:rsidP="005E613E">
      <w:pPr>
        <w:numPr>
          <w:ilvl w:val="0"/>
          <w:numId w:val="163"/>
        </w:numPr>
        <w:ind w:left="993" w:right="-851"/>
        <w:contextualSpacing/>
        <w:jc w:val="both"/>
        <w:rPr>
          <w:rFonts w:eastAsia="Calibri"/>
          <w:color w:val="000000"/>
          <w:sz w:val="21"/>
          <w:szCs w:val="21"/>
          <w:lang w:eastAsia="en-US"/>
        </w:rPr>
      </w:pPr>
      <w:r w:rsidRPr="004A4E2F">
        <w:rPr>
          <w:rFonts w:eastAsia="Calibri"/>
          <w:color w:val="000000"/>
          <w:sz w:val="21"/>
          <w:szCs w:val="21"/>
          <w:lang w:eastAsia="en-US"/>
        </w:rPr>
        <w:t>L’égalité implique l’absence de toute discrimination fondée sur le sexe, qu’elle soit directe ou indirecte, notamment par référence au statut civil ou à une situation familiale.</w:t>
      </w:r>
    </w:p>
    <w:p w:rsidR="004A4E2F" w:rsidRPr="004A4E2F" w:rsidRDefault="004A4E2F" w:rsidP="005E613E">
      <w:pPr>
        <w:numPr>
          <w:ilvl w:val="0"/>
          <w:numId w:val="163"/>
        </w:numPr>
        <w:ind w:left="993" w:right="-851"/>
        <w:contextualSpacing/>
        <w:jc w:val="both"/>
        <w:rPr>
          <w:rFonts w:eastAsia="Calibri"/>
          <w:color w:val="000000"/>
          <w:sz w:val="21"/>
          <w:szCs w:val="21"/>
          <w:lang w:eastAsia="en-US"/>
        </w:rPr>
      </w:pPr>
      <w:r w:rsidRPr="004A4E2F">
        <w:rPr>
          <w:rFonts w:eastAsia="Calibri"/>
          <w:color w:val="000000"/>
          <w:sz w:val="21"/>
          <w:szCs w:val="21"/>
          <w:lang w:eastAsia="en-US"/>
        </w:rPr>
        <w:t>Les femmes ont un accès garanti à tout emploi, profession ou emploi n’impliquant pas de risques réels ou potentiels pour la fonction génétique.</w:t>
      </w:r>
    </w:p>
    <w:p w:rsidR="004A4E2F" w:rsidRPr="004A4E2F" w:rsidRDefault="004A4E2F" w:rsidP="005E613E">
      <w:pPr>
        <w:numPr>
          <w:ilvl w:val="0"/>
          <w:numId w:val="163"/>
        </w:numPr>
        <w:ind w:left="993" w:right="-851"/>
        <w:contextualSpacing/>
        <w:jc w:val="both"/>
        <w:rPr>
          <w:rFonts w:eastAsia="Calibri"/>
          <w:color w:val="000000"/>
          <w:sz w:val="21"/>
          <w:szCs w:val="21"/>
          <w:lang w:eastAsia="en-US"/>
        </w:rPr>
      </w:pPr>
      <w:r w:rsidRPr="004A4E2F">
        <w:rPr>
          <w:rFonts w:eastAsia="Calibri"/>
          <w:color w:val="000000"/>
          <w:sz w:val="21"/>
          <w:szCs w:val="21"/>
          <w:lang w:eastAsia="en-US"/>
        </w:rPr>
        <w:t>Une législation complémentaire établira les conditions ou interdictions d’embaucher des femmes pour des travaux lourds, des travaux exécutés dans des conditions insalubres ou des travaux souterrains, ou d’autres qui sont nuisibles à la fonction génétique d’une femme.</w:t>
      </w:r>
    </w:p>
    <w:p w:rsidR="007667BC" w:rsidRPr="007667BC" w:rsidRDefault="007667BC" w:rsidP="005E613E">
      <w:pPr>
        <w:numPr>
          <w:ilvl w:val="0"/>
          <w:numId w:val="162"/>
        </w:numPr>
        <w:ind w:left="1560" w:right="-851"/>
        <w:contextualSpacing/>
        <w:rPr>
          <w:rFonts w:eastAsia="Calibri"/>
          <w:b/>
          <w:color w:val="000000"/>
          <w:sz w:val="21"/>
          <w:szCs w:val="21"/>
          <w:lang w:eastAsia="en-US"/>
        </w:rPr>
      </w:pPr>
      <w:r w:rsidRPr="007667BC">
        <w:rPr>
          <w:rFonts w:eastAsia="Calibri"/>
          <w:b/>
          <w:color w:val="000000"/>
          <w:sz w:val="21"/>
          <w:szCs w:val="21"/>
          <w:lang w:eastAsia="en-US"/>
        </w:rPr>
        <w:t xml:space="preserve">ARTICLE 98 : Rémunération du travail exceptionnel </w:t>
      </w:r>
    </w:p>
    <w:p w:rsidR="007667BC" w:rsidRPr="007667BC" w:rsidRDefault="007667BC" w:rsidP="005E613E">
      <w:pPr>
        <w:numPr>
          <w:ilvl w:val="0"/>
          <w:numId w:val="163"/>
        </w:numPr>
        <w:ind w:left="993" w:right="-851"/>
        <w:contextualSpacing/>
        <w:jc w:val="both"/>
        <w:rPr>
          <w:rFonts w:eastAsia="Calibri"/>
          <w:color w:val="000000"/>
          <w:sz w:val="21"/>
          <w:szCs w:val="21"/>
          <w:lang w:eastAsia="en-US"/>
        </w:rPr>
      </w:pPr>
      <w:r w:rsidRPr="007667BC">
        <w:rPr>
          <w:rFonts w:eastAsia="Calibri"/>
          <w:color w:val="000000"/>
          <w:sz w:val="21"/>
          <w:szCs w:val="21"/>
          <w:lang w:eastAsia="en-US"/>
        </w:rPr>
        <w:t>La rémunération du travail exceptionnel n’est pas considérée comme une rémunération à moins qu’elle ne soit fournie régulièrement.</w:t>
      </w:r>
    </w:p>
    <w:p w:rsidR="007667BC" w:rsidRPr="007667BC" w:rsidRDefault="007667BC" w:rsidP="005E613E">
      <w:pPr>
        <w:numPr>
          <w:ilvl w:val="0"/>
          <w:numId w:val="163"/>
        </w:numPr>
        <w:ind w:left="993" w:right="-851"/>
        <w:contextualSpacing/>
        <w:jc w:val="both"/>
        <w:rPr>
          <w:rFonts w:eastAsia="Calibri"/>
          <w:color w:val="000000"/>
          <w:sz w:val="21"/>
          <w:szCs w:val="21"/>
          <w:lang w:eastAsia="en-US"/>
        </w:rPr>
      </w:pPr>
      <w:r w:rsidRPr="007667BC">
        <w:rPr>
          <w:rFonts w:eastAsia="Calibri"/>
          <w:color w:val="000000"/>
          <w:sz w:val="21"/>
          <w:szCs w:val="21"/>
          <w:lang w:eastAsia="en-US"/>
        </w:rPr>
        <w:t>On entend par travail exceptionnel le travail supplémentaire, le travail effectué les jours de repos hebdomadaires ou les jours fériés et le travail de nuit occasionnel.</w:t>
      </w:r>
    </w:p>
    <w:p w:rsidR="00681EC7" w:rsidRPr="00681EC7" w:rsidRDefault="00681EC7" w:rsidP="005E613E">
      <w:pPr>
        <w:ind w:right="-851"/>
        <w:rPr>
          <w:rFonts w:eastAsia="Calibri"/>
        </w:rPr>
      </w:pPr>
    </w:p>
    <w:p w:rsidR="00681EC7" w:rsidRPr="003B49CE" w:rsidRDefault="00681EC7" w:rsidP="005E613E">
      <w:pPr>
        <w:numPr>
          <w:ilvl w:val="0"/>
          <w:numId w:val="162"/>
        </w:numPr>
        <w:ind w:left="1560" w:right="-851"/>
        <w:contextualSpacing/>
        <w:rPr>
          <w:rFonts w:eastAsia="Calibri"/>
          <w:b/>
          <w:color w:val="000000"/>
          <w:sz w:val="21"/>
          <w:szCs w:val="21"/>
          <w:lang w:eastAsia="en-US"/>
        </w:rPr>
      </w:pPr>
      <w:r w:rsidRPr="003B49CE">
        <w:rPr>
          <w:rFonts w:eastAsia="Calibri"/>
          <w:b/>
          <w:color w:val="000000"/>
          <w:sz w:val="21"/>
          <w:szCs w:val="21"/>
          <w:lang w:eastAsia="en-US"/>
        </w:rPr>
        <w:t xml:space="preserve">Norme environnementale et sociale N°2 ‘’Main-d’œuvre et conditions de travail’’ et le cadre juridique National. </w:t>
      </w:r>
    </w:p>
    <w:p w:rsidR="00681EC7" w:rsidRPr="00681EC7" w:rsidRDefault="00681EC7" w:rsidP="005E613E">
      <w:pPr>
        <w:ind w:left="567" w:right="-851"/>
        <w:jc w:val="both"/>
        <w:rPr>
          <w:rFonts w:eastAsia="Calibri"/>
          <w:color w:val="000000"/>
          <w:sz w:val="21"/>
          <w:szCs w:val="21"/>
          <w:lang w:eastAsia="en-US"/>
        </w:rPr>
      </w:pPr>
      <w:r w:rsidRPr="00681EC7">
        <w:rPr>
          <w:rFonts w:eastAsia="Calibri"/>
          <w:color w:val="000000"/>
          <w:sz w:val="21"/>
          <w:szCs w:val="21"/>
          <w:lang w:eastAsia="en-US"/>
        </w:rPr>
        <w:t xml:space="preserve">La NES n°2 de la Banque Mondiale et le cadre national sont concordants sur les conditions de travail et d’emploi (la rémunération et salaires, les congés), les mesures de protection des catégories vulnérables de travailleurs, le travail des enfants et l’âge minium des travailleurs, le caractère du mécanisme de la gestion des plaintes et autres moyens de recours, la santé et sécurité du travail tels que sa mise en œuvre, les cantines et installations sanitaires, les zones de repos, les services d’hébergement, la collaboration des employeurs en matière de SST et le système d’examen de SST. </w:t>
      </w:r>
    </w:p>
    <w:p w:rsidR="00681EC7" w:rsidRPr="00681EC7" w:rsidRDefault="00681EC7" w:rsidP="005E613E">
      <w:pPr>
        <w:ind w:left="567" w:right="-851"/>
        <w:jc w:val="both"/>
        <w:rPr>
          <w:rFonts w:eastAsia="Calibri"/>
          <w:color w:val="000000"/>
          <w:sz w:val="21"/>
          <w:szCs w:val="21"/>
          <w:lang w:eastAsia="en-US"/>
        </w:rPr>
      </w:pPr>
    </w:p>
    <w:p w:rsidR="00681EC7" w:rsidRPr="00681EC7" w:rsidRDefault="00681EC7" w:rsidP="005E613E">
      <w:pPr>
        <w:ind w:left="567" w:right="-851"/>
        <w:jc w:val="both"/>
        <w:rPr>
          <w:rFonts w:eastAsia="Calibri"/>
          <w:color w:val="000000"/>
          <w:sz w:val="21"/>
          <w:szCs w:val="21"/>
          <w:lang w:eastAsia="en-US"/>
        </w:rPr>
      </w:pPr>
      <w:r w:rsidRPr="00681EC7">
        <w:rPr>
          <w:rFonts w:eastAsia="Calibri"/>
          <w:color w:val="000000"/>
          <w:sz w:val="21"/>
          <w:szCs w:val="21"/>
          <w:lang w:eastAsia="en-US"/>
        </w:rPr>
        <w:t xml:space="preserve">La NES n°2 et le cadre national se complètent sur la protection de toutes les catégories de travailleurs régis ou non par la loi, les conditions de travail et gestion de la relation de travail surtout l’élaboration de procédure de gestion de ressources humaines, les informations et documents sur les conditions de l’emploi qui sont plus explicites et personnelles pour le NES 2, l’information sur les indemnisations de départ lors d’un licenciement ou fin de la relation de travail, l’application des principes de non- discrimination – d’égalité des chance dans les relations de travail et la lutte contre le harcèlement. </w:t>
      </w:r>
    </w:p>
    <w:p w:rsidR="00681EC7" w:rsidRPr="00681EC7" w:rsidRDefault="00681EC7" w:rsidP="005E613E">
      <w:pPr>
        <w:ind w:right="-851"/>
        <w:rPr>
          <w:rFonts w:eastAsia="Calibri"/>
        </w:rPr>
      </w:pPr>
    </w:p>
    <w:p w:rsidR="00681EC7" w:rsidRPr="00681EC7" w:rsidRDefault="00681EC7" w:rsidP="005E613E">
      <w:pPr>
        <w:numPr>
          <w:ilvl w:val="0"/>
          <w:numId w:val="159"/>
        </w:numPr>
        <w:ind w:left="709" w:right="-851"/>
        <w:contextualSpacing/>
        <w:outlineLvl w:val="1"/>
        <w:rPr>
          <w:rFonts w:eastAsia="Times New Roman"/>
          <w:b/>
          <w:bCs/>
          <w:sz w:val="22"/>
          <w:szCs w:val="22"/>
          <w:lang w:val="en-US" w:eastAsia="es-ES"/>
        </w:rPr>
      </w:pPr>
      <w:bookmarkStart w:id="447" w:name="_Toc67508580"/>
      <w:bookmarkStart w:id="448" w:name="_Toc69918768"/>
      <w:bookmarkStart w:id="449" w:name="_Toc73459815"/>
      <w:r w:rsidRPr="00681EC7">
        <w:rPr>
          <w:rFonts w:eastAsia="Times New Roman"/>
          <w:b/>
          <w:bCs/>
          <w:sz w:val="22"/>
          <w:szCs w:val="22"/>
          <w:lang w:val="en-US" w:eastAsia="es-ES"/>
        </w:rPr>
        <w:t>PERSONNEL RESPONSABLE</w:t>
      </w:r>
      <w:bookmarkEnd w:id="447"/>
      <w:bookmarkEnd w:id="448"/>
      <w:bookmarkEnd w:id="449"/>
    </w:p>
    <w:p w:rsidR="00681EC7" w:rsidRPr="00681EC7" w:rsidRDefault="00681EC7" w:rsidP="005E613E">
      <w:pPr>
        <w:ind w:left="567" w:right="-851"/>
        <w:jc w:val="both"/>
        <w:rPr>
          <w:rFonts w:eastAsia="Calibri"/>
          <w:color w:val="000000"/>
          <w:sz w:val="21"/>
          <w:szCs w:val="21"/>
          <w:lang w:eastAsia="en-US"/>
        </w:rPr>
      </w:pPr>
      <w:r w:rsidRPr="00681EC7">
        <w:rPr>
          <w:rFonts w:eastAsia="Calibri"/>
          <w:color w:val="000000"/>
          <w:sz w:val="21"/>
          <w:szCs w:val="21"/>
          <w:lang w:eastAsia="en-US"/>
        </w:rPr>
        <w:t xml:space="preserve">Le tableau ci-après montre à quelles fonctions et/ou personnes correspondent certaines responsabilités clés dans le cadre du projet. </w:t>
      </w:r>
    </w:p>
    <w:p w:rsidR="00681EC7" w:rsidRPr="00681EC7" w:rsidRDefault="00681EC7" w:rsidP="005E613E">
      <w:pPr>
        <w:ind w:left="567" w:right="-851"/>
        <w:jc w:val="both"/>
        <w:rPr>
          <w:rFonts w:eastAsia="Calibri"/>
          <w:color w:val="000000"/>
          <w:sz w:val="21"/>
          <w:szCs w:val="21"/>
          <w:lang w:eastAsia="en-US"/>
        </w:rPr>
      </w:pPr>
      <w:r w:rsidRPr="00681EC7">
        <w:rPr>
          <w:rFonts w:eastAsia="Calibri"/>
          <w:color w:val="000000"/>
          <w:sz w:val="21"/>
          <w:szCs w:val="21"/>
          <w:lang w:eastAsia="en-US"/>
        </w:rPr>
        <w:t xml:space="preserve">Tableau 4. Personnel responsable du projet </w:t>
      </w:r>
    </w:p>
    <w:p w:rsidR="00681EC7" w:rsidRPr="00681EC7" w:rsidRDefault="00681EC7" w:rsidP="001550EE">
      <w:pPr>
        <w:ind w:left="567" w:right="-851"/>
        <w:jc w:val="both"/>
        <w:rPr>
          <w:rFonts w:eastAsia="Calibri"/>
          <w:color w:val="000000"/>
          <w:sz w:val="21"/>
          <w:szCs w:val="21"/>
          <w:lang w:eastAsia="en-US"/>
        </w:rPr>
      </w:pPr>
    </w:p>
    <w:tbl>
      <w:tblPr>
        <w:tblStyle w:val="Grilledutableau2"/>
        <w:tblW w:w="9919" w:type="dxa"/>
        <w:jc w:val="center"/>
        <w:tblLook w:val="04A0" w:firstRow="1" w:lastRow="0" w:firstColumn="1" w:lastColumn="0" w:noHBand="0" w:noVBand="1"/>
      </w:tblPr>
      <w:tblGrid>
        <w:gridCol w:w="2831"/>
        <w:gridCol w:w="7088"/>
      </w:tblGrid>
      <w:tr w:rsidR="00681EC7" w:rsidRPr="00681EC7" w:rsidTr="001550EE">
        <w:trPr>
          <w:jc w:val="center"/>
        </w:trPr>
        <w:tc>
          <w:tcPr>
            <w:tcW w:w="9919" w:type="dxa"/>
            <w:gridSpan w:val="2"/>
          </w:tcPr>
          <w:p w:rsidR="00681EC7" w:rsidRPr="00681EC7" w:rsidRDefault="00681EC7" w:rsidP="00681EC7">
            <w:pPr>
              <w:widowControl w:val="0"/>
              <w:autoSpaceDE w:val="0"/>
              <w:autoSpaceDN w:val="0"/>
              <w:adjustRightInd w:val="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Personnel responsable du projet PUSA</w:t>
            </w:r>
          </w:p>
        </w:tc>
      </w:tr>
      <w:tr w:rsidR="00681EC7" w:rsidRPr="00681EC7" w:rsidTr="001550EE">
        <w:trPr>
          <w:jc w:val="center"/>
        </w:trPr>
        <w:tc>
          <w:tcPr>
            <w:tcW w:w="2831" w:type="dxa"/>
          </w:tcPr>
          <w:p w:rsidR="00681EC7" w:rsidRPr="00681EC7" w:rsidRDefault="00681EC7" w:rsidP="00681EC7">
            <w:pPr>
              <w:widowControl w:val="0"/>
              <w:autoSpaceDE w:val="0"/>
              <w:autoSpaceDN w:val="0"/>
              <w:adjustRightInd w:val="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Fonctions et/ou personnes </w:t>
            </w:r>
          </w:p>
        </w:tc>
        <w:tc>
          <w:tcPr>
            <w:tcW w:w="7088" w:type="dxa"/>
          </w:tcPr>
          <w:p w:rsidR="00681EC7" w:rsidRPr="00681EC7" w:rsidRDefault="00681EC7" w:rsidP="00681EC7">
            <w:pPr>
              <w:widowControl w:val="0"/>
              <w:autoSpaceDE w:val="0"/>
              <w:autoSpaceDN w:val="0"/>
              <w:adjustRightInd w:val="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Responsabilités</w:t>
            </w:r>
          </w:p>
        </w:tc>
      </w:tr>
      <w:tr w:rsidR="00681EC7" w:rsidRPr="00681EC7" w:rsidTr="001550EE">
        <w:trPr>
          <w:jc w:val="center"/>
        </w:trPr>
        <w:tc>
          <w:tcPr>
            <w:tcW w:w="2831" w:type="dxa"/>
          </w:tcPr>
          <w:p w:rsidR="00681EC7" w:rsidRPr="00681EC7" w:rsidRDefault="00681EC7" w:rsidP="00681EC7">
            <w:pPr>
              <w:rPr>
                <w:rFonts w:eastAsia="Calibri"/>
                <w:color w:val="000000"/>
                <w:sz w:val="21"/>
                <w:szCs w:val="21"/>
              </w:rPr>
            </w:pPr>
            <w:r w:rsidRPr="00681EC7">
              <w:rPr>
                <w:rFonts w:ascii="Times" w:eastAsia="Calibri" w:hAnsi="Times" w:cs="Times"/>
                <w:color w:val="000000"/>
                <w:sz w:val="21"/>
                <w:szCs w:val="21"/>
                <w:lang w:eastAsia="en-US"/>
              </w:rPr>
              <w:t>Coordonnateur de l’UGP</w:t>
            </w:r>
          </w:p>
        </w:tc>
        <w:tc>
          <w:tcPr>
            <w:tcW w:w="7088" w:type="dxa"/>
          </w:tcPr>
          <w:p w:rsidR="00681EC7" w:rsidRPr="00681EC7" w:rsidRDefault="00681EC7" w:rsidP="00681EC7">
            <w:pPr>
              <w:widowControl w:val="0"/>
              <w:autoSpaceDE w:val="0"/>
              <w:autoSpaceDN w:val="0"/>
              <w:adjustRightInd w:val="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Recruter le chargé de projet et les autres spécialistes (technique et sauvegarde) </w:t>
            </w:r>
          </w:p>
          <w:p w:rsidR="00681EC7" w:rsidRPr="00681EC7" w:rsidRDefault="00681EC7" w:rsidP="00157035">
            <w:pPr>
              <w:widowControl w:val="0"/>
              <w:numPr>
                <w:ilvl w:val="0"/>
                <w:numId w:val="48"/>
              </w:numPr>
              <w:tabs>
                <w:tab w:val="left" w:pos="220"/>
                <w:tab w:val="left" w:pos="720"/>
              </w:tabs>
              <w:autoSpaceDE w:val="0"/>
              <w:autoSpaceDN w:val="0"/>
              <w:adjustRightInd w:val="0"/>
              <w:ind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Recruter les entreprises de services nécessaire pour le </w:t>
            </w:r>
            <w:r w:rsidRPr="00681EC7">
              <w:rPr>
                <w:rFonts w:ascii="MS Mincho" w:eastAsia="MS Mincho" w:hAnsi="MS Mincho" w:cs="MS Mincho"/>
                <w:color w:val="000000"/>
                <w:sz w:val="21"/>
                <w:szCs w:val="21"/>
                <w:lang w:eastAsia="en-US"/>
              </w:rPr>
              <w:t>p</w:t>
            </w:r>
            <w:r w:rsidRPr="00681EC7">
              <w:rPr>
                <w:rFonts w:ascii="Times" w:eastAsia="Calibri" w:hAnsi="Times" w:cs="Times"/>
                <w:color w:val="000000"/>
                <w:sz w:val="21"/>
                <w:szCs w:val="21"/>
                <w:lang w:eastAsia="en-US"/>
              </w:rPr>
              <w:t xml:space="preserve">rojet </w:t>
            </w:r>
            <w:r w:rsidRPr="00681EC7">
              <w:rPr>
                <w:rFonts w:ascii="MS Mincho" w:eastAsia="MS Mincho" w:hAnsi="MS Mincho" w:cs="MS Mincho"/>
                <w:color w:val="000000"/>
                <w:sz w:val="21"/>
                <w:szCs w:val="21"/>
                <w:lang w:eastAsia="en-US"/>
              </w:rPr>
              <w:t> </w:t>
            </w:r>
          </w:p>
          <w:p w:rsidR="00681EC7" w:rsidRPr="00681EC7" w:rsidRDefault="00681EC7" w:rsidP="00157035">
            <w:pPr>
              <w:widowControl w:val="0"/>
              <w:numPr>
                <w:ilvl w:val="0"/>
                <w:numId w:val="48"/>
              </w:numPr>
              <w:tabs>
                <w:tab w:val="left" w:pos="220"/>
                <w:tab w:val="left" w:pos="720"/>
              </w:tabs>
              <w:autoSpaceDE w:val="0"/>
              <w:autoSpaceDN w:val="0"/>
              <w:adjustRightInd w:val="0"/>
              <w:ind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Recruter et gérer les prestataires </w:t>
            </w:r>
            <w:r w:rsidRPr="00681EC7">
              <w:rPr>
                <w:rFonts w:ascii="MS Mincho" w:eastAsia="MS Mincho" w:hAnsi="MS Mincho" w:cs="MS Mincho"/>
                <w:color w:val="000000"/>
                <w:sz w:val="21"/>
                <w:szCs w:val="21"/>
                <w:lang w:eastAsia="en-US"/>
              </w:rPr>
              <w:t> </w:t>
            </w:r>
          </w:p>
        </w:tc>
      </w:tr>
      <w:tr w:rsidR="00681EC7" w:rsidRPr="00681EC7" w:rsidTr="001550EE">
        <w:trPr>
          <w:jc w:val="center"/>
        </w:trPr>
        <w:tc>
          <w:tcPr>
            <w:tcW w:w="2831" w:type="dxa"/>
          </w:tcPr>
          <w:p w:rsidR="00681EC7" w:rsidRPr="00681EC7" w:rsidRDefault="00681EC7" w:rsidP="00681EC7">
            <w:pPr>
              <w:rPr>
                <w:rFonts w:eastAsia="Calibri"/>
                <w:color w:val="000000"/>
                <w:sz w:val="21"/>
                <w:szCs w:val="21"/>
              </w:rPr>
            </w:pPr>
            <w:r w:rsidRPr="00681EC7">
              <w:rPr>
                <w:rFonts w:ascii="Times" w:eastAsia="Calibri" w:hAnsi="Times" w:cs="Times"/>
                <w:color w:val="000000"/>
                <w:sz w:val="21"/>
                <w:szCs w:val="21"/>
                <w:lang w:eastAsia="en-US"/>
              </w:rPr>
              <w:t>Chargé de projet de l ́UGP</w:t>
            </w:r>
          </w:p>
        </w:tc>
        <w:tc>
          <w:tcPr>
            <w:tcW w:w="7088" w:type="dxa"/>
          </w:tcPr>
          <w:p w:rsidR="00681EC7" w:rsidRPr="00681EC7" w:rsidRDefault="00681EC7" w:rsidP="00681EC7">
            <w:pPr>
              <w:widowControl w:val="0"/>
              <w:autoSpaceDE w:val="0"/>
              <w:autoSpaceDN w:val="0"/>
              <w:adjustRightInd w:val="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Assurer la planification et l’exécution des activités du projet</w:t>
            </w:r>
            <w:r w:rsidRPr="00681EC7">
              <w:rPr>
                <w:rFonts w:ascii="MS Mincho" w:eastAsia="MS Mincho" w:hAnsi="MS Mincho" w:cs="MS Mincho"/>
                <w:color w:val="000000"/>
                <w:sz w:val="21"/>
                <w:szCs w:val="21"/>
                <w:lang w:eastAsia="en-US"/>
              </w:rPr>
              <w:t> </w:t>
            </w:r>
          </w:p>
        </w:tc>
      </w:tr>
      <w:tr w:rsidR="00681EC7" w:rsidRPr="00681EC7" w:rsidTr="001550EE">
        <w:trPr>
          <w:jc w:val="center"/>
        </w:trPr>
        <w:tc>
          <w:tcPr>
            <w:tcW w:w="2831" w:type="dxa"/>
          </w:tcPr>
          <w:p w:rsidR="00681EC7" w:rsidRPr="00681EC7" w:rsidRDefault="00681EC7" w:rsidP="00681EC7">
            <w:pPr>
              <w:widowControl w:val="0"/>
              <w:autoSpaceDE w:val="0"/>
              <w:autoSpaceDN w:val="0"/>
              <w:adjustRightInd w:val="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FAO</w:t>
            </w:r>
          </w:p>
          <w:p w:rsidR="00681EC7" w:rsidRPr="00681EC7" w:rsidRDefault="00681EC7" w:rsidP="00681EC7">
            <w:pPr>
              <w:rPr>
                <w:rFonts w:eastAsia="Calibri"/>
                <w:color w:val="000000"/>
                <w:sz w:val="21"/>
                <w:szCs w:val="21"/>
              </w:rPr>
            </w:pPr>
          </w:p>
        </w:tc>
        <w:tc>
          <w:tcPr>
            <w:tcW w:w="7088" w:type="dxa"/>
          </w:tcPr>
          <w:p w:rsidR="00681EC7" w:rsidRPr="00681EC7" w:rsidRDefault="00681EC7" w:rsidP="00681EC7">
            <w:pPr>
              <w:widowControl w:val="0"/>
              <w:autoSpaceDE w:val="0"/>
              <w:autoSpaceDN w:val="0"/>
              <w:adjustRightInd w:val="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Exécuter les activités du projet </w:t>
            </w:r>
          </w:p>
          <w:p w:rsidR="00681EC7" w:rsidRPr="00681EC7" w:rsidRDefault="00681EC7" w:rsidP="00157035">
            <w:pPr>
              <w:widowControl w:val="0"/>
              <w:numPr>
                <w:ilvl w:val="0"/>
                <w:numId w:val="48"/>
              </w:numPr>
              <w:tabs>
                <w:tab w:val="left" w:pos="220"/>
                <w:tab w:val="left" w:pos="720"/>
              </w:tabs>
              <w:autoSpaceDE w:val="0"/>
              <w:autoSpaceDN w:val="0"/>
              <w:adjustRightInd w:val="0"/>
              <w:ind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Former les travailleurs </w:t>
            </w:r>
            <w:r w:rsidRPr="00681EC7">
              <w:rPr>
                <w:rFonts w:ascii="MS Mincho" w:eastAsia="MS Mincho" w:hAnsi="MS Mincho" w:cs="MS Mincho"/>
                <w:color w:val="000000"/>
                <w:sz w:val="21"/>
                <w:szCs w:val="21"/>
                <w:lang w:eastAsia="en-US"/>
              </w:rPr>
              <w:t> </w:t>
            </w:r>
          </w:p>
          <w:p w:rsidR="00681EC7" w:rsidRPr="00681EC7" w:rsidRDefault="00681EC7" w:rsidP="00157035">
            <w:pPr>
              <w:widowControl w:val="0"/>
              <w:numPr>
                <w:ilvl w:val="0"/>
                <w:numId w:val="48"/>
              </w:numPr>
              <w:tabs>
                <w:tab w:val="left" w:pos="220"/>
                <w:tab w:val="left" w:pos="720"/>
              </w:tabs>
              <w:autoSpaceDE w:val="0"/>
              <w:autoSpaceDN w:val="0"/>
              <w:adjustRightInd w:val="0"/>
              <w:ind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Recruter et gérer les sous-traitants et les travailleurs du projet </w:t>
            </w:r>
            <w:r w:rsidRPr="00681EC7">
              <w:rPr>
                <w:rFonts w:ascii="MS Mincho" w:eastAsia="MS Mincho" w:hAnsi="MS Mincho" w:cs="MS Mincho"/>
                <w:color w:val="000000"/>
                <w:sz w:val="21"/>
                <w:szCs w:val="21"/>
                <w:lang w:eastAsia="en-US"/>
              </w:rPr>
              <w:t> </w:t>
            </w:r>
          </w:p>
          <w:p w:rsidR="00681EC7" w:rsidRPr="00681EC7" w:rsidRDefault="00681EC7" w:rsidP="00157035">
            <w:pPr>
              <w:widowControl w:val="0"/>
              <w:numPr>
                <w:ilvl w:val="0"/>
                <w:numId w:val="48"/>
              </w:numPr>
              <w:tabs>
                <w:tab w:val="left" w:pos="220"/>
              </w:tabs>
              <w:autoSpaceDE w:val="0"/>
              <w:autoSpaceDN w:val="0"/>
              <w:adjustRightInd w:val="0"/>
              <w:ind w:left="0" w:firstLine="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Assurer la gestion des plaintes et son suivi, en coordination avec le responsable sauvegardes de l ́UGP  </w:t>
            </w:r>
            <w:r w:rsidRPr="00681EC7">
              <w:rPr>
                <w:rFonts w:ascii="MS Mincho" w:eastAsia="MS Mincho" w:hAnsi="MS Mincho" w:cs="MS Mincho"/>
                <w:color w:val="000000"/>
                <w:sz w:val="21"/>
                <w:szCs w:val="21"/>
                <w:lang w:eastAsia="en-US"/>
              </w:rPr>
              <w:t> </w:t>
            </w:r>
          </w:p>
          <w:p w:rsidR="00681EC7" w:rsidRPr="00681EC7" w:rsidRDefault="00681EC7" w:rsidP="00157035">
            <w:pPr>
              <w:widowControl w:val="0"/>
              <w:numPr>
                <w:ilvl w:val="0"/>
                <w:numId w:val="48"/>
              </w:numPr>
              <w:tabs>
                <w:tab w:val="left" w:pos="220"/>
                <w:tab w:val="left" w:pos="720"/>
              </w:tabs>
              <w:autoSpaceDE w:val="0"/>
              <w:autoSpaceDN w:val="0"/>
              <w:adjustRightInd w:val="0"/>
              <w:ind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Respecter et mettre en œuvre le plan de gestion environnementale et sociale</w:t>
            </w:r>
            <w:r w:rsidRPr="00681EC7">
              <w:rPr>
                <w:rFonts w:ascii="MS Mincho" w:eastAsia="MS Mincho" w:hAnsi="MS Mincho" w:cs="MS Mincho"/>
                <w:color w:val="000000"/>
                <w:sz w:val="21"/>
                <w:szCs w:val="21"/>
                <w:lang w:eastAsia="en-US"/>
              </w:rPr>
              <w:t> </w:t>
            </w:r>
          </w:p>
        </w:tc>
      </w:tr>
      <w:tr w:rsidR="00681EC7" w:rsidRPr="00681EC7" w:rsidTr="001550EE">
        <w:trPr>
          <w:trHeight w:val="446"/>
          <w:jc w:val="center"/>
        </w:trPr>
        <w:tc>
          <w:tcPr>
            <w:tcW w:w="2831" w:type="dxa"/>
          </w:tcPr>
          <w:p w:rsidR="00681EC7" w:rsidRPr="00681EC7" w:rsidRDefault="00681EC7" w:rsidP="00681EC7">
            <w:pPr>
              <w:widowControl w:val="0"/>
              <w:autoSpaceDE w:val="0"/>
              <w:autoSpaceDN w:val="0"/>
              <w:adjustRightInd w:val="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Spécialiste en sauvegardes environnementales et sociales de l’UGP </w:t>
            </w:r>
          </w:p>
          <w:p w:rsidR="00681EC7" w:rsidRPr="00681EC7" w:rsidRDefault="00681EC7" w:rsidP="00681EC7">
            <w:pPr>
              <w:rPr>
                <w:rFonts w:eastAsia="Calibri"/>
                <w:color w:val="000000"/>
                <w:sz w:val="21"/>
                <w:szCs w:val="21"/>
              </w:rPr>
            </w:pPr>
          </w:p>
        </w:tc>
        <w:tc>
          <w:tcPr>
            <w:tcW w:w="7088" w:type="dxa"/>
          </w:tcPr>
          <w:p w:rsidR="00681EC7" w:rsidRPr="00681EC7" w:rsidRDefault="00681EC7" w:rsidP="00681EC7">
            <w:pPr>
              <w:rPr>
                <w:rFonts w:eastAsia="Calibri"/>
                <w:color w:val="000000"/>
                <w:sz w:val="21"/>
                <w:szCs w:val="21"/>
              </w:rPr>
            </w:pPr>
            <w:r w:rsidRPr="00681EC7">
              <w:rPr>
                <w:rFonts w:eastAsia="Calibri"/>
                <w:color w:val="000000"/>
                <w:sz w:val="21"/>
                <w:szCs w:val="21"/>
              </w:rPr>
              <w:t xml:space="preserve">Élaborer et mettre en œuvre tous les documents et plans de sauvegardes, incluant la mobilisation des parties prenantes du projet </w:t>
            </w:r>
          </w:p>
          <w:p w:rsidR="00681EC7" w:rsidRPr="00681EC7" w:rsidRDefault="00681EC7" w:rsidP="00681EC7">
            <w:pPr>
              <w:rPr>
                <w:rFonts w:eastAsia="Calibri"/>
                <w:color w:val="000000"/>
                <w:sz w:val="21"/>
                <w:szCs w:val="21"/>
              </w:rPr>
            </w:pPr>
            <w:r w:rsidRPr="00681EC7">
              <w:rPr>
                <w:rFonts w:eastAsia="Calibri"/>
                <w:color w:val="000000"/>
                <w:sz w:val="21"/>
                <w:szCs w:val="21"/>
              </w:rPr>
              <w:t xml:space="preserve">Assurer la gestion de la santé et la sécurité au travail </w:t>
            </w:r>
            <w:r w:rsidRPr="00681EC7">
              <w:rPr>
                <w:rFonts w:ascii="MS Mincho" w:eastAsia="MS Mincho" w:hAnsi="MS Mincho" w:cs="MS Mincho"/>
                <w:color w:val="000000"/>
                <w:sz w:val="21"/>
                <w:szCs w:val="21"/>
              </w:rPr>
              <w:t> </w:t>
            </w:r>
          </w:p>
          <w:p w:rsidR="00681EC7" w:rsidRPr="00681EC7" w:rsidRDefault="00681EC7" w:rsidP="00681EC7">
            <w:pPr>
              <w:rPr>
                <w:rFonts w:eastAsia="Calibri"/>
                <w:color w:val="000000"/>
                <w:sz w:val="21"/>
                <w:szCs w:val="21"/>
              </w:rPr>
            </w:pPr>
            <w:r w:rsidRPr="00681EC7">
              <w:rPr>
                <w:rFonts w:eastAsia="Calibri"/>
                <w:color w:val="000000"/>
                <w:sz w:val="21"/>
                <w:szCs w:val="21"/>
              </w:rPr>
              <w:t>Assurer la gestion des plaintes et son suivi, en coordination avec la FAO</w:t>
            </w:r>
          </w:p>
        </w:tc>
      </w:tr>
      <w:tr w:rsidR="00681EC7" w:rsidRPr="00681EC7" w:rsidTr="001550EE">
        <w:trPr>
          <w:jc w:val="center"/>
        </w:trPr>
        <w:tc>
          <w:tcPr>
            <w:tcW w:w="2831" w:type="dxa"/>
          </w:tcPr>
          <w:p w:rsidR="00681EC7" w:rsidRPr="00681EC7" w:rsidRDefault="00681EC7" w:rsidP="00681EC7">
            <w:pPr>
              <w:widowControl w:val="0"/>
              <w:autoSpaceDE w:val="0"/>
              <w:autoSpaceDN w:val="0"/>
              <w:adjustRightInd w:val="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Administration de l’UGP </w:t>
            </w:r>
          </w:p>
          <w:p w:rsidR="00681EC7" w:rsidRPr="00681EC7" w:rsidRDefault="00681EC7" w:rsidP="00681EC7">
            <w:pPr>
              <w:rPr>
                <w:rFonts w:eastAsia="Calibri"/>
                <w:color w:val="000000"/>
                <w:sz w:val="21"/>
                <w:szCs w:val="21"/>
              </w:rPr>
            </w:pPr>
          </w:p>
        </w:tc>
        <w:tc>
          <w:tcPr>
            <w:tcW w:w="7088" w:type="dxa"/>
          </w:tcPr>
          <w:p w:rsidR="00681EC7" w:rsidRPr="00681EC7" w:rsidRDefault="00681EC7" w:rsidP="00681EC7">
            <w:pPr>
              <w:rPr>
                <w:rFonts w:eastAsia="Calibri"/>
                <w:color w:val="000000"/>
                <w:sz w:val="21"/>
                <w:szCs w:val="21"/>
              </w:rPr>
            </w:pPr>
            <w:r w:rsidRPr="00681EC7">
              <w:rPr>
                <w:rFonts w:eastAsia="Calibri"/>
                <w:color w:val="000000"/>
                <w:sz w:val="21"/>
                <w:szCs w:val="21"/>
              </w:rPr>
              <w:t xml:space="preserve">Assurer la gestion administrative et la logistique du projet, incluant la gestion des chauffeurs, du personnel de soutien et du matériel et équipements du projet </w:t>
            </w:r>
          </w:p>
        </w:tc>
      </w:tr>
      <w:tr w:rsidR="00681EC7" w:rsidRPr="00681EC7" w:rsidTr="001550EE">
        <w:trPr>
          <w:trHeight w:val="236"/>
          <w:jc w:val="center"/>
        </w:trPr>
        <w:tc>
          <w:tcPr>
            <w:tcW w:w="2831" w:type="dxa"/>
          </w:tcPr>
          <w:p w:rsidR="00681EC7" w:rsidRPr="00681EC7" w:rsidRDefault="00681EC7" w:rsidP="00681EC7">
            <w:pPr>
              <w:rPr>
                <w:rFonts w:eastAsia="Calibri"/>
                <w:color w:val="000000"/>
                <w:sz w:val="21"/>
                <w:szCs w:val="21"/>
              </w:rPr>
            </w:pPr>
            <w:r w:rsidRPr="00681EC7">
              <w:rPr>
                <w:rFonts w:eastAsia="Calibri"/>
                <w:color w:val="000000"/>
                <w:sz w:val="21"/>
                <w:szCs w:val="21"/>
              </w:rPr>
              <w:t>Spécialiste en passation des marchés</w:t>
            </w:r>
          </w:p>
        </w:tc>
        <w:tc>
          <w:tcPr>
            <w:tcW w:w="7088" w:type="dxa"/>
          </w:tcPr>
          <w:p w:rsidR="00681EC7" w:rsidRPr="00681EC7" w:rsidRDefault="00681EC7" w:rsidP="00681EC7">
            <w:pPr>
              <w:rPr>
                <w:rFonts w:eastAsia="Calibri"/>
                <w:color w:val="000000"/>
                <w:sz w:val="21"/>
                <w:szCs w:val="21"/>
              </w:rPr>
            </w:pPr>
            <w:r w:rsidRPr="00681EC7">
              <w:rPr>
                <w:rFonts w:eastAsia="Calibri"/>
                <w:color w:val="000000"/>
                <w:sz w:val="21"/>
                <w:szCs w:val="21"/>
              </w:rPr>
              <w:t xml:space="preserve">Assurer l’élaboration, l’exécution et la mise à jour du plan de passation des marchés du projet </w:t>
            </w:r>
            <w:r w:rsidRPr="00681EC7">
              <w:rPr>
                <w:rFonts w:ascii="MS Mincho" w:eastAsia="MS Mincho" w:hAnsi="MS Mincho" w:cs="MS Mincho"/>
                <w:color w:val="000000"/>
                <w:sz w:val="21"/>
                <w:szCs w:val="21"/>
              </w:rPr>
              <w:t> </w:t>
            </w:r>
          </w:p>
        </w:tc>
      </w:tr>
      <w:tr w:rsidR="00681EC7" w:rsidRPr="00681EC7" w:rsidTr="001550EE">
        <w:trPr>
          <w:trHeight w:val="236"/>
          <w:jc w:val="center"/>
        </w:trPr>
        <w:tc>
          <w:tcPr>
            <w:tcW w:w="2831" w:type="dxa"/>
          </w:tcPr>
          <w:p w:rsidR="00681EC7" w:rsidRPr="00681EC7" w:rsidRDefault="00681EC7" w:rsidP="00681EC7">
            <w:pPr>
              <w:rPr>
                <w:rFonts w:eastAsia="Calibri"/>
                <w:color w:val="000000"/>
                <w:sz w:val="21"/>
                <w:szCs w:val="21"/>
              </w:rPr>
            </w:pPr>
            <w:r w:rsidRPr="00681EC7">
              <w:rPr>
                <w:rFonts w:eastAsia="Calibri"/>
                <w:color w:val="000000"/>
                <w:sz w:val="21"/>
                <w:szCs w:val="21"/>
              </w:rPr>
              <w:t>Spécialiste en gestion financière</w:t>
            </w:r>
          </w:p>
        </w:tc>
        <w:tc>
          <w:tcPr>
            <w:tcW w:w="7088" w:type="dxa"/>
          </w:tcPr>
          <w:p w:rsidR="00681EC7" w:rsidRPr="00681EC7" w:rsidRDefault="00681EC7" w:rsidP="00681EC7">
            <w:pPr>
              <w:rPr>
                <w:rFonts w:eastAsia="Calibri"/>
                <w:color w:val="000000"/>
                <w:sz w:val="21"/>
                <w:szCs w:val="21"/>
              </w:rPr>
            </w:pPr>
            <w:r w:rsidRPr="00681EC7">
              <w:rPr>
                <w:rFonts w:eastAsia="Calibri"/>
                <w:color w:val="000000"/>
                <w:sz w:val="21"/>
                <w:szCs w:val="21"/>
              </w:rPr>
              <w:t xml:space="preserve">Garantir la visibilité financière du projet </w:t>
            </w:r>
            <w:r w:rsidRPr="00681EC7">
              <w:rPr>
                <w:rFonts w:ascii="MS Mincho" w:eastAsia="MS Mincho" w:hAnsi="MS Mincho" w:cs="MS Mincho"/>
                <w:color w:val="000000"/>
                <w:sz w:val="21"/>
                <w:szCs w:val="21"/>
              </w:rPr>
              <w:t> </w:t>
            </w:r>
          </w:p>
          <w:p w:rsidR="00681EC7" w:rsidRPr="00681EC7" w:rsidRDefault="00681EC7" w:rsidP="00681EC7">
            <w:pPr>
              <w:rPr>
                <w:rFonts w:eastAsia="Calibri"/>
                <w:color w:val="000000"/>
                <w:sz w:val="21"/>
                <w:szCs w:val="21"/>
              </w:rPr>
            </w:pPr>
            <w:r w:rsidRPr="00681EC7">
              <w:rPr>
                <w:rFonts w:eastAsia="Calibri"/>
                <w:color w:val="000000"/>
                <w:sz w:val="21"/>
                <w:szCs w:val="21"/>
              </w:rPr>
              <w:t xml:space="preserve">Recruter et superviser le travail des Auditeurs du projet </w:t>
            </w:r>
          </w:p>
        </w:tc>
      </w:tr>
      <w:tr w:rsidR="00681EC7" w:rsidRPr="00681EC7" w:rsidTr="001550EE">
        <w:trPr>
          <w:trHeight w:val="222"/>
          <w:jc w:val="center"/>
        </w:trPr>
        <w:tc>
          <w:tcPr>
            <w:tcW w:w="2831" w:type="dxa"/>
          </w:tcPr>
          <w:p w:rsidR="00681EC7" w:rsidRPr="00681EC7" w:rsidRDefault="00681EC7" w:rsidP="00681EC7">
            <w:pPr>
              <w:rPr>
                <w:rFonts w:eastAsia="Calibri"/>
                <w:color w:val="000000"/>
                <w:sz w:val="21"/>
                <w:szCs w:val="21"/>
              </w:rPr>
            </w:pPr>
            <w:r w:rsidRPr="00681EC7">
              <w:rPr>
                <w:rFonts w:eastAsia="Calibri"/>
                <w:color w:val="000000"/>
                <w:sz w:val="21"/>
                <w:szCs w:val="21"/>
              </w:rPr>
              <w:t>Spécialiste en suivi-évaluation</w:t>
            </w:r>
          </w:p>
        </w:tc>
        <w:tc>
          <w:tcPr>
            <w:tcW w:w="7088" w:type="dxa"/>
          </w:tcPr>
          <w:p w:rsidR="00681EC7" w:rsidRPr="00681EC7" w:rsidRDefault="00681EC7" w:rsidP="00681EC7">
            <w:pPr>
              <w:rPr>
                <w:rFonts w:eastAsia="Calibri"/>
                <w:color w:val="000000"/>
                <w:sz w:val="21"/>
                <w:szCs w:val="21"/>
              </w:rPr>
            </w:pPr>
            <w:r w:rsidRPr="00681EC7">
              <w:rPr>
                <w:rFonts w:eastAsia="Calibri"/>
                <w:color w:val="000000"/>
                <w:sz w:val="21"/>
                <w:szCs w:val="21"/>
              </w:rPr>
              <w:t xml:space="preserve">Assurer le suivi et l’évaluation du projet </w:t>
            </w:r>
          </w:p>
        </w:tc>
      </w:tr>
    </w:tbl>
    <w:p w:rsidR="00681EC7" w:rsidRPr="00681EC7" w:rsidRDefault="00681EC7" w:rsidP="00681EC7">
      <w:pPr>
        <w:rPr>
          <w:rFonts w:eastAsia="Calibri"/>
          <w:color w:val="000000"/>
        </w:rPr>
      </w:pPr>
    </w:p>
    <w:p w:rsidR="00681EC7" w:rsidRPr="00681EC7" w:rsidRDefault="00681EC7" w:rsidP="005E613E">
      <w:pPr>
        <w:numPr>
          <w:ilvl w:val="0"/>
          <w:numId w:val="159"/>
        </w:numPr>
        <w:ind w:left="1276" w:right="-851"/>
        <w:contextualSpacing/>
        <w:outlineLvl w:val="1"/>
        <w:rPr>
          <w:rFonts w:eastAsia="Times New Roman"/>
          <w:b/>
          <w:bCs/>
          <w:sz w:val="22"/>
          <w:szCs w:val="22"/>
          <w:lang w:val="en-US" w:eastAsia="es-ES"/>
        </w:rPr>
      </w:pPr>
      <w:bookmarkStart w:id="450" w:name="_Toc67508581"/>
      <w:bookmarkStart w:id="451" w:name="_Toc69918769"/>
      <w:bookmarkStart w:id="452" w:name="_Toc73459816"/>
      <w:r w:rsidRPr="00681EC7">
        <w:rPr>
          <w:rFonts w:eastAsia="Times New Roman"/>
          <w:b/>
          <w:bCs/>
          <w:sz w:val="22"/>
          <w:szCs w:val="22"/>
          <w:lang w:val="en-US" w:eastAsia="es-ES"/>
        </w:rPr>
        <w:t>POLITIQUES ET PROCÉDURES</w:t>
      </w:r>
      <w:bookmarkEnd w:id="450"/>
      <w:bookmarkEnd w:id="451"/>
      <w:bookmarkEnd w:id="452"/>
    </w:p>
    <w:p w:rsidR="00681EC7" w:rsidRPr="00681EC7" w:rsidRDefault="00681EC7" w:rsidP="005E613E">
      <w:pPr>
        <w:ind w:left="567" w:right="-851"/>
        <w:jc w:val="both"/>
        <w:rPr>
          <w:rFonts w:eastAsia="Calibri"/>
          <w:color w:val="000000"/>
          <w:sz w:val="21"/>
          <w:szCs w:val="21"/>
          <w:lang w:eastAsia="en-US"/>
        </w:rPr>
      </w:pPr>
      <w:r w:rsidRPr="00681EC7">
        <w:rPr>
          <w:rFonts w:eastAsia="Calibri"/>
          <w:color w:val="000000"/>
          <w:sz w:val="21"/>
          <w:szCs w:val="21"/>
          <w:lang w:eastAsia="en-US"/>
        </w:rPr>
        <w:t xml:space="preserve">Le projet PUSA appliquera les politiques et procédures suivantes pour adresser les principaux risques liés aux activités identifiées dans la section III. </w:t>
      </w:r>
    </w:p>
    <w:p w:rsidR="00681EC7" w:rsidRPr="00681EC7" w:rsidRDefault="00681EC7" w:rsidP="005E613E">
      <w:pPr>
        <w:numPr>
          <w:ilvl w:val="0"/>
          <w:numId w:val="155"/>
        </w:numPr>
        <w:ind w:left="851" w:right="-851"/>
        <w:contextualSpacing/>
        <w:jc w:val="both"/>
        <w:rPr>
          <w:rFonts w:eastAsia="Calibri"/>
          <w:color w:val="000000"/>
          <w:sz w:val="21"/>
          <w:szCs w:val="21"/>
          <w:lang w:eastAsia="en-US"/>
        </w:rPr>
      </w:pPr>
      <w:r w:rsidRPr="00681EC7">
        <w:rPr>
          <w:rFonts w:eastAsia="Calibri"/>
          <w:b/>
          <w:color w:val="000000"/>
          <w:sz w:val="21"/>
          <w:szCs w:val="21"/>
          <w:lang w:eastAsia="en-US"/>
        </w:rPr>
        <w:t>Santé et sécurité au travail (SST) :</w:t>
      </w:r>
      <w:r w:rsidRPr="00681EC7">
        <w:rPr>
          <w:rFonts w:eastAsia="Calibri"/>
          <w:color w:val="000000"/>
          <w:sz w:val="21"/>
          <w:szCs w:val="21"/>
          <w:lang w:eastAsia="en-US"/>
        </w:rPr>
        <w:t xml:space="preserve"> Conformément aux dispositions pertinentes du Code National de Travail, de la NES no 2 (y compris les directives générales de la Banque mondiale en matière de santé et de sécurité</w:t>
      </w:r>
      <w:r w:rsidR="002B30DB">
        <w:rPr>
          <w:rFonts w:eastAsia="Calibri"/>
          <w:color w:val="000000"/>
          <w:sz w:val="21"/>
          <w:szCs w:val="21"/>
          <w:lang w:eastAsia="en-US"/>
        </w:rPr>
        <w:t>s</w:t>
      </w:r>
      <w:r w:rsidRPr="00681EC7">
        <w:rPr>
          <w:rFonts w:eastAsia="Calibri"/>
          <w:color w:val="000000"/>
          <w:sz w:val="21"/>
          <w:szCs w:val="21"/>
          <w:lang w:eastAsia="en-US"/>
        </w:rPr>
        <w:t xml:space="preserve"> au travail), du Cadre de Gestion Environnementale et Sociale (CGES) du projet PUSA et les documents de passation de marché de la Banque mondiale, le contractant doit gérer tous les chantiers de façon à protéger correctement les travailleurs et la communauté contre les risques éventuels pour la SST. </w:t>
      </w:r>
    </w:p>
    <w:p w:rsidR="00681EC7" w:rsidRPr="00681EC7" w:rsidRDefault="00681EC7" w:rsidP="005E613E">
      <w:pPr>
        <w:ind w:left="851" w:right="-851"/>
        <w:contextualSpacing/>
        <w:jc w:val="both"/>
        <w:rPr>
          <w:rFonts w:eastAsia="Calibri"/>
          <w:color w:val="000000"/>
          <w:sz w:val="21"/>
          <w:szCs w:val="21"/>
          <w:lang w:eastAsia="en-US"/>
        </w:rPr>
      </w:pPr>
      <w:r w:rsidRPr="00681EC7">
        <w:rPr>
          <w:rFonts w:eastAsia="Calibri"/>
          <w:color w:val="000000"/>
          <w:sz w:val="21"/>
          <w:szCs w:val="21"/>
          <w:lang w:eastAsia="en-US"/>
        </w:rPr>
        <w:t xml:space="preserve">Les éléments relatifs à la SST devront inclure, entre autres, (a) l’identification des risques potentiels pour les travailleurs ; (b) la mise en place de mesures de prévention et de protection ; (c) la formation des travailleurs et la tenue des dossiers de formation ; (d) la documentation et la déclaration des incidents au travail et des accidents ; la préparation aux situations d’urgence ; (f) et les mesures à prendre pour prévenir les accidents du travail. </w:t>
      </w:r>
    </w:p>
    <w:p w:rsidR="00681EC7" w:rsidRPr="00681EC7" w:rsidRDefault="00681EC7" w:rsidP="005E613E">
      <w:pPr>
        <w:ind w:left="851" w:right="-851"/>
        <w:jc w:val="both"/>
        <w:rPr>
          <w:rFonts w:eastAsia="Calibri"/>
          <w:color w:val="000000"/>
          <w:sz w:val="21"/>
          <w:szCs w:val="21"/>
          <w:lang w:eastAsia="en-US"/>
        </w:rPr>
      </w:pPr>
    </w:p>
    <w:p w:rsidR="00681EC7" w:rsidRPr="00681EC7" w:rsidRDefault="00681EC7" w:rsidP="005E613E">
      <w:pPr>
        <w:numPr>
          <w:ilvl w:val="0"/>
          <w:numId w:val="155"/>
        </w:numPr>
        <w:ind w:left="851" w:right="-851"/>
        <w:contextualSpacing/>
        <w:jc w:val="both"/>
        <w:rPr>
          <w:rFonts w:eastAsia="Calibri"/>
          <w:color w:val="000000"/>
          <w:sz w:val="21"/>
          <w:szCs w:val="21"/>
          <w:lang w:eastAsia="en-US"/>
        </w:rPr>
      </w:pPr>
      <w:r w:rsidRPr="00681EC7">
        <w:rPr>
          <w:rFonts w:eastAsia="Calibri"/>
          <w:b/>
          <w:color w:val="000000"/>
          <w:sz w:val="21"/>
          <w:szCs w:val="21"/>
          <w:lang w:eastAsia="en-US"/>
        </w:rPr>
        <w:t>Travail des mineurs :</w:t>
      </w:r>
      <w:r w:rsidRPr="00681EC7">
        <w:rPr>
          <w:rFonts w:eastAsia="Calibri"/>
          <w:color w:val="000000"/>
          <w:sz w:val="21"/>
          <w:szCs w:val="21"/>
          <w:lang w:eastAsia="en-US"/>
        </w:rPr>
        <w:t xml:space="preserve"> L’âge minimum d’admissibilité des travailleurs du projet PUSA, pour tout type de travail, est fixé à 18 ans. Afin d’empêcher la main-d’œuvre des mineurs, tous les contrats doivent comporter des dispositions contractuelles afin de respecter les exigences d’âge minimum, y compris des pénalités pour non-conformité. L’entrepreneur est tenu d’enregistrer tous les travailleurs sous contrat avec une vérification de leur âge. Plus de détails, y compris les procédures de vérification de l’âge sont fournies dans la Section VII. </w:t>
      </w:r>
    </w:p>
    <w:p w:rsidR="00681EC7" w:rsidRPr="00681EC7" w:rsidRDefault="00681EC7" w:rsidP="005E613E">
      <w:pPr>
        <w:ind w:left="851" w:right="-851"/>
        <w:contextualSpacing/>
        <w:jc w:val="both"/>
        <w:rPr>
          <w:rFonts w:eastAsia="Calibri"/>
          <w:color w:val="000000"/>
          <w:sz w:val="21"/>
          <w:szCs w:val="21"/>
          <w:lang w:eastAsia="en-US"/>
        </w:rPr>
      </w:pPr>
    </w:p>
    <w:p w:rsidR="00681EC7" w:rsidRPr="00681EC7" w:rsidRDefault="00681EC7" w:rsidP="005E613E">
      <w:pPr>
        <w:numPr>
          <w:ilvl w:val="0"/>
          <w:numId w:val="155"/>
        </w:numPr>
        <w:ind w:left="851" w:right="-851"/>
        <w:contextualSpacing/>
        <w:jc w:val="both"/>
        <w:rPr>
          <w:rFonts w:eastAsia="Calibri"/>
          <w:color w:val="000000"/>
          <w:sz w:val="21"/>
          <w:szCs w:val="21"/>
          <w:lang w:eastAsia="en-US"/>
        </w:rPr>
      </w:pPr>
      <w:r w:rsidRPr="00681EC7">
        <w:rPr>
          <w:rFonts w:eastAsia="Calibri"/>
          <w:b/>
          <w:color w:val="000000"/>
          <w:sz w:val="21"/>
          <w:szCs w:val="21"/>
          <w:lang w:eastAsia="en-US"/>
        </w:rPr>
        <w:t xml:space="preserve">Fatalité et incidents graves : </w:t>
      </w:r>
      <w:r w:rsidRPr="00681EC7">
        <w:rPr>
          <w:rFonts w:eastAsia="Calibri"/>
          <w:color w:val="000000"/>
          <w:sz w:val="21"/>
          <w:szCs w:val="21"/>
          <w:lang w:eastAsia="en-US"/>
        </w:rPr>
        <w:t xml:space="preserve">En cas de mort professionnelle ou de blessure grave, l’UGP doit rendre compte à la Banque mondiale dès qu’elle a eu connaissance de tels incidents et informer les autorités conformément aux normes nationales. Les actions correctives doivent être mises en œuvre en réponse aux incidents ou accidents liés au projet. L’UGP ou, le cas échéant, le contractant sera tenu de réaliser une analyse des causes pour la conception et la mise en œuvre des actions correctives. </w:t>
      </w:r>
    </w:p>
    <w:p w:rsidR="00681EC7" w:rsidRPr="00681EC7" w:rsidRDefault="00681EC7" w:rsidP="005E613E">
      <w:pPr>
        <w:ind w:left="851" w:right="-851"/>
        <w:jc w:val="both"/>
        <w:rPr>
          <w:rFonts w:eastAsia="Calibri"/>
          <w:color w:val="000000"/>
          <w:sz w:val="21"/>
          <w:szCs w:val="21"/>
          <w:lang w:eastAsia="en-US"/>
        </w:rPr>
      </w:pPr>
    </w:p>
    <w:p w:rsidR="00681EC7" w:rsidRPr="00681EC7" w:rsidRDefault="00681EC7" w:rsidP="005E613E">
      <w:pPr>
        <w:numPr>
          <w:ilvl w:val="0"/>
          <w:numId w:val="155"/>
        </w:numPr>
        <w:ind w:left="851" w:right="-851"/>
        <w:contextualSpacing/>
        <w:jc w:val="both"/>
        <w:rPr>
          <w:rFonts w:eastAsia="Calibri"/>
          <w:color w:val="000000"/>
          <w:sz w:val="21"/>
          <w:szCs w:val="21"/>
          <w:lang w:eastAsia="en-US"/>
        </w:rPr>
      </w:pPr>
      <w:r w:rsidRPr="00681EC7">
        <w:rPr>
          <w:rFonts w:eastAsia="Calibri"/>
          <w:b/>
          <w:color w:val="000000"/>
          <w:sz w:val="21"/>
          <w:szCs w:val="21"/>
          <w:lang w:eastAsia="en-US"/>
        </w:rPr>
        <w:t>Conflits de travail sur les conditions d’emploi</w:t>
      </w:r>
      <w:r w:rsidRPr="00681EC7">
        <w:rPr>
          <w:rFonts w:eastAsia="Calibri"/>
          <w:color w:val="000000"/>
          <w:sz w:val="21"/>
          <w:szCs w:val="21"/>
          <w:lang w:eastAsia="en-US"/>
        </w:rPr>
        <w:t xml:space="preserve"> : Pour éviter les conflits du travail, des conditions équitables seront appliquées aux travailleurs du projet PUSA. Il disposera également de mécanismes de réclamations pour les travailleurs du projet (travailleurs directs et contractuels) afin d’adresser rapidement les réclamations de leurs lieux de travail. En outre, le projet PUSA respectera les droits des syndicats et la liberté d’association, tels qu’énoncés dans le code national de travail. </w:t>
      </w:r>
    </w:p>
    <w:p w:rsidR="00681EC7" w:rsidRPr="00681EC7" w:rsidRDefault="00681EC7" w:rsidP="005E613E">
      <w:pPr>
        <w:ind w:left="851" w:right="-851"/>
        <w:jc w:val="both"/>
        <w:rPr>
          <w:rFonts w:eastAsia="Calibri"/>
          <w:color w:val="000000"/>
          <w:sz w:val="21"/>
          <w:szCs w:val="21"/>
          <w:lang w:eastAsia="en-US"/>
        </w:rPr>
      </w:pPr>
    </w:p>
    <w:p w:rsidR="00681EC7" w:rsidRPr="00681EC7" w:rsidRDefault="00681EC7" w:rsidP="005E613E">
      <w:pPr>
        <w:numPr>
          <w:ilvl w:val="0"/>
          <w:numId w:val="155"/>
        </w:numPr>
        <w:ind w:left="851" w:right="-851"/>
        <w:contextualSpacing/>
        <w:jc w:val="both"/>
        <w:rPr>
          <w:rFonts w:eastAsia="Calibri"/>
          <w:color w:val="000000"/>
          <w:sz w:val="21"/>
          <w:szCs w:val="21"/>
          <w:lang w:eastAsia="en-US"/>
        </w:rPr>
      </w:pPr>
      <w:r w:rsidRPr="00681EC7">
        <w:rPr>
          <w:rFonts w:eastAsia="Calibri"/>
          <w:b/>
          <w:color w:val="000000"/>
          <w:sz w:val="21"/>
          <w:szCs w:val="21"/>
          <w:lang w:eastAsia="en-US"/>
        </w:rPr>
        <w:t>Discrimination et exclusion des personnes vulnérables et défavorisés </w:t>
      </w:r>
      <w:r w:rsidRPr="00681EC7">
        <w:rPr>
          <w:rFonts w:eastAsia="Calibri"/>
          <w:color w:val="000000"/>
          <w:sz w:val="21"/>
          <w:szCs w:val="21"/>
          <w:lang w:eastAsia="en-US"/>
        </w:rPr>
        <w:t xml:space="preserve">: L’emploi des travailleurs du projet PUSA sera fondé sur le principe d’égalité des opportunités et de traitement équitable, et il n’y aura aucune discrimination en ce qui concerne les aspects de la relation de travail, tels que le recrutement et l’embauche, les conditions d’emploi (y compris les salaires et les avantages sociaux), licenciement et accès à la formation. Pour éviter le risque d’exclusion des groupes vulnérables (tels que femmes, et les personnes handicapées), le projet PUSA emploiera si possible ces groupes dans le cadre de leur main-d’œuvre. Il sera également tenu de se conformer au Code du Travail national sur l’égalité des sexes sur le lieu de travail, sur la prévision notamment de congés de maternité et de pauses d’allaitement, ainsi que d’installations sanitaires suffisantes et appropriés, séparées des hommes et des femmes. </w:t>
      </w:r>
    </w:p>
    <w:p w:rsidR="00681EC7" w:rsidRPr="00681EC7" w:rsidRDefault="00681EC7" w:rsidP="005E613E">
      <w:pPr>
        <w:ind w:left="851" w:right="-851"/>
        <w:jc w:val="both"/>
        <w:rPr>
          <w:rFonts w:eastAsia="Calibri"/>
          <w:color w:val="000000"/>
          <w:sz w:val="21"/>
          <w:szCs w:val="21"/>
          <w:lang w:eastAsia="en-US"/>
        </w:rPr>
      </w:pPr>
    </w:p>
    <w:p w:rsidR="00681EC7" w:rsidRPr="00681EC7" w:rsidRDefault="00681EC7" w:rsidP="005E613E">
      <w:pPr>
        <w:numPr>
          <w:ilvl w:val="0"/>
          <w:numId w:val="155"/>
        </w:numPr>
        <w:ind w:left="851" w:right="-851"/>
        <w:contextualSpacing/>
        <w:jc w:val="both"/>
        <w:rPr>
          <w:rFonts w:eastAsia="Calibri"/>
          <w:color w:val="000000"/>
          <w:sz w:val="21"/>
          <w:szCs w:val="21"/>
          <w:lang w:eastAsia="en-US"/>
        </w:rPr>
      </w:pPr>
      <w:r w:rsidRPr="00681EC7">
        <w:rPr>
          <w:rFonts w:eastAsia="Calibri"/>
          <w:b/>
          <w:color w:val="000000"/>
          <w:sz w:val="21"/>
          <w:szCs w:val="21"/>
          <w:lang w:eastAsia="en-US"/>
        </w:rPr>
        <w:t xml:space="preserve">Travail forcé : </w:t>
      </w:r>
      <w:r w:rsidRPr="00681EC7">
        <w:rPr>
          <w:rFonts w:eastAsia="Calibri"/>
          <w:color w:val="000000"/>
          <w:sz w:val="21"/>
          <w:szCs w:val="21"/>
          <w:lang w:eastAsia="en-US"/>
        </w:rPr>
        <w:t xml:space="preserve">Le projet PUSA n’aura pas de recours au travail forcé (tout travail ou service exigé d’un individu sous la menace d’une peine quelconque et pour lequel ledit individu ne s’est pas offert de plein gré́). Cette interdiction s’applique à toute sorte de travail forcé ou obligatoire, tel que le travail sous contrat, la servitude pour dettes ou des types d’emploi analogues. L’UGP procèdera à une surveillance et un suivi constant afin de déceler à temps tout risque éventuel de travail forcé lié à la main-d’œuvre. </w:t>
      </w:r>
    </w:p>
    <w:p w:rsidR="00681EC7" w:rsidRPr="00681EC7" w:rsidRDefault="00681EC7" w:rsidP="005E613E">
      <w:pPr>
        <w:ind w:right="-851"/>
        <w:jc w:val="both"/>
        <w:rPr>
          <w:rFonts w:eastAsia="Calibri"/>
          <w:color w:val="000000"/>
          <w:sz w:val="21"/>
          <w:szCs w:val="21"/>
          <w:lang w:eastAsia="en-US"/>
        </w:rPr>
      </w:pPr>
    </w:p>
    <w:p w:rsidR="00681EC7" w:rsidRPr="00681EC7" w:rsidRDefault="00681EC7" w:rsidP="005E613E">
      <w:pPr>
        <w:numPr>
          <w:ilvl w:val="0"/>
          <w:numId w:val="159"/>
        </w:numPr>
        <w:ind w:left="1276" w:right="-851"/>
        <w:contextualSpacing/>
        <w:outlineLvl w:val="1"/>
        <w:rPr>
          <w:rFonts w:eastAsia="Times New Roman"/>
          <w:b/>
          <w:bCs/>
          <w:sz w:val="22"/>
          <w:szCs w:val="22"/>
          <w:lang w:val="en-US" w:eastAsia="es-ES"/>
        </w:rPr>
      </w:pPr>
      <w:bookmarkStart w:id="453" w:name="_Toc67508582"/>
      <w:bookmarkStart w:id="454" w:name="_Toc69918770"/>
      <w:bookmarkStart w:id="455" w:name="_Toc73459817"/>
      <w:r w:rsidRPr="00681EC7">
        <w:rPr>
          <w:rFonts w:eastAsia="Times New Roman"/>
          <w:b/>
          <w:bCs/>
          <w:sz w:val="22"/>
          <w:szCs w:val="22"/>
          <w:lang w:val="en-US" w:eastAsia="es-ES"/>
        </w:rPr>
        <w:t>ÂGE D’ADMISSION À L’EMPLOI</w:t>
      </w:r>
      <w:bookmarkEnd w:id="453"/>
      <w:bookmarkEnd w:id="454"/>
      <w:bookmarkEnd w:id="455"/>
    </w:p>
    <w:p w:rsidR="00681EC7" w:rsidRPr="00681EC7" w:rsidRDefault="00681EC7" w:rsidP="005E613E">
      <w:pPr>
        <w:ind w:left="426" w:right="-851"/>
        <w:jc w:val="both"/>
        <w:rPr>
          <w:rFonts w:eastAsia="Calibri"/>
          <w:color w:val="000000"/>
          <w:sz w:val="21"/>
          <w:szCs w:val="21"/>
          <w:lang w:eastAsia="en-US"/>
        </w:rPr>
      </w:pPr>
      <w:r w:rsidRPr="00681EC7">
        <w:rPr>
          <w:rFonts w:eastAsia="Calibri"/>
          <w:color w:val="000000"/>
          <w:sz w:val="21"/>
          <w:szCs w:val="21"/>
          <w:lang w:eastAsia="en-US"/>
        </w:rPr>
        <w:t xml:space="preserve">Afin de réduire au maximum, les risques d’emploi des enfants dans le cadre du projet, l’âge minimum d’emploi sera fixé à 18 ans. La procédure à suivre pour vérifier l’âge des travailleurs consistera à exiger de ces derniers une pièce d’identité qui pourra être un numéro d’Immatriculation Fiscale (NIF) avec la photo du concerné, une Carte d’Identification Nationale (CIN), un passeport ou un acte de naissance avec deux témoins majeurs. </w:t>
      </w:r>
    </w:p>
    <w:p w:rsidR="00681EC7" w:rsidRPr="00681EC7" w:rsidRDefault="00681EC7" w:rsidP="005E613E">
      <w:pPr>
        <w:ind w:left="-284" w:right="-851"/>
        <w:jc w:val="both"/>
        <w:rPr>
          <w:rFonts w:eastAsia="Calibri"/>
          <w:color w:val="000000"/>
          <w:sz w:val="21"/>
          <w:szCs w:val="21"/>
          <w:lang w:eastAsia="en-US"/>
        </w:rPr>
      </w:pPr>
    </w:p>
    <w:p w:rsidR="00681EC7" w:rsidRPr="00681EC7" w:rsidRDefault="00681EC7" w:rsidP="005E613E">
      <w:pPr>
        <w:numPr>
          <w:ilvl w:val="0"/>
          <w:numId w:val="159"/>
        </w:numPr>
        <w:ind w:left="1276" w:right="-851"/>
        <w:contextualSpacing/>
        <w:outlineLvl w:val="1"/>
        <w:rPr>
          <w:rFonts w:eastAsia="Times New Roman"/>
          <w:b/>
          <w:bCs/>
          <w:sz w:val="22"/>
          <w:szCs w:val="22"/>
          <w:lang w:val="en-US" w:eastAsia="es-ES"/>
        </w:rPr>
      </w:pPr>
      <w:bookmarkStart w:id="456" w:name="_Toc67508583"/>
      <w:bookmarkStart w:id="457" w:name="_Toc69918771"/>
      <w:bookmarkStart w:id="458" w:name="_Toc73459818"/>
      <w:r w:rsidRPr="00681EC7">
        <w:rPr>
          <w:rFonts w:eastAsia="Times New Roman"/>
          <w:b/>
          <w:bCs/>
          <w:sz w:val="22"/>
          <w:szCs w:val="22"/>
          <w:lang w:val="en-US" w:eastAsia="es-ES"/>
        </w:rPr>
        <w:t>CONDITIONS GÉNÉRALES</w:t>
      </w:r>
      <w:bookmarkEnd w:id="456"/>
      <w:bookmarkEnd w:id="457"/>
      <w:bookmarkEnd w:id="458"/>
    </w:p>
    <w:p w:rsidR="00681EC7" w:rsidRPr="00681EC7" w:rsidRDefault="00681EC7" w:rsidP="005E613E">
      <w:pPr>
        <w:ind w:left="426" w:right="-851"/>
        <w:jc w:val="both"/>
        <w:rPr>
          <w:rFonts w:eastAsia="Calibri"/>
          <w:color w:val="000000"/>
          <w:sz w:val="21"/>
          <w:szCs w:val="21"/>
          <w:lang w:eastAsia="en-US"/>
        </w:rPr>
      </w:pPr>
      <w:r w:rsidRPr="00681EC7">
        <w:rPr>
          <w:rFonts w:eastAsia="Calibri"/>
          <w:b/>
          <w:color w:val="000000"/>
          <w:sz w:val="21"/>
          <w:szCs w:val="21"/>
          <w:lang w:eastAsia="en-US"/>
        </w:rPr>
        <w:t>Disposition d’un contrat de travail individuel écrit </w:t>
      </w:r>
      <w:r w:rsidRPr="00681EC7">
        <w:rPr>
          <w:rFonts w:eastAsia="Calibri"/>
          <w:color w:val="000000"/>
          <w:sz w:val="21"/>
          <w:szCs w:val="21"/>
          <w:lang w:eastAsia="en-US"/>
        </w:rPr>
        <w:t xml:space="preserve">: Le contrat écrit contiendra les énonciations suivantes : (a) les nom, prénoms, nationalité, âge, sexe, profession, état civil, demeure, domicile, numéro de la carte d’identité de chacun des contractants ; (b) l’indication précise de la résidence du travailleur(...) ; (c) la durée de la journée de travail et les heures pendant lesquelles il devra être exécuté ; (d) la nature du travail à effectuer, le traitement, le salaire ou la participation que doit recevoir (...) ; (e) le lieu où les lieux de prestation de services ou d’exécution de l’ouvrage ; (f) les lieux et la date de la conclusion du contrat ; (g) les signatures des contractants. </w:t>
      </w:r>
    </w:p>
    <w:p w:rsidR="00681EC7" w:rsidRPr="00681EC7" w:rsidRDefault="00681EC7" w:rsidP="005E613E">
      <w:pPr>
        <w:ind w:left="426" w:right="-851"/>
        <w:jc w:val="both"/>
        <w:rPr>
          <w:rFonts w:eastAsia="Calibri"/>
          <w:color w:val="000000"/>
          <w:sz w:val="21"/>
          <w:szCs w:val="21"/>
          <w:lang w:eastAsia="en-US"/>
        </w:rPr>
      </w:pPr>
    </w:p>
    <w:p w:rsidR="00681EC7" w:rsidRPr="00681EC7" w:rsidRDefault="00681EC7" w:rsidP="005E613E">
      <w:pPr>
        <w:ind w:left="426" w:right="-851"/>
        <w:jc w:val="both"/>
        <w:rPr>
          <w:rFonts w:eastAsia="Calibri"/>
          <w:color w:val="000000"/>
          <w:sz w:val="21"/>
          <w:szCs w:val="21"/>
          <w:lang w:eastAsia="en-US"/>
        </w:rPr>
      </w:pPr>
      <w:r w:rsidRPr="00681EC7">
        <w:rPr>
          <w:rFonts w:eastAsia="Calibri"/>
          <w:b/>
          <w:color w:val="000000"/>
          <w:sz w:val="21"/>
          <w:szCs w:val="21"/>
          <w:lang w:eastAsia="en-US"/>
        </w:rPr>
        <w:t>Du préavis </w:t>
      </w:r>
      <w:r w:rsidRPr="00681EC7">
        <w:rPr>
          <w:rFonts w:eastAsia="Calibri"/>
          <w:color w:val="000000"/>
          <w:sz w:val="21"/>
          <w:szCs w:val="21"/>
          <w:lang w:eastAsia="en-US"/>
        </w:rPr>
        <w:t xml:space="preserve">: L’employeur ou le salarié qui désire mettre fin au contrat de travail écrit devra préalablement en donner avis écrit à l’autre (...) Ce préavis sera calculé de la manière suivante : (a) de trois mois à douze mois de service, 15 jours ; (b) d’un an à trois ans de service, 1 mois </w:t>
      </w:r>
    </w:p>
    <w:p w:rsidR="00681EC7" w:rsidRPr="00681EC7" w:rsidRDefault="00681EC7" w:rsidP="005E613E">
      <w:pPr>
        <w:ind w:left="426" w:right="-851"/>
        <w:jc w:val="both"/>
        <w:rPr>
          <w:rFonts w:eastAsia="Calibri"/>
          <w:color w:val="000000"/>
          <w:sz w:val="21"/>
          <w:szCs w:val="21"/>
          <w:lang w:eastAsia="en-US"/>
        </w:rPr>
      </w:pPr>
    </w:p>
    <w:p w:rsidR="00681EC7" w:rsidRPr="00681EC7" w:rsidRDefault="00681EC7" w:rsidP="005E613E">
      <w:pPr>
        <w:ind w:left="426" w:right="-851"/>
        <w:jc w:val="both"/>
        <w:rPr>
          <w:rFonts w:eastAsia="Calibri"/>
          <w:color w:val="000000"/>
          <w:sz w:val="21"/>
          <w:szCs w:val="21"/>
          <w:lang w:eastAsia="en-US"/>
        </w:rPr>
      </w:pPr>
      <w:r w:rsidRPr="00681EC7">
        <w:rPr>
          <w:rFonts w:eastAsia="Calibri"/>
          <w:b/>
          <w:color w:val="000000"/>
          <w:sz w:val="21"/>
          <w:szCs w:val="21"/>
          <w:lang w:eastAsia="en-US"/>
        </w:rPr>
        <w:t>Du salaire minimal </w:t>
      </w:r>
      <w:r w:rsidRPr="00681EC7">
        <w:rPr>
          <w:rFonts w:eastAsia="Calibri"/>
          <w:color w:val="000000"/>
          <w:sz w:val="21"/>
          <w:szCs w:val="21"/>
          <w:lang w:eastAsia="en-US"/>
        </w:rPr>
        <w:t xml:space="preserve">: Le salaire minimal est fixé par loi ou décret sur rapport motivé du Conseil supérieur des salaires au ministère des Affaires sociales. Il sera périodiquement ajusté en fonction des variations du coût de la vie ou toutes les fois que l’indice officiel de l’inflation fixé par l’Institut haïtien de statistique et d’informatique accuse une augmentation d’au moins 10 pour cent sur une période d’une année fiscale. </w:t>
      </w:r>
    </w:p>
    <w:p w:rsidR="00681EC7" w:rsidRPr="00681EC7" w:rsidRDefault="00681EC7" w:rsidP="005E613E">
      <w:pPr>
        <w:ind w:left="426" w:right="-851"/>
        <w:jc w:val="both"/>
        <w:rPr>
          <w:rFonts w:eastAsia="Calibri"/>
          <w:color w:val="000000"/>
          <w:sz w:val="21"/>
          <w:szCs w:val="21"/>
          <w:lang w:eastAsia="en-US"/>
        </w:rPr>
      </w:pPr>
    </w:p>
    <w:p w:rsidR="00681EC7" w:rsidRPr="00681EC7" w:rsidRDefault="00681EC7" w:rsidP="005E613E">
      <w:pPr>
        <w:ind w:left="426" w:right="-851"/>
        <w:jc w:val="both"/>
        <w:rPr>
          <w:rFonts w:eastAsia="Calibri"/>
          <w:color w:val="000000"/>
          <w:sz w:val="21"/>
          <w:szCs w:val="21"/>
          <w:lang w:eastAsia="en-US"/>
        </w:rPr>
      </w:pPr>
      <w:r w:rsidRPr="00681EC7">
        <w:rPr>
          <w:rFonts w:eastAsia="Calibri"/>
          <w:b/>
          <w:color w:val="000000"/>
          <w:sz w:val="21"/>
          <w:szCs w:val="21"/>
          <w:lang w:eastAsia="en-US"/>
        </w:rPr>
        <w:t>De la durée de travail </w:t>
      </w:r>
      <w:r w:rsidRPr="00681EC7">
        <w:rPr>
          <w:rFonts w:eastAsia="Calibri"/>
          <w:color w:val="000000"/>
          <w:sz w:val="21"/>
          <w:szCs w:val="21"/>
          <w:lang w:eastAsia="en-US"/>
        </w:rPr>
        <w:t xml:space="preserve">: La durée normale du travail est de huit heures par jour et de quarante-huit heures par semaine. Sans excéder neuf heures par jour pour les établissements industriels et dix heures par jour pour les établissements commerciaux et les bureaux, les parties peuvent se mettre d’accord entre elles pour repartir la durée hebdomadaire du travail autrement que par huit heures par jour, uniquement lorsque l’horaire du travail est de quarante-huit heures par semaine ou lorsque l’établissement de travail utilise les services de son personnel six jours par semaine. </w:t>
      </w:r>
    </w:p>
    <w:p w:rsidR="00681EC7" w:rsidRPr="00681EC7" w:rsidRDefault="00681EC7" w:rsidP="005E613E">
      <w:pPr>
        <w:ind w:left="426" w:right="-851"/>
        <w:jc w:val="both"/>
        <w:rPr>
          <w:rFonts w:eastAsia="Calibri"/>
          <w:color w:val="000000"/>
          <w:sz w:val="21"/>
          <w:szCs w:val="21"/>
          <w:lang w:eastAsia="en-US"/>
        </w:rPr>
      </w:pPr>
    </w:p>
    <w:p w:rsidR="00681EC7" w:rsidRPr="00681EC7" w:rsidRDefault="00681EC7" w:rsidP="005E613E">
      <w:pPr>
        <w:ind w:left="426" w:right="-851"/>
        <w:jc w:val="both"/>
        <w:rPr>
          <w:rFonts w:eastAsia="Calibri"/>
          <w:color w:val="000000"/>
          <w:sz w:val="21"/>
          <w:szCs w:val="21"/>
          <w:lang w:eastAsia="en-US"/>
        </w:rPr>
      </w:pPr>
      <w:r w:rsidRPr="00681EC7">
        <w:rPr>
          <w:rFonts w:eastAsia="Calibri"/>
          <w:b/>
          <w:color w:val="000000"/>
          <w:sz w:val="21"/>
          <w:szCs w:val="21"/>
          <w:lang w:eastAsia="en-US"/>
        </w:rPr>
        <w:t xml:space="preserve">Des congés payés : </w:t>
      </w:r>
      <w:r w:rsidRPr="00681EC7">
        <w:rPr>
          <w:rFonts w:eastAsia="Calibri"/>
          <w:color w:val="000000"/>
          <w:sz w:val="21"/>
          <w:szCs w:val="21"/>
          <w:lang w:eastAsia="en-US"/>
        </w:rPr>
        <w:t xml:space="preserve">Tout travailleur dont l’emploi a un caractère permanent aura droit, après une année de service, à un congé payé d’au moins quinze jours consécutifs, comprenant treize jours ouvrables et deux dimanches. </w:t>
      </w:r>
    </w:p>
    <w:p w:rsidR="00681EC7" w:rsidRPr="00681EC7" w:rsidRDefault="00681EC7" w:rsidP="005E613E">
      <w:pPr>
        <w:ind w:left="426" w:right="-851"/>
        <w:jc w:val="both"/>
        <w:rPr>
          <w:rFonts w:eastAsia="Calibri"/>
          <w:color w:val="000000"/>
          <w:sz w:val="21"/>
          <w:szCs w:val="21"/>
          <w:lang w:eastAsia="en-US"/>
        </w:rPr>
      </w:pPr>
    </w:p>
    <w:p w:rsidR="00681EC7" w:rsidRPr="00681EC7" w:rsidRDefault="00681EC7" w:rsidP="005E613E">
      <w:pPr>
        <w:ind w:left="426" w:right="-851"/>
        <w:jc w:val="both"/>
        <w:rPr>
          <w:rFonts w:eastAsia="Calibri"/>
          <w:color w:val="000000"/>
          <w:sz w:val="21"/>
          <w:szCs w:val="21"/>
          <w:lang w:eastAsia="en-US"/>
        </w:rPr>
      </w:pPr>
      <w:r w:rsidRPr="00681EC7">
        <w:rPr>
          <w:rFonts w:eastAsia="Calibri"/>
          <w:b/>
          <w:color w:val="000000"/>
          <w:sz w:val="21"/>
          <w:szCs w:val="21"/>
          <w:lang w:eastAsia="en-US"/>
        </w:rPr>
        <w:t>Du congé de maternité </w:t>
      </w:r>
      <w:r w:rsidRPr="00681EC7">
        <w:rPr>
          <w:rFonts w:eastAsia="Calibri"/>
          <w:color w:val="000000"/>
          <w:sz w:val="21"/>
          <w:szCs w:val="21"/>
          <w:lang w:eastAsia="en-US"/>
        </w:rPr>
        <w:t xml:space="preserve">: Toute femme enceinte à droit, sur production d’un certificat médical indiquant la date présumée de son accouchement, a un congé de maternité au cours duquel elle sera rémunérée comme si elle continuait à travailler. </w:t>
      </w:r>
    </w:p>
    <w:p w:rsidR="00681EC7" w:rsidRPr="00681EC7" w:rsidRDefault="00681EC7" w:rsidP="005E613E">
      <w:pPr>
        <w:ind w:left="426" w:right="-851"/>
        <w:jc w:val="both"/>
        <w:rPr>
          <w:rFonts w:eastAsia="Calibri"/>
          <w:color w:val="000000"/>
          <w:sz w:val="21"/>
          <w:szCs w:val="21"/>
          <w:lang w:eastAsia="en-US"/>
        </w:rPr>
      </w:pPr>
    </w:p>
    <w:p w:rsidR="00681EC7" w:rsidRPr="00681EC7" w:rsidRDefault="00681EC7" w:rsidP="005E613E">
      <w:pPr>
        <w:ind w:left="426" w:right="-851"/>
        <w:jc w:val="both"/>
        <w:rPr>
          <w:rFonts w:eastAsia="Calibri"/>
          <w:color w:val="000000"/>
          <w:sz w:val="21"/>
          <w:szCs w:val="21"/>
          <w:lang w:eastAsia="en-US"/>
        </w:rPr>
      </w:pPr>
      <w:r w:rsidRPr="00681EC7">
        <w:rPr>
          <w:rFonts w:eastAsia="Calibri"/>
          <w:b/>
          <w:color w:val="000000"/>
          <w:sz w:val="21"/>
          <w:szCs w:val="21"/>
          <w:lang w:eastAsia="en-US"/>
        </w:rPr>
        <w:t>Des pauses d’allaitement</w:t>
      </w:r>
      <w:r w:rsidRPr="00681EC7">
        <w:rPr>
          <w:rFonts w:eastAsia="Calibri"/>
          <w:color w:val="000000"/>
          <w:sz w:val="21"/>
          <w:szCs w:val="21"/>
          <w:lang w:eastAsia="en-US"/>
        </w:rPr>
        <w:t xml:space="preserve"> : Toute mère allaitant son enfant peut à cet effet disposer là où elle travaille, et deux fois par jour, d’une demi-heure prise sur sa journée de travail ou, si elle préfère, d’un intervalle de quinze minutes toutes les trois heures. Ces moments de repos sont rémunérés. </w:t>
      </w:r>
    </w:p>
    <w:p w:rsidR="00681EC7" w:rsidRPr="00681EC7" w:rsidRDefault="00681EC7" w:rsidP="005E613E">
      <w:pPr>
        <w:ind w:left="426" w:right="-851"/>
        <w:jc w:val="both"/>
        <w:rPr>
          <w:rFonts w:eastAsia="Calibri"/>
          <w:color w:val="000000"/>
          <w:sz w:val="21"/>
          <w:szCs w:val="21"/>
          <w:lang w:eastAsia="en-US"/>
        </w:rPr>
      </w:pPr>
    </w:p>
    <w:p w:rsidR="00681EC7" w:rsidRPr="00681EC7" w:rsidRDefault="00681EC7" w:rsidP="005E613E">
      <w:pPr>
        <w:ind w:left="426" w:right="-851"/>
        <w:jc w:val="both"/>
        <w:rPr>
          <w:rFonts w:eastAsia="Calibri"/>
          <w:color w:val="000000"/>
          <w:sz w:val="21"/>
          <w:szCs w:val="21"/>
          <w:lang w:eastAsia="en-US"/>
        </w:rPr>
      </w:pPr>
      <w:r w:rsidRPr="00681EC7">
        <w:rPr>
          <w:rFonts w:eastAsia="Calibri"/>
          <w:b/>
          <w:color w:val="000000"/>
          <w:sz w:val="21"/>
          <w:szCs w:val="21"/>
          <w:lang w:eastAsia="en-US"/>
        </w:rPr>
        <w:t>Déductions légales et conventionnelles </w:t>
      </w:r>
      <w:r w:rsidRPr="00681EC7">
        <w:rPr>
          <w:rFonts w:eastAsia="Calibri"/>
          <w:color w:val="000000"/>
          <w:sz w:val="21"/>
          <w:szCs w:val="21"/>
          <w:lang w:eastAsia="en-US"/>
        </w:rPr>
        <w:t xml:space="preserve">: Tout prêt ou toute avance consentie par un employeur ne peut être remboursé qu’au moyen de retenues successives ne dépassant pas le sixième du montant des salaires contractuels, sauf en cas de rupture du contrat de travail quand les garanties de remboursement données par le travailleur sont insuffisantes. En aucun cas l’employeur ne doit prêter de l’argent à intérêt à un membre quelconque de son personnel. </w:t>
      </w:r>
    </w:p>
    <w:p w:rsidR="00681EC7" w:rsidRPr="00681EC7" w:rsidRDefault="00681EC7" w:rsidP="005E613E">
      <w:pPr>
        <w:ind w:left="-284" w:right="-851"/>
        <w:jc w:val="both"/>
        <w:rPr>
          <w:rFonts w:eastAsia="Calibri"/>
          <w:color w:val="000000"/>
          <w:sz w:val="21"/>
          <w:szCs w:val="21"/>
          <w:lang w:eastAsia="en-US"/>
        </w:rPr>
      </w:pPr>
    </w:p>
    <w:p w:rsidR="00681EC7" w:rsidRPr="00681EC7" w:rsidRDefault="00681EC7" w:rsidP="005E613E">
      <w:pPr>
        <w:numPr>
          <w:ilvl w:val="0"/>
          <w:numId w:val="159"/>
        </w:numPr>
        <w:ind w:left="1276" w:right="-851"/>
        <w:contextualSpacing/>
        <w:outlineLvl w:val="1"/>
        <w:rPr>
          <w:rFonts w:eastAsia="Times New Roman"/>
          <w:b/>
          <w:bCs/>
          <w:sz w:val="22"/>
          <w:szCs w:val="22"/>
          <w:lang w:val="en-US" w:eastAsia="es-ES"/>
        </w:rPr>
      </w:pPr>
      <w:bookmarkStart w:id="459" w:name="_Toc67508584"/>
      <w:bookmarkStart w:id="460" w:name="_Toc69918772"/>
      <w:bookmarkStart w:id="461" w:name="_Toc73459819"/>
      <w:r w:rsidRPr="00681EC7">
        <w:rPr>
          <w:rFonts w:eastAsia="Times New Roman"/>
          <w:b/>
          <w:bCs/>
          <w:sz w:val="22"/>
          <w:szCs w:val="22"/>
          <w:lang w:val="en-US" w:eastAsia="es-ES"/>
        </w:rPr>
        <w:t>MÉCANISME DE GESTION DES PLAINTES</w:t>
      </w:r>
      <w:bookmarkEnd w:id="459"/>
      <w:bookmarkEnd w:id="460"/>
      <w:bookmarkEnd w:id="461"/>
    </w:p>
    <w:p w:rsidR="00681EC7" w:rsidRPr="00681EC7" w:rsidRDefault="00681EC7" w:rsidP="005E613E">
      <w:pPr>
        <w:ind w:left="426" w:right="-851"/>
        <w:jc w:val="both"/>
        <w:rPr>
          <w:rFonts w:eastAsia="Calibri"/>
          <w:sz w:val="21"/>
          <w:szCs w:val="21"/>
        </w:rPr>
      </w:pPr>
      <w:r w:rsidRPr="00681EC7">
        <w:rPr>
          <w:rFonts w:eastAsia="Calibri"/>
          <w:sz w:val="21"/>
          <w:szCs w:val="21"/>
        </w:rPr>
        <w:t xml:space="preserve">Le principal objectif d'un mécanisme de gestion des plaintes (MGP) est d'aider à résoudre les plaintes et les griefs d'une manière opportune, efficace et efficiente qui satisfait toutes les parties concernées. Plus précisément, il fournit un processus transparent et crédible pour des résultats équitables, efficaces et </w:t>
      </w:r>
      <w:r w:rsidR="00064F08" w:rsidRPr="00681EC7">
        <w:rPr>
          <w:rFonts w:eastAsia="Calibri"/>
          <w:sz w:val="21"/>
          <w:szCs w:val="21"/>
        </w:rPr>
        <w:t>durables.</w:t>
      </w:r>
      <w:r w:rsidRPr="00681EC7">
        <w:rPr>
          <w:rFonts w:eastAsia="Calibri"/>
          <w:sz w:val="21"/>
          <w:szCs w:val="21"/>
        </w:rPr>
        <w:t xml:space="preserve"> Le MGP qui est sensible aux plaintes SEA / SH est également une mesure d'atténuation de SEA / SH car il sensibilise au problème, offre aux survivants un moyen sûr de signaler les abus et d'accéder aux services. </w:t>
      </w:r>
    </w:p>
    <w:p w:rsidR="00681EC7" w:rsidRPr="00681EC7" w:rsidRDefault="00681EC7" w:rsidP="005E613E">
      <w:pPr>
        <w:ind w:left="426" w:right="-851"/>
        <w:jc w:val="both"/>
        <w:rPr>
          <w:rFonts w:eastAsia="Calibri"/>
          <w:sz w:val="21"/>
          <w:szCs w:val="21"/>
        </w:rPr>
      </w:pPr>
    </w:p>
    <w:p w:rsidR="00681EC7" w:rsidRPr="00681EC7" w:rsidRDefault="00681EC7" w:rsidP="005E613E">
      <w:pPr>
        <w:ind w:left="426" w:right="-851"/>
        <w:jc w:val="both"/>
        <w:rPr>
          <w:rFonts w:eastAsia="Calibri"/>
          <w:sz w:val="21"/>
          <w:szCs w:val="21"/>
        </w:rPr>
      </w:pPr>
      <w:r w:rsidRPr="00681EC7">
        <w:rPr>
          <w:rFonts w:eastAsia="Calibri"/>
          <w:sz w:val="21"/>
          <w:szCs w:val="21"/>
        </w:rPr>
        <w:t>Plus précisément, le GMP :</w:t>
      </w:r>
    </w:p>
    <w:p w:rsidR="00681EC7" w:rsidRPr="00681EC7" w:rsidRDefault="00681EC7" w:rsidP="005E613E">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right="-851"/>
        <w:contextualSpacing/>
        <w:jc w:val="both"/>
        <w:rPr>
          <w:rFonts w:eastAsia="Calibri"/>
          <w:sz w:val="21"/>
          <w:szCs w:val="21"/>
        </w:rPr>
      </w:pPr>
      <w:r w:rsidRPr="00681EC7">
        <w:rPr>
          <w:rFonts w:eastAsia="Calibri"/>
          <w:sz w:val="21"/>
          <w:szCs w:val="21"/>
        </w:rPr>
        <w:t>Fournit aux personnes concernées des moyens de déposer une plainte ou de résoudre tout différend pouvant survenir au cours de la mise en œuvre des projets ;</w:t>
      </w:r>
    </w:p>
    <w:p w:rsidR="00681EC7" w:rsidRPr="00681EC7" w:rsidRDefault="00681EC7" w:rsidP="005E613E">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right="-851"/>
        <w:contextualSpacing/>
        <w:jc w:val="both"/>
        <w:rPr>
          <w:rFonts w:eastAsia="Calibri"/>
          <w:sz w:val="21"/>
          <w:szCs w:val="21"/>
        </w:rPr>
      </w:pPr>
      <w:r w:rsidRPr="00681EC7">
        <w:rPr>
          <w:rFonts w:eastAsia="Calibri"/>
          <w:sz w:val="21"/>
          <w:szCs w:val="21"/>
        </w:rPr>
        <w:t xml:space="preserve">S'assure que des actions de réparation appropriées et mutuellement acceptables sont identifiées et mises en œuvre à la satisfaction des plaignants ; </w:t>
      </w:r>
    </w:p>
    <w:p w:rsidR="00681EC7" w:rsidRPr="00681EC7" w:rsidRDefault="00681EC7" w:rsidP="005E613E">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right="-851"/>
        <w:contextualSpacing/>
        <w:jc w:val="both"/>
        <w:rPr>
          <w:rFonts w:eastAsia="Calibri"/>
          <w:sz w:val="21"/>
          <w:szCs w:val="21"/>
        </w:rPr>
      </w:pPr>
      <w:r w:rsidRPr="00681EC7">
        <w:rPr>
          <w:rFonts w:eastAsia="Calibri"/>
          <w:sz w:val="21"/>
          <w:szCs w:val="21"/>
        </w:rPr>
        <w:t>Fournit des références aux service</w:t>
      </w:r>
      <w:r w:rsidR="007652A7">
        <w:rPr>
          <w:rFonts w:eastAsia="Calibri"/>
          <w:sz w:val="21"/>
          <w:szCs w:val="21"/>
        </w:rPr>
        <w:t xml:space="preserve">s pour les survivants de SEA / </w:t>
      </w:r>
      <w:r w:rsidRPr="00681EC7">
        <w:rPr>
          <w:rFonts w:eastAsia="Calibri"/>
          <w:sz w:val="21"/>
          <w:szCs w:val="21"/>
        </w:rPr>
        <w:t>H</w:t>
      </w:r>
      <w:r w:rsidR="007652A7">
        <w:rPr>
          <w:rFonts w:eastAsia="Calibri"/>
          <w:sz w:val="21"/>
          <w:szCs w:val="21"/>
        </w:rPr>
        <w:t>S</w:t>
      </w:r>
      <w:r w:rsidRPr="00681EC7">
        <w:rPr>
          <w:rFonts w:eastAsia="Calibri"/>
          <w:sz w:val="21"/>
          <w:szCs w:val="21"/>
        </w:rPr>
        <w:t>; et</w:t>
      </w:r>
    </w:p>
    <w:p w:rsidR="00681EC7" w:rsidRPr="00681EC7" w:rsidRDefault="00681EC7" w:rsidP="005E613E">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right="-851"/>
        <w:contextualSpacing/>
        <w:jc w:val="both"/>
        <w:rPr>
          <w:rFonts w:eastAsia="Calibri"/>
          <w:sz w:val="21"/>
          <w:szCs w:val="21"/>
        </w:rPr>
      </w:pPr>
      <w:r w:rsidRPr="00681EC7">
        <w:rPr>
          <w:rFonts w:eastAsia="Calibri"/>
          <w:sz w:val="21"/>
          <w:szCs w:val="21"/>
        </w:rPr>
        <w:t>Évite la nécessité de recourir à des procédures judiciaires.</w:t>
      </w:r>
    </w:p>
    <w:p w:rsidR="00CE5DCA" w:rsidRPr="00681EC7" w:rsidRDefault="00CE5DCA" w:rsidP="005E613E">
      <w:pPr>
        <w:ind w:right="-851"/>
        <w:contextualSpacing/>
        <w:jc w:val="both"/>
        <w:rPr>
          <w:rFonts w:eastAsia="Times New Roman"/>
          <w:sz w:val="21"/>
          <w:szCs w:val="21"/>
          <w:lang w:eastAsia="en-US"/>
        </w:rPr>
      </w:pPr>
    </w:p>
    <w:p w:rsidR="00681EC7" w:rsidRPr="00681EC7" w:rsidRDefault="00681EC7" w:rsidP="005E613E">
      <w:pPr>
        <w:ind w:left="426" w:right="-851"/>
        <w:outlineLvl w:val="1"/>
        <w:rPr>
          <w:rFonts w:eastAsia="Calibri"/>
          <w:b/>
          <w:bCs/>
          <w:sz w:val="21"/>
          <w:szCs w:val="21"/>
        </w:rPr>
      </w:pPr>
      <w:bookmarkStart w:id="462" w:name="_Toc67508585"/>
      <w:bookmarkStart w:id="463" w:name="_Toc69918773"/>
      <w:bookmarkStart w:id="464" w:name="_Toc73459820"/>
      <w:r w:rsidRPr="00681EC7">
        <w:rPr>
          <w:rFonts w:eastAsia="Calibri"/>
          <w:b/>
          <w:bCs/>
          <w:sz w:val="21"/>
          <w:szCs w:val="21"/>
        </w:rPr>
        <w:t>Organisation du Mécanisme de Gestion des Plaintes</w:t>
      </w:r>
      <w:bookmarkEnd w:id="462"/>
      <w:bookmarkEnd w:id="463"/>
      <w:bookmarkEnd w:id="464"/>
    </w:p>
    <w:p w:rsidR="00681EC7" w:rsidRPr="00681EC7" w:rsidRDefault="00681EC7" w:rsidP="005E613E">
      <w:pPr>
        <w:ind w:left="426" w:right="-851"/>
        <w:rPr>
          <w:rFonts w:eastAsia="Calibri"/>
          <w:sz w:val="21"/>
          <w:szCs w:val="21"/>
        </w:rPr>
      </w:pPr>
      <w:r w:rsidRPr="00681EC7">
        <w:rPr>
          <w:rFonts w:eastAsia="Calibri"/>
          <w:sz w:val="21"/>
          <w:szCs w:val="21"/>
        </w:rPr>
        <w:t>Le Mécanisme de Gestion des Plaintes du projet PUSA s’organise en deux niveaux, ce qui permet aussi de définir les organes de gestion à chaque niveau.</w:t>
      </w:r>
    </w:p>
    <w:p w:rsidR="00681EC7" w:rsidRPr="00681EC7" w:rsidRDefault="00681EC7" w:rsidP="005E613E">
      <w:pPr>
        <w:ind w:left="-284" w:right="-851"/>
        <w:rPr>
          <w:rFonts w:eastAsia="Calibri"/>
          <w:sz w:val="21"/>
          <w:szCs w:val="21"/>
        </w:rPr>
      </w:pPr>
    </w:p>
    <w:p w:rsidR="00681EC7" w:rsidRPr="00681EC7" w:rsidRDefault="00681EC7" w:rsidP="005E613E">
      <w:pPr>
        <w:numPr>
          <w:ilvl w:val="0"/>
          <w:numId w:val="95"/>
        </w:numPr>
        <w:ind w:right="-851"/>
        <w:contextualSpacing/>
        <w:rPr>
          <w:rFonts w:eastAsia="Times New Roman"/>
          <w:b/>
          <w:sz w:val="21"/>
          <w:szCs w:val="21"/>
          <w:lang w:eastAsia="en-US"/>
        </w:rPr>
      </w:pPr>
      <w:r w:rsidRPr="00681EC7">
        <w:rPr>
          <w:rFonts w:eastAsia="Times New Roman"/>
          <w:b/>
          <w:sz w:val="21"/>
          <w:szCs w:val="21"/>
          <w:lang w:eastAsia="en-US"/>
        </w:rPr>
        <w:t>Niveau du projet PUSA</w:t>
      </w:r>
    </w:p>
    <w:p w:rsidR="00681EC7" w:rsidRPr="00681EC7" w:rsidRDefault="00681EC7" w:rsidP="005E613E">
      <w:pPr>
        <w:ind w:left="284" w:right="-851"/>
        <w:jc w:val="both"/>
        <w:rPr>
          <w:rFonts w:eastAsia="Times New Roman"/>
          <w:sz w:val="21"/>
          <w:szCs w:val="21"/>
          <w:lang w:eastAsia="en-US"/>
        </w:rPr>
      </w:pPr>
      <w:r w:rsidRPr="00681EC7">
        <w:rPr>
          <w:rFonts w:eastAsia="Calibri"/>
          <w:sz w:val="21"/>
          <w:szCs w:val="21"/>
        </w:rPr>
        <w:t>L’UCP du projet PUSA assure la supervision de la mise en œuvre du MGP</w:t>
      </w:r>
      <w:r w:rsidRPr="00681EC7">
        <w:rPr>
          <w:rFonts w:eastAsia="Times New Roman"/>
          <w:sz w:val="21"/>
          <w:szCs w:val="21"/>
          <w:lang w:eastAsia="en-US"/>
        </w:rPr>
        <w:t xml:space="preserve"> </w:t>
      </w:r>
      <w:r w:rsidR="0057150A">
        <w:rPr>
          <w:rFonts w:eastAsia="Times New Roman"/>
          <w:sz w:val="21"/>
          <w:szCs w:val="21"/>
          <w:lang w:eastAsia="en-US"/>
        </w:rPr>
        <w:t>au niveau des</w:t>
      </w:r>
      <w:r w:rsidR="00855968">
        <w:rPr>
          <w:rFonts w:eastAsia="Times New Roman"/>
          <w:sz w:val="21"/>
          <w:szCs w:val="21"/>
          <w:lang w:eastAsia="en-US"/>
        </w:rPr>
        <w:t xml:space="preserve"> chantiers</w:t>
      </w:r>
    </w:p>
    <w:p w:rsidR="00681EC7" w:rsidRPr="00681EC7" w:rsidRDefault="00681EC7" w:rsidP="005E613E">
      <w:pPr>
        <w:ind w:left="1068" w:right="-851"/>
        <w:contextualSpacing/>
        <w:rPr>
          <w:rFonts w:eastAsia="Times New Roman"/>
          <w:sz w:val="21"/>
          <w:szCs w:val="21"/>
          <w:lang w:eastAsia="en-US"/>
        </w:rPr>
      </w:pPr>
    </w:p>
    <w:p w:rsidR="00681EC7" w:rsidRPr="00681EC7" w:rsidRDefault="00681EC7" w:rsidP="005E613E">
      <w:pPr>
        <w:numPr>
          <w:ilvl w:val="0"/>
          <w:numId w:val="95"/>
        </w:numPr>
        <w:ind w:right="-851"/>
        <w:contextualSpacing/>
        <w:rPr>
          <w:rFonts w:eastAsia="Times New Roman"/>
          <w:b/>
          <w:sz w:val="21"/>
          <w:szCs w:val="21"/>
          <w:lang w:eastAsia="en-US"/>
        </w:rPr>
      </w:pPr>
      <w:r w:rsidRPr="00681EC7">
        <w:rPr>
          <w:rFonts w:eastAsia="Times New Roman"/>
          <w:b/>
          <w:sz w:val="21"/>
          <w:szCs w:val="21"/>
          <w:lang w:eastAsia="en-US"/>
        </w:rPr>
        <w:t>Description du MGP</w:t>
      </w:r>
    </w:p>
    <w:p w:rsidR="00681EC7" w:rsidRPr="00681EC7" w:rsidRDefault="00681EC7" w:rsidP="005E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851"/>
        <w:contextualSpacing/>
        <w:rPr>
          <w:rFonts w:eastAsia="Calibri"/>
          <w:sz w:val="21"/>
          <w:szCs w:val="21"/>
        </w:rPr>
      </w:pPr>
      <w:r w:rsidRPr="00681EC7">
        <w:rPr>
          <w:rFonts w:eastAsia="Calibri"/>
          <w:sz w:val="21"/>
          <w:szCs w:val="21"/>
        </w:rPr>
        <w:t xml:space="preserve">Le </w:t>
      </w:r>
      <w:r w:rsidR="0057150A" w:rsidRPr="00681EC7">
        <w:rPr>
          <w:rFonts w:eastAsia="Calibri"/>
          <w:sz w:val="21"/>
          <w:szCs w:val="21"/>
        </w:rPr>
        <w:t>MGP comprendra</w:t>
      </w:r>
      <w:r w:rsidRPr="00681EC7">
        <w:rPr>
          <w:rFonts w:eastAsia="Calibri"/>
          <w:sz w:val="21"/>
          <w:szCs w:val="21"/>
        </w:rPr>
        <w:t xml:space="preserve"> les étapes </w:t>
      </w:r>
      <w:r w:rsidR="00064F08" w:rsidRPr="00681EC7">
        <w:rPr>
          <w:rFonts w:eastAsia="Calibri"/>
          <w:sz w:val="21"/>
          <w:szCs w:val="21"/>
        </w:rPr>
        <w:t>suivantes :</w:t>
      </w:r>
      <w:r w:rsidRPr="00681EC7">
        <w:rPr>
          <w:rFonts w:eastAsia="Calibri"/>
          <w:sz w:val="21"/>
          <w:szCs w:val="21"/>
        </w:rPr>
        <w:t xml:space="preserve"> </w:t>
      </w:r>
    </w:p>
    <w:p w:rsidR="00681EC7" w:rsidRPr="00681EC7" w:rsidRDefault="00681EC7" w:rsidP="005E613E">
      <w:pPr>
        <w:numPr>
          <w:ilvl w:val="0"/>
          <w:numId w:val="156"/>
        </w:numPr>
        <w:ind w:left="1134" w:right="-851" w:hanging="633"/>
        <w:contextualSpacing/>
        <w:jc w:val="thaiDistribute"/>
        <w:rPr>
          <w:rFonts w:eastAsia="Times New Roman"/>
          <w:sz w:val="21"/>
          <w:szCs w:val="21"/>
        </w:rPr>
      </w:pPr>
      <w:r w:rsidRPr="00681EC7">
        <w:rPr>
          <w:rFonts w:eastAsia="Times New Roman"/>
          <w:sz w:val="21"/>
          <w:szCs w:val="21"/>
        </w:rPr>
        <w:t>Étape 1: Soumission des griefs</w:t>
      </w:r>
    </w:p>
    <w:p w:rsidR="00681EC7" w:rsidRPr="00681EC7" w:rsidRDefault="00681EC7" w:rsidP="005E613E">
      <w:pPr>
        <w:numPr>
          <w:ilvl w:val="0"/>
          <w:numId w:val="156"/>
        </w:numPr>
        <w:ind w:left="1134" w:right="-851" w:hanging="633"/>
        <w:contextualSpacing/>
        <w:jc w:val="thaiDistribute"/>
        <w:rPr>
          <w:rFonts w:eastAsia="Times New Roman"/>
          <w:sz w:val="21"/>
          <w:szCs w:val="21"/>
        </w:rPr>
      </w:pPr>
      <w:r w:rsidRPr="00681EC7">
        <w:rPr>
          <w:rFonts w:eastAsia="Times New Roman"/>
          <w:sz w:val="21"/>
          <w:szCs w:val="21"/>
        </w:rPr>
        <w:t>Étape 2: Enregistrement du grief et fourniture de la réponse initiale</w:t>
      </w:r>
    </w:p>
    <w:p w:rsidR="00681EC7" w:rsidRPr="00681EC7" w:rsidRDefault="00681EC7" w:rsidP="005E613E">
      <w:pPr>
        <w:numPr>
          <w:ilvl w:val="0"/>
          <w:numId w:val="156"/>
        </w:numPr>
        <w:ind w:left="1134" w:right="-851" w:hanging="633"/>
        <w:contextualSpacing/>
        <w:jc w:val="thaiDistribute"/>
        <w:rPr>
          <w:rFonts w:eastAsia="Times New Roman"/>
          <w:sz w:val="21"/>
          <w:szCs w:val="21"/>
        </w:rPr>
      </w:pPr>
      <w:r w:rsidRPr="00681EC7">
        <w:rPr>
          <w:rFonts w:eastAsia="Times New Roman"/>
          <w:sz w:val="21"/>
          <w:szCs w:val="21"/>
        </w:rPr>
        <w:t>Étape 3: Enquête sur le grief</w:t>
      </w:r>
    </w:p>
    <w:p w:rsidR="00681EC7" w:rsidRPr="00681EC7" w:rsidRDefault="00681EC7" w:rsidP="005E613E">
      <w:pPr>
        <w:numPr>
          <w:ilvl w:val="0"/>
          <w:numId w:val="156"/>
        </w:numPr>
        <w:ind w:left="1134" w:right="-851" w:hanging="633"/>
        <w:contextualSpacing/>
        <w:jc w:val="thaiDistribute"/>
        <w:rPr>
          <w:rFonts w:eastAsia="Times New Roman"/>
          <w:sz w:val="21"/>
          <w:szCs w:val="21"/>
        </w:rPr>
      </w:pPr>
      <w:r w:rsidRPr="00681EC7">
        <w:rPr>
          <w:rFonts w:eastAsia="Times New Roman"/>
          <w:sz w:val="21"/>
          <w:szCs w:val="21"/>
        </w:rPr>
        <w:t>Étape 4: Communication de la réponse</w:t>
      </w:r>
    </w:p>
    <w:p w:rsidR="00681EC7" w:rsidRPr="00681EC7" w:rsidRDefault="00681EC7" w:rsidP="005E613E">
      <w:pPr>
        <w:numPr>
          <w:ilvl w:val="0"/>
          <w:numId w:val="156"/>
        </w:numPr>
        <w:ind w:left="1134" w:right="-851" w:hanging="633"/>
        <w:contextualSpacing/>
        <w:jc w:val="thaiDistribute"/>
        <w:rPr>
          <w:rFonts w:eastAsia="Times New Roman"/>
          <w:sz w:val="21"/>
          <w:szCs w:val="21"/>
        </w:rPr>
      </w:pPr>
      <w:r w:rsidRPr="00681EC7">
        <w:rPr>
          <w:rFonts w:eastAsia="Times New Roman"/>
          <w:sz w:val="21"/>
          <w:szCs w:val="21"/>
        </w:rPr>
        <w:t>Étape 5: Réponse du plaignant</w:t>
      </w:r>
    </w:p>
    <w:p w:rsidR="00681EC7" w:rsidRPr="00681EC7" w:rsidRDefault="00681EC7" w:rsidP="005E613E">
      <w:pPr>
        <w:numPr>
          <w:ilvl w:val="0"/>
          <w:numId w:val="156"/>
        </w:numPr>
        <w:ind w:left="1134" w:right="-851" w:hanging="633"/>
        <w:contextualSpacing/>
        <w:jc w:val="thaiDistribute"/>
        <w:rPr>
          <w:rFonts w:eastAsia="Times New Roman"/>
          <w:i/>
          <w:sz w:val="21"/>
          <w:szCs w:val="21"/>
        </w:rPr>
      </w:pPr>
      <w:r w:rsidRPr="00681EC7">
        <w:rPr>
          <w:rFonts w:eastAsia="Times New Roman"/>
          <w:sz w:val="21"/>
          <w:szCs w:val="21"/>
        </w:rPr>
        <w:t>Étape 6: Clôture du grief ou prise de mesures supplémentaires si le grief reste ouvert</w:t>
      </w:r>
      <w:r w:rsidRPr="00681EC7">
        <w:rPr>
          <w:rFonts w:eastAsia="Times New Roman"/>
          <w:i/>
          <w:sz w:val="21"/>
          <w:szCs w:val="21"/>
        </w:rPr>
        <w:t xml:space="preserve"> </w:t>
      </w:r>
    </w:p>
    <w:p w:rsidR="00681EC7" w:rsidRPr="00681EC7" w:rsidRDefault="00681EC7" w:rsidP="005E613E">
      <w:pPr>
        <w:numPr>
          <w:ilvl w:val="0"/>
          <w:numId w:val="156"/>
        </w:numPr>
        <w:ind w:left="1134" w:right="-851" w:hanging="633"/>
        <w:contextualSpacing/>
        <w:jc w:val="thaiDistribute"/>
        <w:rPr>
          <w:rFonts w:eastAsia="Times New Roman"/>
          <w:sz w:val="21"/>
          <w:szCs w:val="21"/>
        </w:rPr>
      </w:pPr>
      <w:r w:rsidRPr="00681EC7">
        <w:rPr>
          <w:rFonts w:eastAsia="Times New Roman"/>
          <w:sz w:val="21"/>
          <w:szCs w:val="21"/>
        </w:rPr>
        <w:t>Étape 7: Processus d'appel</w:t>
      </w:r>
    </w:p>
    <w:p w:rsidR="00681EC7" w:rsidRPr="00681EC7" w:rsidRDefault="00681EC7" w:rsidP="005E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ight="-851" w:hanging="633"/>
        <w:contextualSpacing/>
        <w:rPr>
          <w:rFonts w:eastAsia="Times New Roman"/>
          <w:sz w:val="21"/>
          <w:szCs w:val="21"/>
        </w:rPr>
      </w:pPr>
    </w:p>
    <w:p w:rsidR="00681EC7" w:rsidRPr="00681EC7" w:rsidRDefault="00681EC7" w:rsidP="005E613E">
      <w:pPr>
        <w:ind w:left="284" w:right="-851"/>
        <w:jc w:val="both"/>
        <w:rPr>
          <w:rFonts w:eastAsia="Calibri"/>
          <w:sz w:val="21"/>
          <w:szCs w:val="21"/>
        </w:rPr>
      </w:pPr>
      <w:r w:rsidRPr="00681EC7">
        <w:rPr>
          <w:rFonts w:eastAsia="Calibri"/>
          <w:sz w:val="21"/>
          <w:szCs w:val="21"/>
        </w:rPr>
        <w:t>Une fois que toutes les réparations possibles ont été proposées et si le plaignant n'est toujours pas satisfait, il doit être informé de son droit à un recours juridique.</w:t>
      </w:r>
      <w:r w:rsidRPr="00681EC7">
        <w:rPr>
          <w:rFonts w:eastAsia="Calibri"/>
          <w:sz w:val="21"/>
          <w:szCs w:val="21"/>
        </w:rPr>
        <w:tab/>
      </w:r>
    </w:p>
    <w:p w:rsidR="00681EC7" w:rsidRPr="00681EC7" w:rsidRDefault="00681EC7" w:rsidP="003F525A">
      <w:pPr>
        <w:keepNext/>
        <w:numPr>
          <w:ilvl w:val="2"/>
          <w:numId w:val="0"/>
        </w:numPr>
        <w:jc w:val="center"/>
        <w:outlineLvl w:val="2"/>
        <w:rPr>
          <w:rFonts w:eastAsia="Times New Roman"/>
          <w:color w:val="1F3763"/>
          <w:sz w:val="21"/>
          <w:szCs w:val="21"/>
        </w:rPr>
      </w:pPr>
      <w:r w:rsidRPr="00681EC7">
        <w:rPr>
          <w:rFonts w:eastAsia="Times New Roman"/>
          <w:color w:val="1F3763"/>
          <w:sz w:val="21"/>
          <w:szCs w:val="21"/>
        </w:rPr>
        <w:t>Calendrier proposé pour le GRM</w:t>
      </w:r>
    </w:p>
    <w:tbl>
      <w:tblPr>
        <w:tblW w:w="0" w:type="auto"/>
        <w:jc w:val="center"/>
        <w:tblLayout w:type="fixed"/>
        <w:tblCellMar>
          <w:left w:w="0" w:type="dxa"/>
          <w:right w:w="0" w:type="dxa"/>
        </w:tblCellMar>
        <w:tblLook w:val="0000" w:firstRow="0" w:lastRow="0" w:firstColumn="0" w:lastColumn="0" w:noHBand="0" w:noVBand="0"/>
      </w:tblPr>
      <w:tblGrid>
        <w:gridCol w:w="900"/>
        <w:gridCol w:w="5400"/>
        <w:gridCol w:w="2882"/>
      </w:tblGrid>
      <w:tr w:rsidR="00681EC7" w:rsidRPr="00681EC7" w:rsidTr="004F6FF6">
        <w:trPr>
          <w:trHeight w:hRule="exact" w:val="331"/>
          <w:jc w:val="center"/>
        </w:trPr>
        <w:tc>
          <w:tcPr>
            <w:tcW w:w="900" w:type="dxa"/>
            <w:tcBorders>
              <w:top w:val="single" w:sz="13" w:space="0" w:color="000000"/>
              <w:left w:val="single" w:sz="12" w:space="0" w:color="000000"/>
              <w:bottom w:val="single" w:sz="6" w:space="0" w:color="000000"/>
              <w:right w:val="single" w:sz="6" w:space="0" w:color="000000"/>
            </w:tcBorders>
            <w:shd w:val="clear" w:color="auto" w:fill="D9D9D9"/>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b/>
                <w:bCs/>
                <w:spacing w:val="-1"/>
                <w:sz w:val="21"/>
                <w:szCs w:val="21"/>
              </w:rPr>
              <w:t>Étape</w:t>
            </w:r>
          </w:p>
        </w:tc>
        <w:tc>
          <w:tcPr>
            <w:tcW w:w="5400" w:type="dxa"/>
            <w:tcBorders>
              <w:top w:val="single" w:sz="13" w:space="0" w:color="000000"/>
              <w:left w:val="single" w:sz="6" w:space="0" w:color="000000"/>
              <w:bottom w:val="single" w:sz="6" w:space="0" w:color="000000"/>
              <w:right w:val="single" w:sz="6" w:space="0" w:color="000000"/>
            </w:tcBorders>
            <w:shd w:val="clear" w:color="auto" w:fill="D9D9D9"/>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b/>
                <w:bCs/>
                <w:spacing w:val="-1"/>
                <w:sz w:val="21"/>
                <w:szCs w:val="21"/>
              </w:rPr>
              <w:t>Traiter</w:t>
            </w:r>
          </w:p>
        </w:tc>
        <w:tc>
          <w:tcPr>
            <w:tcW w:w="2882" w:type="dxa"/>
            <w:tcBorders>
              <w:top w:val="single" w:sz="13" w:space="0" w:color="000000"/>
              <w:left w:val="single" w:sz="6" w:space="0" w:color="000000"/>
              <w:bottom w:val="single" w:sz="6" w:space="0" w:color="000000"/>
              <w:right w:val="single" w:sz="12" w:space="0" w:color="000000"/>
            </w:tcBorders>
            <w:shd w:val="clear" w:color="auto" w:fill="D9D9D9"/>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b/>
                <w:bCs/>
                <w:spacing w:val="-1"/>
                <w:sz w:val="21"/>
                <w:szCs w:val="21"/>
              </w:rPr>
              <w:t xml:space="preserve">Temps </w:t>
            </w:r>
            <w:r w:rsidRPr="00681EC7">
              <w:rPr>
                <w:rFonts w:eastAsia="Times New Roman"/>
                <w:b/>
                <w:bCs/>
                <w:sz w:val="21"/>
                <w:szCs w:val="21"/>
              </w:rPr>
              <w:t>Cadre</w:t>
            </w:r>
          </w:p>
        </w:tc>
      </w:tr>
      <w:tr w:rsidR="00681EC7" w:rsidRPr="00681EC7" w:rsidTr="004F6FF6">
        <w:trPr>
          <w:trHeight w:hRule="exact" w:val="233"/>
          <w:jc w:val="center"/>
        </w:trPr>
        <w:tc>
          <w:tcPr>
            <w:tcW w:w="900" w:type="dxa"/>
            <w:tcBorders>
              <w:top w:val="single" w:sz="6" w:space="0" w:color="000000"/>
              <w:left w:val="single" w:sz="12"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z w:val="21"/>
                <w:szCs w:val="21"/>
              </w:rPr>
              <w:t>1</w:t>
            </w:r>
          </w:p>
        </w:tc>
        <w:tc>
          <w:tcPr>
            <w:tcW w:w="5400" w:type="dxa"/>
            <w:tcBorders>
              <w:top w:val="single" w:sz="6" w:space="0" w:color="000000"/>
              <w:left w:val="single" w:sz="6"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Recevoir et enregistrer les griefs</w:t>
            </w:r>
          </w:p>
        </w:tc>
        <w:tc>
          <w:tcPr>
            <w:tcW w:w="2882" w:type="dxa"/>
            <w:tcBorders>
              <w:top w:val="single" w:sz="6" w:space="0" w:color="000000"/>
              <w:left w:val="single" w:sz="6" w:space="0" w:color="000000"/>
              <w:bottom w:val="single" w:sz="6"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Dans </w:t>
            </w:r>
            <w:r w:rsidRPr="00681EC7">
              <w:rPr>
                <w:rFonts w:eastAsia="Times New Roman"/>
                <w:sz w:val="21"/>
                <w:szCs w:val="21"/>
              </w:rPr>
              <w:t>24 heures</w:t>
            </w:r>
          </w:p>
        </w:tc>
      </w:tr>
      <w:tr w:rsidR="00681EC7" w:rsidRPr="00681EC7" w:rsidTr="004F6FF6">
        <w:trPr>
          <w:trHeight w:hRule="exact" w:val="247"/>
          <w:jc w:val="center"/>
        </w:trPr>
        <w:tc>
          <w:tcPr>
            <w:tcW w:w="900" w:type="dxa"/>
            <w:tcBorders>
              <w:top w:val="single" w:sz="6" w:space="0" w:color="000000"/>
              <w:left w:val="single" w:sz="12"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z w:val="21"/>
                <w:szCs w:val="21"/>
              </w:rPr>
              <w:t>2</w:t>
            </w:r>
          </w:p>
        </w:tc>
        <w:tc>
          <w:tcPr>
            <w:tcW w:w="5400" w:type="dxa"/>
            <w:tcBorders>
              <w:top w:val="single" w:sz="6" w:space="0" w:color="000000"/>
              <w:left w:val="single" w:sz="6"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Accuser réception</w:t>
            </w:r>
          </w:p>
        </w:tc>
        <w:tc>
          <w:tcPr>
            <w:tcW w:w="2882" w:type="dxa"/>
            <w:tcBorders>
              <w:top w:val="single" w:sz="6" w:space="0" w:color="000000"/>
              <w:left w:val="single" w:sz="6" w:space="0" w:color="000000"/>
              <w:bottom w:val="single" w:sz="6"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Dans </w:t>
            </w:r>
            <w:r w:rsidRPr="00681EC7">
              <w:rPr>
                <w:rFonts w:eastAsia="Times New Roman"/>
                <w:sz w:val="21"/>
                <w:szCs w:val="21"/>
              </w:rPr>
              <w:t>24 heures</w:t>
            </w:r>
          </w:p>
        </w:tc>
      </w:tr>
      <w:tr w:rsidR="00681EC7" w:rsidRPr="00681EC7" w:rsidTr="004F6FF6">
        <w:trPr>
          <w:trHeight w:hRule="exact" w:val="261"/>
          <w:jc w:val="center"/>
        </w:trPr>
        <w:tc>
          <w:tcPr>
            <w:tcW w:w="900" w:type="dxa"/>
            <w:tcBorders>
              <w:top w:val="single" w:sz="6" w:space="0" w:color="000000"/>
              <w:left w:val="single" w:sz="12"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z w:val="21"/>
                <w:szCs w:val="21"/>
              </w:rPr>
              <w:t>3</w:t>
            </w:r>
          </w:p>
        </w:tc>
        <w:tc>
          <w:tcPr>
            <w:tcW w:w="5400" w:type="dxa"/>
            <w:tcBorders>
              <w:top w:val="single" w:sz="6" w:space="0" w:color="000000"/>
              <w:left w:val="single" w:sz="6"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Évaluer le grief</w:t>
            </w:r>
          </w:p>
        </w:tc>
        <w:tc>
          <w:tcPr>
            <w:tcW w:w="2882" w:type="dxa"/>
            <w:tcBorders>
              <w:top w:val="single" w:sz="6" w:space="0" w:color="000000"/>
              <w:left w:val="single" w:sz="6" w:space="0" w:color="000000"/>
              <w:bottom w:val="single" w:sz="6"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Dans </w:t>
            </w:r>
            <w:r w:rsidRPr="00681EC7">
              <w:rPr>
                <w:rFonts w:eastAsia="Times New Roman"/>
                <w:sz w:val="21"/>
                <w:szCs w:val="21"/>
              </w:rPr>
              <w:t>24 heures</w:t>
            </w:r>
          </w:p>
        </w:tc>
      </w:tr>
      <w:tr w:rsidR="00681EC7" w:rsidRPr="00681EC7" w:rsidTr="004F6FF6">
        <w:trPr>
          <w:trHeight w:hRule="exact" w:val="275"/>
          <w:jc w:val="center"/>
        </w:trPr>
        <w:tc>
          <w:tcPr>
            <w:tcW w:w="900" w:type="dxa"/>
            <w:tcBorders>
              <w:top w:val="single" w:sz="6" w:space="0" w:color="000000"/>
              <w:left w:val="single" w:sz="12"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z w:val="21"/>
                <w:szCs w:val="21"/>
              </w:rPr>
              <w:t>4</w:t>
            </w:r>
          </w:p>
        </w:tc>
        <w:tc>
          <w:tcPr>
            <w:tcW w:w="5400" w:type="dxa"/>
            <w:tcBorders>
              <w:top w:val="single" w:sz="6" w:space="0" w:color="000000"/>
              <w:left w:val="single" w:sz="6"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Attribuer la responsabilité</w:t>
            </w:r>
          </w:p>
        </w:tc>
        <w:tc>
          <w:tcPr>
            <w:tcW w:w="2882" w:type="dxa"/>
            <w:tcBorders>
              <w:top w:val="single" w:sz="6" w:space="0" w:color="000000"/>
              <w:left w:val="single" w:sz="6" w:space="0" w:color="000000"/>
              <w:bottom w:val="single" w:sz="6"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Dans </w:t>
            </w:r>
            <w:r w:rsidRPr="00681EC7">
              <w:rPr>
                <w:rFonts w:eastAsia="Times New Roman"/>
                <w:sz w:val="21"/>
                <w:szCs w:val="21"/>
              </w:rPr>
              <w:t>2 jours</w:t>
            </w:r>
          </w:p>
        </w:tc>
      </w:tr>
      <w:tr w:rsidR="00681EC7" w:rsidRPr="00681EC7" w:rsidTr="004F6FF6">
        <w:trPr>
          <w:trHeight w:hRule="exact" w:val="275"/>
          <w:jc w:val="center"/>
        </w:trPr>
        <w:tc>
          <w:tcPr>
            <w:tcW w:w="900" w:type="dxa"/>
            <w:tcBorders>
              <w:top w:val="single" w:sz="6" w:space="0" w:color="000000"/>
              <w:left w:val="single" w:sz="12"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z w:val="21"/>
                <w:szCs w:val="21"/>
              </w:rPr>
              <w:t>5</w:t>
            </w:r>
          </w:p>
        </w:tc>
        <w:tc>
          <w:tcPr>
            <w:tcW w:w="5400" w:type="dxa"/>
            <w:tcBorders>
              <w:top w:val="single" w:sz="6" w:space="0" w:color="000000"/>
              <w:left w:val="single" w:sz="6"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Développement </w:t>
            </w:r>
            <w:r w:rsidRPr="00681EC7">
              <w:rPr>
                <w:rFonts w:eastAsia="Times New Roman"/>
                <w:sz w:val="21"/>
                <w:szCs w:val="21"/>
              </w:rPr>
              <w:t>de réponse</w:t>
            </w:r>
          </w:p>
        </w:tc>
        <w:tc>
          <w:tcPr>
            <w:tcW w:w="2882" w:type="dxa"/>
            <w:tcBorders>
              <w:top w:val="single" w:sz="6" w:space="0" w:color="000000"/>
              <w:left w:val="single" w:sz="6" w:space="0" w:color="000000"/>
              <w:bottom w:val="single" w:sz="6"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Dans </w:t>
            </w:r>
            <w:r w:rsidRPr="00681EC7">
              <w:rPr>
                <w:rFonts w:eastAsia="Times New Roman"/>
                <w:sz w:val="21"/>
                <w:szCs w:val="21"/>
              </w:rPr>
              <w:t>7 jours</w:t>
            </w:r>
          </w:p>
        </w:tc>
      </w:tr>
      <w:tr w:rsidR="00681EC7" w:rsidRPr="00681EC7" w:rsidTr="004F6FF6">
        <w:trPr>
          <w:trHeight w:hRule="exact" w:val="275"/>
          <w:jc w:val="center"/>
        </w:trPr>
        <w:tc>
          <w:tcPr>
            <w:tcW w:w="900" w:type="dxa"/>
            <w:tcBorders>
              <w:top w:val="single" w:sz="6" w:space="0" w:color="000000"/>
              <w:left w:val="single" w:sz="12"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z w:val="21"/>
                <w:szCs w:val="21"/>
              </w:rPr>
              <w:t>6</w:t>
            </w:r>
          </w:p>
        </w:tc>
        <w:tc>
          <w:tcPr>
            <w:tcW w:w="5400" w:type="dxa"/>
            <w:tcBorders>
              <w:top w:val="single" w:sz="6" w:space="0" w:color="000000"/>
              <w:left w:val="single" w:sz="6"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Mise en œuvre </w:t>
            </w:r>
            <w:r w:rsidRPr="00681EC7">
              <w:rPr>
                <w:rFonts w:eastAsia="Times New Roman"/>
                <w:sz w:val="21"/>
                <w:szCs w:val="21"/>
              </w:rPr>
              <w:t>de réponse en cas d'accord</w:t>
            </w:r>
          </w:p>
        </w:tc>
        <w:tc>
          <w:tcPr>
            <w:tcW w:w="2882" w:type="dxa"/>
            <w:tcBorders>
              <w:top w:val="single" w:sz="6" w:space="0" w:color="000000"/>
              <w:left w:val="single" w:sz="6" w:space="0" w:color="000000"/>
              <w:bottom w:val="single" w:sz="6"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Dans </w:t>
            </w:r>
            <w:r w:rsidRPr="00681EC7">
              <w:rPr>
                <w:rFonts w:eastAsia="Times New Roman"/>
                <w:sz w:val="21"/>
                <w:szCs w:val="21"/>
              </w:rPr>
              <w:t>7 jours</w:t>
            </w:r>
          </w:p>
        </w:tc>
      </w:tr>
      <w:tr w:rsidR="00681EC7" w:rsidRPr="00681EC7" w:rsidTr="004F6FF6">
        <w:trPr>
          <w:trHeight w:hRule="exact" w:val="261"/>
          <w:jc w:val="center"/>
        </w:trPr>
        <w:tc>
          <w:tcPr>
            <w:tcW w:w="900" w:type="dxa"/>
            <w:tcBorders>
              <w:top w:val="single" w:sz="6" w:space="0" w:color="000000"/>
              <w:left w:val="single" w:sz="12"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z w:val="21"/>
                <w:szCs w:val="21"/>
              </w:rPr>
              <w:t>7</w:t>
            </w:r>
          </w:p>
        </w:tc>
        <w:tc>
          <w:tcPr>
            <w:tcW w:w="5400" w:type="dxa"/>
            <w:tcBorders>
              <w:top w:val="single" w:sz="6" w:space="0" w:color="000000"/>
              <w:left w:val="single" w:sz="6"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Fermer le grief</w:t>
            </w:r>
          </w:p>
        </w:tc>
        <w:tc>
          <w:tcPr>
            <w:tcW w:w="2882" w:type="dxa"/>
            <w:tcBorders>
              <w:top w:val="single" w:sz="6" w:space="0" w:color="000000"/>
              <w:left w:val="single" w:sz="6" w:space="0" w:color="000000"/>
              <w:bottom w:val="single" w:sz="6"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Dans </w:t>
            </w:r>
            <w:r w:rsidRPr="00681EC7">
              <w:rPr>
                <w:rFonts w:eastAsia="Times New Roman"/>
                <w:sz w:val="21"/>
                <w:szCs w:val="21"/>
              </w:rPr>
              <w:t>2 jours</w:t>
            </w:r>
          </w:p>
        </w:tc>
      </w:tr>
      <w:tr w:rsidR="00681EC7" w:rsidRPr="00681EC7" w:rsidTr="004F6FF6">
        <w:trPr>
          <w:trHeight w:hRule="exact" w:val="485"/>
          <w:jc w:val="center"/>
        </w:trPr>
        <w:tc>
          <w:tcPr>
            <w:tcW w:w="900" w:type="dxa"/>
            <w:tcBorders>
              <w:top w:val="single" w:sz="6" w:space="0" w:color="000000"/>
              <w:left w:val="single" w:sz="12"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z w:val="21"/>
                <w:szCs w:val="21"/>
              </w:rPr>
              <w:t>8</w:t>
            </w:r>
          </w:p>
        </w:tc>
        <w:tc>
          <w:tcPr>
            <w:tcW w:w="5400" w:type="dxa"/>
            <w:tcBorders>
              <w:top w:val="single" w:sz="6" w:space="0" w:color="000000"/>
              <w:left w:val="single" w:sz="6"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Lancer un processus d'examen des griefs si aucun accord n'est trouvé </w:t>
            </w:r>
            <w:r w:rsidRPr="00681EC7">
              <w:rPr>
                <w:rFonts w:eastAsia="Times New Roman"/>
                <w:sz w:val="21"/>
                <w:szCs w:val="21"/>
              </w:rPr>
              <w:t>en première instance</w:t>
            </w:r>
          </w:p>
        </w:tc>
        <w:tc>
          <w:tcPr>
            <w:tcW w:w="2882" w:type="dxa"/>
            <w:tcBorders>
              <w:top w:val="single" w:sz="6" w:space="0" w:color="000000"/>
              <w:left w:val="single" w:sz="6" w:space="0" w:color="000000"/>
              <w:bottom w:val="single" w:sz="6"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Dans </w:t>
            </w:r>
            <w:r w:rsidRPr="00681EC7">
              <w:rPr>
                <w:rFonts w:eastAsia="Times New Roman"/>
                <w:sz w:val="21"/>
                <w:szCs w:val="21"/>
              </w:rPr>
              <w:t>7 jours</w:t>
            </w:r>
          </w:p>
        </w:tc>
      </w:tr>
      <w:tr w:rsidR="00681EC7" w:rsidRPr="00681EC7" w:rsidTr="004F6FF6">
        <w:trPr>
          <w:trHeight w:hRule="exact" w:val="303"/>
          <w:jc w:val="center"/>
        </w:trPr>
        <w:tc>
          <w:tcPr>
            <w:tcW w:w="900" w:type="dxa"/>
            <w:tcBorders>
              <w:top w:val="single" w:sz="6" w:space="0" w:color="000000"/>
              <w:left w:val="single" w:sz="12"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z w:val="21"/>
                <w:szCs w:val="21"/>
              </w:rPr>
              <w:t>9</w:t>
            </w:r>
          </w:p>
        </w:tc>
        <w:tc>
          <w:tcPr>
            <w:tcW w:w="5400" w:type="dxa"/>
            <w:tcBorders>
              <w:top w:val="single" w:sz="6" w:space="0" w:color="000000"/>
              <w:left w:val="single" w:sz="6" w:space="0" w:color="000000"/>
              <w:bottom w:val="single" w:sz="6"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Mettre en œuvre la recommandation d'examen et clore le grief</w:t>
            </w:r>
          </w:p>
        </w:tc>
        <w:tc>
          <w:tcPr>
            <w:tcW w:w="2882" w:type="dxa"/>
            <w:tcBorders>
              <w:top w:val="single" w:sz="6" w:space="0" w:color="000000"/>
              <w:left w:val="single" w:sz="6" w:space="0" w:color="000000"/>
              <w:bottom w:val="single" w:sz="6"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Dans</w:t>
            </w:r>
            <w:r w:rsidRPr="00681EC7">
              <w:rPr>
                <w:rFonts w:eastAsia="Times New Roman"/>
                <w:sz w:val="21"/>
                <w:szCs w:val="21"/>
              </w:rPr>
              <w:t>14 jours</w:t>
            </w:r>
          </w:p>
        </w:tc>
      </w:tr>
      <w:tr w:rsidR="00681EC7" w:rsidRPr="00681EC7" w:rsidTr="004F6FF6">
        <w:trPr>
          <w:trHeight w:hRule="exact" w:val="289"/>
          <w:jc w:val="center"/>
        </w:trPr>
        <w:tc>
          <w:tcPr>
            <w:tcW w:w="900" w:type="dxa"/>
            <w:tcBorders>
              <w:top w:val="single" w:sz="6" w:space="0" w:color="000000"/>
              <w:left w:val="single" w:sz="12" w:space="0" w:color="000000"/>
              <w:bottom w:val="single" w:sz="12"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2"/>
              <w:contextualSpacing/>
              <w:rPr>
                <w:rFonts w:eastAsia="Times New Roman"/>
                <w:sz w:val="21"/>
                <w:szCs w:val="21"/>
              </w:rPr>
            </w:pPr>
            <w:r w:rsidRPr="00681EC7">
              <w:rPr>
                <w:rFonts w:eastAsia="Times New Roman"/>
                <w:spacing w:val="-1"/>
                <w:sz w:val="21"/>
                <w:szCs w:val="21"/>
              </w:rPr>
              <w:t>10</w:t>
            </w:r>
          </w:p>
        </w:tc>
        <w:tc>
          <w:tcPr>
            <w:tcW w:w="5400" w:type="dxa"/>
            <w:tcBorders>
              <w:top w:val="single" w:sz="6" w:space="0" w:color="000000"/>
              <w:left w:val="single" w:sz="6" w:space="0" w:color="000000"/>
              <w:bottom w:val="single" w:sz="12" w:space="0" w:color="000000"/>
              <w:right w:val="single" w:sz="6"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r w:rsidRPr="00681EC7">
              <w:rPr>
                <w:rFonts w:eastAsia="Times New Roman"/>
                <w:spacing w:val="-1"/>
                <w:sz w:val="21"/>
                <w:szCs w:val="21"/>
              </w:rPr>
              <w:t xml:space="preserve">Grief </w:t>
            </w:r>
            <w:r w:rsidRPr="00681EC7">
              <w:rPr>
                <w:rFonts w:eastAsia="Times New Roman"/>
                <w:sz w:val="21"/>
                <w:szCs w:val="21"/>
              </w:rPr>
              <w:t>traduit en justice par le plaignant</w:t>
            </w:r>
          </w:p>
        </w:tc>
        <w:tc>
          <w:tcPr>
            <w:tcW w:w="2882" w:type="dxa"/>
            <w:tcBorders>
              <w:top w:val="single" w:sz="6" w:space="0" w:color="000000"/>
              <w:left w:val="single" w:sz="6" w:space="0" w:color="000000"/>
              <w:bottom w:val="single" w:sz="12" w:space="0" w:color="000000"/>
              <w:right w:val="single" w:sz="12" w:space="0" w:color="000000"/>
            </w:tcBorders>
          </w:tcPr>
          <w:p w:rsidR="00681EC7" w:rsidRPr="00681EC7" w:rsidRDefault="00681EC7" w:rsidP="00681EC7">
            <w:pPr>
              <w:widowControl w:val="0"/>
              <w:kinsoku w:val="0"/>
              <w:overflowPunct w:val="0"/>
              <w:autoSpaceDE w:val="0"/>
              <w:autoSpaceDN w:val="0"/>
              <w:adjustRightInd w:val="0"/>
              <w:ind w:left="99"/>
              <w:contextualSpacing/>
              <w:rPr>
                <w:rFonts w:eastAsia="Times New Roman"/>
                <w:sz w:val="21"/>
                <w:szCs w:val="21"/>
              </w:rPr>
            </w:pPr>
          </w:p>
        </w:tc>
      </w:tr>
    </w:tbl>
    <w:p w:rsidR="00681EC7" w:rsidRPr="00681EC7" w:rsidRDefault="00681EC7" w:rsidP="00681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
          <w:color w:val="538135"/>
          <w:sz w:val="21"/>
          <w:szCs w:val="21"/>
        </w:rPr>
      </w:pPr>
    </w:p>
    <w:p w:rsidR="00681EC7" w:rsidRPr="00681EC7" w:rsidRDefault="00681EC7" w:rsidP="005E613E">
      <w:pPr>
        <w:ind w:left="284" w:right="-851"/>
        <w:outlineLvl w:val="1"/>
        <w:rPr>
          <w:rFonts w:eastAsia="Calibri"/>
          <w:b/>
          <w:bCs/>
          <w:sz w:val="21"/>
          <w:szCs w:val="21"/>
        </w:rPr>
      </w:pPr>
      <w:bookmarkStart w:id="465" w:name="_Toc67508586"/>
      <w:bookmarkStart w:id="466" w:name="_Toc69918774"/>
      <w:bookmarkStart w:id="467" w:name="_Toc73459821"/>
      <w:r w:rsidRPr="00681EC7">
        <w:rPr>
          <w:rFonts w:eastAsia="Calibri"/>
          <w:b/>
          <w:bCs/>
          <w:sz w:val="21"/>
          <w:szCs w:val="21"/>
        </w:rPr>
        <w:t>Lieux d'enregistrement des plaintes - Voies de recours</w:t>
      </w:r>
      <w:bookmarkEnd w:id="465"/>
      <w:bookmarkEnd w:id="466"/>
      <w:bookmarkEnd w:id="467"/>
    </w:p>
    <w:p w:rsidR="00681EC7" w:rsidRPr="00681EC7" w:rsidRDefault="00681EC7" w:rsidP="005E613E">
      <w:pPr>
        <w:ind w:left="284" w:right="-851"/>
        <w:jc w:val="both"/>
        <w:rPr>
          <w:rFonts w:eastAsia="Calibri"/>
          <w:sz w:val="21"/>
          <w:szCs w:val="21"/>
        </w:rPr>
      </w:pPr>
      <w:r w:rsidRPr="00681EC7">
        <w:rPr>
          <w:rFonts w:eastAsia="Calibri"/>
          <w:sz w:val="21"/>
          <w:szCs w:val="21"/>
        </w:rPr>
        <w:t>Une réclamation peut être enregistrée directement via l'un des modes suivants et, si nécessaire, de manière anonyme ou par l'intermédiaire de tiers.</w:t>
      </w:r>
    </w:p>
    <w:p w:rsidR="00681EC7" w:rsidRPr="00681EC7" w:rsidRDefault="00681EC7" w:rsidP="005E613E">
      <w:pPr>
        <w:numPr>
          <w:ilvl w:val="0"/>
          <w:numId w:val="157"/>
        </w:numPr>
        <w:ind w:left="993" w:right="-851"/>
        <w:jc w:val="both"/>
        <w:rPr>
          <w:rFonts w:eastAsia="Calibri"/>
          <w:sz w:val="21"/>
          <w:szCs w:val="21"/>
        </w:rPr>
      </w:pPr>
      <w:r w:rsidRPr="00681EC7">
        <w:rPr>
          <w:rFonts w:eastAsia="Calibri"/>
          <w:sz w:val="21"/>
          <w:szCs w:val="21"/>
        </w:rPr>
        <w:t xml:space="preserve">En personne avec ou par lettre au point focal MGP </w:t>
      </w:r>
      <w:r w:rsidR="00855968">
        <w:rPr>
          <w:rFonts w:eastAsia="Calibri"/>
          <w:sz w:val="21"/>
          <w:szCs w:val="21"/>
        </w:rPr>
        <w:t>dans le chantier</w:t>
      </w:r>
    </w:p>
    <w:p w:rsidR="00681EC7" w:rsidRPr="00681EC7" w:rsidRDefault="00681EC7" w:rsidP="005E613E">
      <w:pPr>
        <w:numPr>
          <w:ilvl w:val="0"/>
          <w:numId w:val="157"/>
        </w:numPr>
        <w:ind w:left="993" w:right="-851"/>
        <w:jc w:val="both"/>
        <w:rPr>
          <w:rFonts w:eastAsia="Calibri"/>
          <w:sz w:val="21"/>
          <w:szCs w:val="21"/>
        </w:rPr>
      </w:pPr>
      <w:r w:rsidRPr="00681EC7">
        <w:rPr>
          <w:rFonts w:eastAsia="Calibri"/>
          <w:sz w:val="21"/>
          <w:szCs w:val="21"/>
        </w:rPr>
        <w:t xml:space="preserve">Par téléphone </w:t>
      </w:r>
    </w:p>
    <w:p w:rsidR="00681EC7" w:rsidRPr="004C6542" w:rsidRDefault="00681EC7" w:rsidP="005E613E">
      <w:pPr>
        <w:numPr>
          <w:ilvl w:val="0"/>
          <w:numId w:val="157"/>
        </w:numPr>
        <w:ind w:left="993" w:right="-851"/>
        <w:jc w:val="both"/>
        <w:rPr>
          <w:rFonts w:eastAsia="Calibri"/>
          <w:sz w:val="21"/>
          <w:szCs w:val="21"/>
        </w:rPr>
      </w:pPr>
      <w:r w:rsidRPr="00681EC7">
        <w:rPr>
          <w:rFonts w:eastAsia="Calibri"/>
          <w:sz w:val="21"/>
          <w:szCs w:val="21"/>
        </w:rPr>
        <w:t xml:space="preserve">Par e-mail </w:t>
      </w:r>
    </w:p>
    <w:p w:rsidR="00681EC7" w:rsidRPr="00681EC7" w:rsidRDefault="00855968" w:rsidP="005E613E">
      <w:pPr>
        <w:ind w:left="284" w:right="-851"/>
        <w:jc w:val="both"/>
        <w:rPr>
          <w:rFonts w:eastAsia="Calibri"/>
          <w:sz w:val="21"/>
          <w:szCs w:val="21"/>
        </w:rPr>
      </w:pPr>
      <w:r>
        <w:rPr>
          <w:rFonts w:eastAsia="Calibri"/>
          <w:sz w:val="21"/>
          <w:szCs w:val="21"/>
        </w:rPr>
        <w:t xml:space="preserve">L’UCP </w:t>
      </w:r>
      <w:r w:rsidR="00681EC7" w:rsidRPr="00681EC7">
        <w:rPr>
          <w:rFonts w:eastAsia="Calibri"/>
          <w:sz w:val="21"/>
          <w:szCs w:val="21"/>
        </w:rPr>
        <w:t>met</w:t>
      </w:r>
      <w:r>
        <w:rPr>
          <w:rFonts w:eastAsia="Calibri"/>
          <w:sz w:val="21"/>
          <w:szCs w:val="21"/>
        </w:rPr>
        <w:t>tra</w:t>
      </w:r>
      <w:r w:rsidR="00681EC7" w:rsidRPr="00681EC7">
        <w:rPr>
          <w:rFonts w:eastAsia="Calibri"/>
          <w:sz w:val="21"/>
          <w:szCs w:val="21"/>
        </w:rPr>
        <w:t xml:space="preserve"> en place des mesures supplémentaires pour traiter les plaintes sensibles et confidentielles, y compris celles liées à l'exploitation et aux abus / harcèlement sexuels (SEA/ HS). </w:t>
      </w:r>
    </w:p>
    <w:p w:rsidR="00681EC7" w:rsidRPr="00681EC7" w:rsidRDefault="00681EC7" w:rsidP="005E613E">
      <w:pPr>
        <w:ind w:left="284" w:right="-851"/>
        <w:jc w:val="both"/>
        <w:rPr>
          <w:rFonts w:eastAsia="Calibri"/>
          <w:sz w:val="21"/>
          <w:szCs w:val="21"/>
        </w:rPr>
      </w:pPr>
      <w:r w:rsidRPr="00681EC7">
        <w:rPr>
          <w:rFonts w:eastAsia="Calibri"/>
          <w:sz w:val="21"/>
          <w:szCs w:val="21"/>
        </w:rPr>
        <w:t xml:space="preserve">Une fois qu'une plainte a été reçue, elle doit être enregistrée par les points focaux </w:t>
      </w:r>
      <w:r w:rsidR="0057150A" w:rsidRPr="00681EC7">
        <w:rPr>
          <w:rFonts w:eastAsia="Calibri"/>
          <w:sz w:val="21"/>
          <w:szCs w:val="21"/>
        </w:rPr>
        <w:t>MGP ou</w:t>
      </w:r>
      <w:r w:rsidRPr="00681EC7">
        <w:rPr>
          <w:rFonts w:eastAsia="Calibri"/>
          <w:sz w:val="21"/>
          <w:szCs w:val="21"/>
        </w:rPr>
        <w:t xml:space="preserve"> le spécialiste E&amp;S de la CEP dans le registre des plaintes ou dans la base de données des plaintes Excel-Sheet. </w:t>
      </w:r>
    </w:p>
    <w:p w:rsidR="00681EC7" w:rsidRPr="00681EC7" w:rsidRDefault="00681EC7" w:rsidP="005E613E">
      <w:pPr>
        <w:ind w:right="-851"/>
        <w:jc w:val="both"/>
        <w:rPr>
          <w:rFonts w:eastAsia="Calibri"/>
          <w:sz w:val="21"/>
          <w:szCs w:val="21"/>
        </w:rPr>
      </w:pPr>
    </w:p>
    <w:p w:rsidR="00681EC7" w:rsidRPr="00681EC7" w:rsidRDefault="00681EC7" w:rsidP="005E613E">
      <w:pPr>
        <w:ind w:left="284" w:right="-851"/>
        <w:outlineLvl w:val="1"/>
        <w:rPr>
          <w:rFonts w:eastAsia="Calibri"/>
          <w:b/>
          <w:bCs/>
          <w:sz w:val="21"/>
          <w:szCs w:val="21"/>
        </w:rPr>
      </w:pPr>
      <w:bookmarkStart w:id="468" w:name="_Toc67508588"/>
      <w:bookmarkStart w:id="469" w:name="_Toc69918776"/>
      <w:bookmarkStart w:id="470" w:name="_Toc73459822"/>
      <w:r w:rsidRPr="00681EC7">
        <w:rPr>
          <w:rFonts w:eastAsia="Calibri"/>
          <w:b/>
          <w:bCs/>
          <w:sz w:val="21"/>
          <w:szCs w:val="21"/>
        </w:rPr>
        <w:t>Dispositions administratives et recours à la justice</w:t>
      </w:r>
      <w:bookmarkEnd w:id="468"/>
      <w:bookmarkEnd w:id="469"/>
      <w:bookmarkEnd w:id="470"/>
    </w:p>
    <w:p w:rsidR="00681EC7" w:rsidRPr="00681EC7" w:rsidRDefault="00681EC7" w:rsidP="005E613E">
      <w:pPr>
        <w:ind w:left="284" w:right="-851"/>
        <w:jc w:val="both"/>
        <w:rPr>
          <w:rFonts w:eastAsia="Calibri"/>
          <w:sz w:val="21"/>
          <w:szCs w:val="21"/>
        </w:rPr>
      </w:pPr>
      <w:r w:rsidRPr="00681EC7">
        <w:rPr>
          <w:rFonts w:eastAsia="Calibri"/>
          <w:sz w:val="21"/>
          <w:szCs w:val="21"/>
        </w:rPr>
        <w:t xml:space="preserve">Le recours à la justice est aussi possible indépendamment de la voie amiable. Le plaignant peut à tout moment saisir la justice à travers le tribunal Départemental. Pour cela, la démarche à suivre est la suivante : (i) le plaignant rédige une plainte adressée au Juge du Tribunal départemental concernée ; (ii) le plaignant dépose la plainte au Tribunal départemental ; (iii) le Juge convoque le plaignant et le représentant du projet PUSA pour les entendre ; (iv) le Juge commet au besoin une commission d’évaluation de la plainte ; (iv) le Juge rend son verdict. </w:t>
      </w:r>
    </w:p>
    <w:p w:rsidR="00681EC7" w:rsidRPr="00681EC7" w:rsidRDefault="00681EC7" w:rsidP="005E613E">
      <w:pPr>
        <w:autoSpaceDE w:val="0"/>
        <w:autoSpaceDN w:val="0"/>
        <w:adjustRightInd w:val="0"/>
        <w:ind w:left="284" w:right="-851"/>
        <w:jc w:val="both"/>
        <w:rPr>
          <w:rFonts w:eastAsia="Calibri"/>
          <w:b/>
          <w:bCs/>
          <w:sz w:val="21"/>
          <w:szCs w:val="21"/>
        </w:rPr>
      </w:pPr>
    </w:p>
    <w:p w:rsidR="00681EC7" w:rsidRPr="00681EC7" w:rsidRDefault="00681EC7" w:rsidP="005E613E">
      <w:pPr>
        <w:autoSpaceDE w:val="0"/>
        <w:autoSpaceDN w:val="0"/>
        <w:adjustRightInd w:val="0"/>
        <w:ind w:left="284" w:right="-851"/>
        <w:jc w:val="both"/>
        <w:rPr>
          <w:rFonts w:eastAsia="Calibri"/>
          <w:b/>
          <w:bCs/>
          <w:sz w:val="21"/>
          <w:szCs w:val="21"/>
        </w:rPr>
      </w:pPr>
      <w:r w:rsidRPr="00681EC7">
        <w:rPr>
          <w:rFonts w:eastAsia="Calibri"/>
          <w:b/>
          <w:bCs/>
          <w:sz w:val="21"/>
          <w:szCs w:val="21"/>
        </w:rPr>
        <w:t>Procédure de la Gestion des Plaintes du projet PUSA</w:t>
      </w:r>
    </w:p>
    <w:p w:rsidR="00681EC7" w:rsidRPr="00681EC7" w:rsidRDefault="00681EC7" w:rsidP="005E613E">
      <w:pPr>
        <w:numPr>
          <w:ilvl w:val="0"/>
          <w:numId w:val="97"/>
        </w:numPr>
        <w:autoSpaceDE w:val="0"/>
        <w:autoSpaceDN w:val="0"/>
        <w:adjustRightInd w:val="0"/>
        <w:ind w:left="1134" w:right="-851" w:hanging="425"/>
        <w:contextualSpacing/>
        <w:jc w:val="both"/>
        <w:rPr>
          <w:rFonts w:eastAsia="Calibri"/>
          <w:sz w:val="21"/>
          <w:szCs w:val="21"/>
        </w:rPr>
      </w:pPr>
      <w:r w:rsidRPr="00681EC7">
        <w:rPr>
          <w:rFonts w:eastAsia="Calibri"/>
          <w:sz w:val="21"/>
          <w:szCs w:val="21"/>
        </w:rPr>
        <w:t>Enregistrement des Plaintes (l’accès à l’information concernant le fonctionnement du système de dépôt et de gestion des plaintes) ;</w:t>
      </w:r>
    </w:p>
    <w:p w:rsidR="00681EC7" w:rsidRPr="00681EC7" w:rsidRDefault="00681EC7" w:rsidP="005E613E">
      <w:pPr>
        <w:numPr>
          <w:ilvl w:val="0"/>
          <w:numId w:val="97"/>
        </w:numPr>
        <w:autoSpaceDE w:val="0"/>
        <w:autoSpaceDN w:val="0"/>
        <w:adjustRightInd w:val="0"/>
        <w:ind w:left="1134" w:right="-851" w:hanging="425"/>
        <w:contextualSpacing/>
        <w:jc w:val="both"/>
        <w:rPr>
          <w:rFonts w:eastAsia="Calibri"/>
          <w:sz w:val="21"/>
          <w:szCs w:val="21"/>
        </w:rPr>
      </w:pPr>
      <w:r w:rsidRPr="00681EC7">
        <w:rPr>
          <w:rFonts w:eastAsia="Calibri"/>
          <w:sz w:val="21"/>
          <w:szCs w:val="21"/>
        </w:rPr>
        <w:t>Tri et le traitement des plaintes ;</w:t>
      </w:r>
    </w:p>
    <w:p w:rsidR="00681EC7" w:rsidRPr="00681EC7" w:rsidRDefault="00681EC7" w:rsidP="005E613E">
      <w:pPr>
        <w:numPr>
          <w:ilvl w:val="0"/>
          <w:numId w:val="97"/>
        </w:numPr>
        <w:autoSpaceDE w:val="0"/>
        <w:autoSpaceDN w:val="0"/>
        <w:adjustRightInd w:val="0"/>
        <w:ind w:left="1134" w:right="-851" w:hanging="425"/>
        <w:contextualSpacing/>
        <w:jc w:val="both"/>
        <w:rPr>
          <w:rFonts w:eastAsia="Calibri"/>
          <w:sz w:val="21"/>
          <w:szCs w:val="21"/>
        </w:rPr>
      </w:pPr>
      <w:r w:rsidRPr="00681EC7">
        <w:rPr>
          <w:rFonts w:eastAsia="Calibri"/>
          <w:sz w:val="21"/>
          <w:szCs w:val="21"/>
        </w:rPr>
        <w:t>Examen et enquête</w:t>
      </w:r>
    </w:p>
    <w:p w:rsidR="00681EC7" w:rsidRPr="00681EC7" w:rsidRDefault="00681EC7" w:rsidP="005E613E">
      <w:pPr>
        <w:numPr>
          <w:ilvl w:val="0"/>
          <w:numId w:val="97"/>
        </w:numPr>
        <w:autoSpaceDE w:val="0"/>
        <w:autoSpaceDN w:val="0"/>
        <w:adjustRightInd w:val="0"/>
        <w:ind w:left="1134" w:right="-851" w:hanging="425"/>
        <w:contextualSpacing/>
        <w:jc w:val="both"/>
        <w:rPr>
          <w:rFonts w:eastAsia="Calibri"/>
          <w:sz w:val="21"/>
          <w:szCs w:val="21"/>
        </w:rPr>
      </w:pPr>
      <w:r w:rsidRPr="00681EC7">
        <w:rPr>
          <w:rFonts w:eastAsia="Calibri"/>
          <w:sz w:val="21"/>
          <w:szCs w:val="21"/>
        </w:rPr>
        <w:t>Réponse et prise de mesures</w:t>
      </w:r>
    </w:p>
    <w:p w:rsidR="00681EC7" w:rsidRPr="00681EC7" w:rsidRDefault="00681EC7" w:rsidP="005E613E">
      <w:pPr>
        <w:numPr>
          <w:ilvl w:val="0"/>
          <w:numId w:val="97"/>
        </w:numPr>
        <w:autoSpaceDE w:val="0"/>
        <w:autoSpaceDN w:val="0"/>
        <w:adjustRightInd w:val="0"/>
        <w:ind w:left="1134" w:right="-851" w:hanging="425"/>
        <w:contextualSpacing/>
        <w:jc w:val="both"/>
        <w:rPr>
          <w:rFonts w:eastAsia="Calibri"/>
          <w:sz w:val="21"/>
          <w:szCs w:val="21"/>
        </w:rPr>
      </w:pPr>
      <w:r w:rsidRPr="00681EC7">
        <w:rPr>
          <w:rFonts w:eastAsia="Calibri"/>
          <w:sz w:val="21"/>
          <w:szCs w:val="21"/>
        </w:rPr>
        <w:t>Procédure d’appel</w:t>
      </w:r>
    </w:p>
    <w:p w:rsidR="00681EC7" w:rsidRPr="00681EC7" w:rsidRDefault="00681EC7" w:rsidP="005E613E">
      <w:pPr>
        <w:numPr>
          <w:ilvl w:val="0"/>
          <w:numId w:val="97"/>
        </w:numPr>
        <w:autoSpaceDE w:val="0"/>
        <w:autoSpaceDN w:val="0"/>
        <w:adjustRightInd w:val="0"/>
        <w:ind w:left="1134" w:right="-851" w:hanging="425"/>
        <w:contextualSpacing/>
        <w:jc w:val="both"/>
        <w:rPr>
          <w:rFonts w:eastAsia="Calibri"/>
          <w:sz w:val="21"/>
          <w:szCs w:val="21"/>
        </w:rPr>
      </w:pPr>
      <w:r w:rsidRPr="00681EC7">
        <w:rPr>
          <w:rFonts w:eastAsia="Calibri"/>
          <w:sz w:val="21"/>
          <w:szCs w:val="21"/>
        </w:rPr>
        <w:t>Résolution</w:t>
      </w:r>
    </w:p>
    <w:p w:rsidR="00681EC7" w:rsidRPr="00681EC7" w:rsidRDefault="00681EC7" w:rsidP="005E613E">
      <w:pPr>
        <w:numPr>
          <w:ilvl w:val="0"/>
          <w:numId w:val="97"/>
        </w:numPr>
        <w:autoSpaceDE w:val="0"/>
        <w:autoSpaceDN w:val="0"/>
        <w:adjustRightInd w:val="0"/>
        <w:ind w:left="1134" w:right="-851" w:hanging="425"/>
        <w:contextualSpacing/>
        <w:jc w:val="both"/>
        <w:rPr>
          <w:rFonts w:eastAsia="Calibri"/>
          <w:sz w:val="21"/>
          <w:szCs w:val="21"/>
        </w:rPr>
      </w:pPr>
      <w:r w:rsidRPr="00681EC7">
        <w:rPr>
          <w:rFonts w:eastAsia="Calibri"/>
          <w:sz w:val="21"/>
          <w:szCs w:val="21"/>
        </w:rPr>
        <w:t>Recours au Tribunal</w:t>
      </w:r>
    </w:p>
    <w:p w:rsidR="00681EC7" w:rsidRPr="00681EC7" w:rsidRDefault="00681EC7" w:rsidP="005E613E">
      <w:pPr>
        <w:numPr>
          <w:ilvl w:val="0"/>
          <w:numId w:val="97"/>
        </w:numPr>
        <w:autoSpaceDE w:val="0"/>
        <w:autoSpaceDN w:val="0"/>
        <w:adjustRightInd w:val="0"/>
        <w:ind w:left="1134" w:right="-851" w:hanging="425"/>
        <w:contextualSpacing/>
        <w:jc w:val="both"/>
        <w:rPr>
          <w:rFonts w:eastAsia="Calibri"/>
          <w:sz w:val="21"/>
          <w:szCs w:val="21"/>
        </w:rPr>
      </w:pPr>
      <w:r w:rsidRPr="00681EC7">
        <w:rPr>
          <w:rFonts w:eastAsia="Calibri"/>
          <w:sz w:val="21"/>
          <w:szCs w:val="21"/>
        </w:rPr>
        <w:t>Suivi et enregistrement des plaintes</w:t>
      </w:r>
    </w:p>
    <w:p w:rsidR="0057150A" w:rsidRPr="00681EC7" w:rsidRDefault="0057150A" w:rsidP="00681EC7">
      <w:pPr>
        <w:rPr>
          <w:rFonts w:eastAsia="Calibri"/>
          <w:sz w:val="21"/>
          <w:szCs w:val="21"/>
        </w:rPr>
      </w:pPr>
    </w:p>
    <w:p w:rsidR="00681EC7" w:rsidRPr="00345951" w:rsidRDefault="00681EC7" w:rsidP="00157035">
      <w:pPr>
        <w:numPr>
          <w:ilvl w:val="0"/>
          <w:numId w:val="159"/>
        </w:numPr>
        <w:ind w:left="1134"/>
        <w:contextualSpacing/>
        <w:outlineLvl w:val="1"/>
        <w:rPr>
          <w:rFonts w:eastAsia="Times New Roman"/>
          <w:b/>
          <w:bCs/>
          <w:sz w:val="22"/>
          <w:szCs w:val="22"/>
          <w:lang w:eastAsia="es-ES"/>
        </w:rPr>
      </w:pPr>
      <w:bookmarkStart w:id="471" w:name="_Toc67508589"/>
      <w:bookmarkStart w:id="472" w:name="_Toc69918777"/>
      <w:bookmarkStart w:id="473" w:name="_Toc73459823"/>
      <w:r w:rsidRPr="00345951">
        <w:rPr>
          <w:rFonts w:eastAsia="Times New Roman"/>
          <w:b/>
          <w:bCs/>
          <w:sz w:val="22"/>
          <w:szCs w:val="22"/>
          <w:lang w:eastAsia="es-ES"/>
        </w:rPr>
        <w:t>GESTION DES FOURNISSEURS ET PRESTATAIRES</w:t>
      </w:r>
      <w:bookmarkEnd w:id="471"/>
      <w:bookmarkEnd w:id="472"/>
      <w:bookmarkEnd w:id="473"/>
      <w:r w:rsidRPr="00345951">
        <w:rPr>
          <w:rFonts w:eastAsia="Times New Roman"/>
          <w:b/>
          <w:bCs/>
          <w:sz w:val="22"/>
          <w:szCs w:val="22"/>
          <w:lang w:eastAsia="es-ES"/>
        </w:rPr>
        <w:t> </w:t>
      </w:r>
    </w:p>
    <w:p w:rsidR="00681EC7" w:rsidRPr="00681EC7" w:rsidRDefault="00681EC7" w:rsidP="005E613E">
      <w:pPr>
        <w:ind w:left="546" w:right="-851"/>
        <w:jc w:val="both"/>
        <w:rPr>
          <w:rFonts w:eastAsia="Calibri"/>
          <w:sz w:val="21"/>
          <w:szCs w:val="21"/>
        </w:rPr>
      </w:pPr>
      <w:r w:rsidRPr="00681EC7">
        <w:rPr>
          <w:rFonts w:eastAsia="Calibri"/>
          <w:sz w:val="21"/>
          <w:szCs w:val="21"/>
        </w:rPr>
        <w:t xml:space="preserve">Les fournisseurs de biens et prestataires de services seront sélectionnés selon les procédures d’appel à concurrence précisées dans le plan de passation des marchés du projet. Les prestations seront régies par le code du travail de Guinée Bissau et le code des impôts et seront exécutées dans le respect des NES de la Banque mondiale. </w:t>
      </w:r>
    </w:p>
    <w:p w:rsidR="00681EC7" w:rsidRPr="00681EC7" w:rsidRDefault="00681EC7" w:rsidP="005E613E">
      <w:pPr>
        <w:ind w:left="546" w:right="-851"/>
        <w:jc w:val="both"/>
        <w:rPr>
          <w:rFonts w:eastAsia="Calibri"/>
          <w:sz w:val="21"/>
          <w:szCs w:val="21"/>
        </w:rPr>
      </w:pPr>
    </w:p>
    <w:p w:rsidR="00681EC7" w:rsidRPr="00681EC7" w:rsidRDefault="00681EC7" w:rsidP="005E613E">
      <w:pPr>
        <w:ind w:left="546" w:right="-851"/>
        <w:jc w:val="both"/>
        <w:rPr>
          <w:rFonts w:eastAsia="Calibri"/>
          <w:sz w:val="21"/>
          <w:szCs w:val="21"/>
        </w:rPr>
      </w:pPr>
      <w:r w:rsidRPr="00681EC7">
        <w:rPr>
          <w:rFonts w:eastAsia="Calibri"/>
          <w:sz w:val="21"/>
          <w:szCs w:val="21"/>
        </w:rPr>
        <w:t xml:space="preserve">L’UGP mettra en œuvre des procédures pour s’assurer que les tiers qui engagent des travailleurs contractuels sont des entités légalement constituées et fiables et ont mis au point des procédures de gestion de la main-d’œuvre adaptées au projet qui leur permettront d’exercer leurs activités en conformité aux dispositions de la NES no2 de la Banque mondiale. Sous la supervision de l’UGP, les fournisseurs et prestataires de services seront appelés à mettre en œuvre leurs services selon les normes établies dans le CGES du projet PUSA. Ils doivent s’approprier d’abord à la législation environnementale en Guinée Bissau et aux NES du CES de la Banque recommandées dans la phase d’exécution du projet. Des clauses de gestion environnementale et sociale, en particulier de santé et sécurité au travail (SST) seront systématiquement introduites dans les dossiers d’appel d’offre et les contrats des prestataires de service. </w:t>
      </w:r>
    </w:p>
    <w:p w:rsidR="00681EC7" w:rsidRPr="00681EC7" w:rsidRDefault="00681EC7" w:rsidP="005E613E">
      <w:pPr>
        <w:ind w:left="546" w:right="-851"/>
        <w:jc w:val="both"/>
        <w:rPr>
          <w:rFonts w:eastAsia="Calibri"/>
          <w:sz w:val="21"/>
          <w:szCs w:val="21"/>
        </w:rPr>
      </w:pPr>
    </w:p>
    <w:p w:rsidR="00681EC7" w:rsidRPr="00681EC7" w:rsidRDefault="00681EC7" w:rsidP="005E613E">
      <w:pPr>
        <w:ind w:left="546" w:right="-851"/>
        <w:jc w:val="both"/>
        <w:rPr>
          <w:rFonts w:eastAsia="Calibri"/>
          <w:sz w:val="21"/>
          <w:szCs w:val="21"/>
        </w:rPr>
      </w:pPr>
      <w:r w:rsidRPr="00681EC7">
        <w:rPr>
          <w:rFonts w:eastAsia="Calibri"/>
          <w:sz w:val="21"/>
          <w:szCs w:val="21"/>
        </w:rPr>
        <w:t xml:space="preserve">Les bonnes pratiques d’hygiène doivent être appliquées sur les activités du projet : chaque entrepreneur doit mettre à la disposition des travailleurs des toilettes, savonnettes, papiers et eau de bonne qualité et en quantité nécessaire pour le lavage des mains, ainsi que des cache-nez (masques). </w:t>
      </w:r>
    </w:p>
    <w:p w:rsidR="00681EC7" w:rsidRPr="00681EC7" w:rsidRDefault="00681EC7" w:rsidP="005E613E">
      <w:pPr>
        <w:ind w:left="546" w:right="-851"/>
        <w:jc w:val="both"/>
        <w:rPr>
          <w:rFonts w:eastAsia="Calibri"/>
          <w:sz w:val="21"/>
          <w:szCs w:val="21"/>
        </w:rPr>
      </w:pPr>
    </w:p>
    <w:p w:rsidR="00681EC7" w:rsidRPr="00681EC7" w:rsidRDefault="00681EC7" w:rsidP="005E613E">
      <w:pPr>
        <w:ind w:left="546" w:right="-851"/>
        <w:jc w:val="both"/>
        <w:rPr>
          <w:rFonts w:eastAsia="Calibri"/>
          <w:sz w:val="21"/>
          <w:szCs w:val="21"/>
        </w:rPr>
      </w:pPr>
      <w:r w:rsidRPr="00681EC7">
        <w:rPr>
          <w:rFonts w:eastAsia="Calibri"/>
          <w:sz w:val="21"/>
          <w:szCs w:val="21"/>
        </w:rPr>
        <w:t xml:space="preserve">L’UGP mettra en place des procédures pour la gestion et le suivi de la performance de ces tiers en relation avec les obligations de la NES no 2 de la Banque mondiale. En outre, l’UGP intégrera lesdites exigences dans les dispositions contractuelles avec ces tiers, ainsi que des mécanismes de recours appropriés en cas de non-conformité. S’agissant de sous-traitance, l’UGP exigera de ces tiers qu’ils incluent des dispositions équivalentes et des mécanismes de recours en cas de non-conformité dans leurs accords contractuels avec les sous-traitants. </w:t>
      </w:r>
    </w:p>
    <w:p w:rsidR="00681EC7" w:rsidRDefault="00681EC7" w:rsidP="005E613E">
      <w:pPr>
        <w:ind w:left="546" w:right="-851"/>
        <w:jc w:val="both"/>
        <w:rPr>
          <w:rFonts w:eastAsia="Calibri"/>
          <w:sz w:val="21"/>
          <w:szCs w:val="21"/>
        </w:rPr>
      </w:pPr>
      <w:r w:rsidRPr="00681EC7">
        <w:rPr>
          <w:rFonts w:eastAsia="Calibri"/>
          <w:sz w:val="21"/>
          <w:szCs w:val="21"/>
        </w:rPr>
        <w:t xml:space="preserve">Comme précise le mécanisme de gestion des plaintes au chapitre IX, les travailleurs contractuels auront accès au mécanisme de gestion des plaintes du projet à travers les principaux canaux sites ci-dessus. Dans tous les cas, les plaintes seront acheminées à l’UGP et au FAO pour les suites nécessaires. Les plaintes qui sont liées aux conditions de travail ou aux salaires et qui sont gérées à la satisfaction du (de la) plaignant(e), doivent être communiquées formellement à l’UGP pour suivi et évaluation. Tous les contrats seront revus afin d’être certain qu’ils intègrent l ́information du mécanisme de gestion des plaintes des travailleurs (MGP). Le spécialiste sauvegarde de l’UGP s’assurera que les contrats sont conformes aux présentes procédures de gestion de la main-d’œuvre. </w:t>
      </w:r>
    </w:p>
    <w:p w:rsidR="00CE62A1" w:rsidRPr="00681EC7" w:rsidRDefault="00CE62A1" w:rsidP="005E613E">
      <w:pPr>
        <w:ind w:left="546" w:right="-851"/>
        <w:jc w:val="both"/>
        <w:rPr>
          <w:rFonts w:eastAsia="Calibri"/>
          <w:sz w:val="21"/>
          <w:szCs w:val="21"/>
        </w:rPr>
      </w:pPr>
    </w:p>
    <w:p w:rsidR="00681EC7" w:rsidRPr="00681EC7" w:rsidRDefault="00681EC7" w:rsidP="005E613E">
      <w:pPr>
        <w:numPr>
          <w:ilvl w:val="0"/>
          <w:numId w:val="159"/>
        </w:numPr>
        <w:ind w:left="1134" w:right="-851"/>
        <w:contextualSpacing/>
        <w:outlineLvl w:val="1"/>
        <w:rPr>
          <w:rFonts w:eastAsia="Times New Roman"/>
          <w:b/>
          <w:bCs/>
          <w:sz w:val="22"/>
          <w:szCs w:val="22"/>
          <w:lang w:val="en-US" w:eastAsia="es-ES"/>
        </w:rPr>
      </w:pPr>
      <w:bookmarkStart w:id="474" w:name="_Toc67508590"/>
      <w:bookmarkStart w:id="475" w:name="_Toc69918778"/>
      <w:bookmarkStart w:id="476" w:name="_Toc73459824"/>
      <w:r w:rsidRPr="00681EC7">
        <w:rPr>
          <w:rFonts w:eastAsia="Times New Roman"/>
          <w:b/>
          <w:bCs/>
          <w:sz w:val="22"/>
          <w:szCs w:val="22"/>
          <w:lang w:val="en-US" w:eastAsia="es-ES"/>
        </w:rPr>
        <w:t>GESTION DES FOURNISSEURS ET PRESTATAIRES</w:t>
      </w:r>
      <w:bookmarkEnd w:id="474"/>
      <w:bookmarkEnd w:id="475"/>
      <w:bookmarkEnd w:id="476"/>
      <w:r w:rsidRPr="00681EC7">
        <w:rPr>
          <w:rFonts w:eastAsia="Times New Roman"/>
          <w:b/>
          <w:bCs/>
          <w:sz w:val="22"/>
          <w:szCs w:val="22"/>
          <w:lang w:val="en-US" w:eastAsia="es-ES"/>
        </w:rPr>
        <w:t> </w:t>
      </w:r>
    </w:p>
    <w:p w:rsidR="00681EC7" w:rsidRPr="00681EC7" w:rsidRDefault="00681EC7" w:rsidP="005E613E">
      <w:pPr>
        <w:ind w:left="567" w:right="-851"/>
        <w:jc w:val="both"/>
        <w:rPr>
          <w:rFonts w:eastAsia="Calibri"/>
          <w:sz w:val="21"/>
          <w:szCs w:val="21"/>
        </w:rPr>
      </w:pPr>
      <w:r w:rsidRPr="00681EC7">
        <w:rPr>
          <w:rFonts w:eastAsia="Calibri"/>
          <w:sz w:val="21"/>
          <w:szCs w:val="21"/>
        </w:rPr>
        <w:t xml:space="preserve">Il appartient à l’unité de coordination du projet de la FAO de mettre en place des procédures de sélection, des dispositions contractuelles et des procédures </w:t>
      </w:r>
      <w:r w:rsidR="005E613E" w:rsidRPr="00681EC7">
        <w:rPr>
          <w:rFonts w:eastAsia="Calibri"/>
          <w:sz w:val="21"/>
          <w:szCs w:val="21"/>
        </w:rPr>
        <w:t>des gestions</w:t>
      </w:r>
      <w:r w:rsidRPr="00681EC7">
        <w:rPr>
          <w:rFonts w:eastAsia="Calibri"/>
          <w:sz w:val="21"/>
          <w:szCs w:val="21"/>
        </w:rPr>
        <w:t xml:space="preserve"> et de suivi pour que les fournisseurs et les prestataires puissant se conformer à la législation nationale et aux normes NES 2 de la Banque Mondiale.</w:t>
      </w:r>
    </w:p>
    <w:p w:rsidR="00681EC7" w:rsidRPr="00681EC7" w:rsidRDefault="00681EC7" w:rsidP="005E613E">
      <w:pPr>
        <w:ind w:right="-851"/>
        <w:jc w:val="both"/>
        <w:rPr>
          <w:rFonts w:eastAsia="Calibri"/>
          <w:sz w:val="21"/>
          <w:szCs w:val="21"/>
        </w:rPr>
      </w:pPr>
    </w:p>
    <w:p w:rsidR="00681EC7" w:rsidRPr="00681EC7" w:rsidRDefault="00681EC7" w:rsidP="005E613E">
      <w:pPr>
        <w:numPr>
          <w:ilvl w:val="0"/>
          <w:numId w:val="159"/>
        </w:numPr>
        <w:ind w:left="1134" w:right="-851"/>
        <w:contextualSpacing/>
        <w:outlineLvl w:val="1"/>
        <w:rPr>
          <w:rFonts w:eastAsia="Times New Roman"/>
          <w:b/>
          <w:bCs/>
          <w:sz w:val="22"/>
          <w:szCs w:val="22"/>
          <w:lang w:val="en-US" w:eastAsia="es-ES"/>
        </w:rPr>
      </w:pPr>
      <w:bookmarkStart w:id="477" w:name="_Toc67508591"/>
      <w:bookmarkStart w:id="478" w:name="_Toc69918779"/>
      <w:bookmarkStart w:id="479" w:name="_Toc73459825"/>
      <w:r w:rsidRPr="00681EC7">
        <w:rPr>
          <w:rFonts w:eastAsia="Times New Roman"/>
          <w:b/>
          <w:bCs/>
          <w:sz w:val="22"/>
          <w:szCs w:val="22"/>
          <w:lang w:val="en-US" w:eastAsia="es-ES"/>
        </w:rPr>
        <w:t>TRAVAILLEURS COMMUNAUTAIRES</w:t>
      </w:r>
      <w:bookmarkEnd w:id="477"/>
      <w:bookmarkEnd w:id="478"/>
      <w:bookmarkEnd w:id="479"/>
    </w:p>
    <w:p w:rsidR="00FB762F" w:rsidRPr="004C6542" w:rsidRDefault="00681EC7" w:rsidP="005E613E">
      <w:pPr>
        <w:ind w:left="1134" w:right="-851"/>
        <w:jc w:val="both"/>
        <w:rPr>
          <w:rFonts w:eastAsia="Calibri"/>
          <w:sz w:val="21"/>
          <w:szCs w:val="21"/>
        </w:rPr>
      </w:pPr>
      <w:r w:rsidRPr="00681EC7">
        <w:rPr>
          <w:rFonts w:eastAsia="Calibri"/>
          <w:sz w:val="21"/>
          <w:szCs w:val="21"/>
        </w:rPr>
        <w:t>Le travail communautaire n’est pas applicable sur le projet</w:t>
      </w:r>
    </w:p>
    <w:p w:rsidR="007418E7" w:rsidRPr="00A05698" w:rsidRDefault="007418E7" w:rsidP="00BF27DC">
      <w:pPr>
        <w:pStyle w:val="Cabealho1"/>
        <w:numPr>
          <w:ilvl w:val="0"/>
          <w:numId w:val="0"/>
        </w:numPr>
        <w:pBdr>
          <w:bottom w:val="thickThinSmallGap" w:sz="24" w:space="1" w:color="auto"/>
        </w:pBdr>
        <w:shd w:val="clear" w:color="auto" w:fill="E2EFD9" w:themeFill="accent6" w:themeFillTint="33"/>
        <w:spacing w:after="120"/>
        <w:rPr>
          <w:rFonts w:ascii="Times New Roman" w:hAnsi="Times New Roman"/>
          <w:sz w:val="28"/>
          <w:szCs w:val="28"/>
        </w:rPr>
      </w:pPr>
      <w:bookmarkStart w:id="480" w:name="_Toc73459826"/>
      <w:r w:rsidRPr="00A05698">
        <w:rPr>
          <w:rFonts w:ascii="Times New Roman" w:hAnsi="Times New Roman"/>
          <w:sz w:val="28"/>
          <w:szCs w:val="28"/>
        </w:rPr>
        <w:t xml:space="preserve">ANNEXE </w:t>
      </w:r>
      <w:r w:rsidR="00064F08">
        <w:rPr>
          <w:rFonts w:ascii="Times New Roman" w:hAnsi="Times New Roman"/>
          <w:sz w:val="28"/>
          <w:szCs w:val="28"/>
        </w:rPr>
        <w:t>5</w:t>
      </w:r>
      <w:r w:rsidR="00064F08" w:rsidRPr="00A05698">
        <w:rPr>
          <w:rFonts w:ascii="Times New Roman" w:hAnsi="Times New Roman"/>
          <w:sz w:val="28"/>
          <w:szCs w:val="28"/>
        </w:rPr>
        <w:t xml:space="preserve"> :</w:t>
      </w:r>
      <w:r w:rsidR="00BF27DC" w:rsidRPr="00A05698">
        <w:rPr>
          <w:rFonts w:ascii="Times New Roman" w:hAnsi="Times New Roman"/>
          <w:sz w:val="28"/>
          <w:szCs w:val="28"/>
        </w:rPr>
        <w:t xml:space="preserve"> </w:t>
      </w:r>
      <w:r w:rsidRPr="00A05698">
        <w:rPr>
          <w:rFonts w:ascii="Times New Roman" w:hAnsi="Times New Roman"/>
          <w:sz w:val="28"/>
          <w:szCs w:val="28"/>
        </w:rPr>
        <w:t>PLAN DE GESTION DES PESTES ET DES PESTICIDES</w:t>
      </w:r>
      <w:bookmarkEnd w:id="480"/>
    </w:p>
    <w:p w:rsidR="007418E7" w:rsidRPr="00A05698" w:rsidRDefault="007418E7" w:rsidP="005E613E">
      <w:pPr>
        <w:keepNext/>
        <w:spacing w:line="276" w:lineRule="auto"/>
        <w:ind w:left="426" w:right="-851"/>
        <w:jc w:val="both"/>
        <w:outlineLvl w:val="1"/>
        <w:rPr>
          <w:rFonts w:eastAsia="Calibri"/>
          <w:b/>
          <w:sz w:val="28"/>
          <w:szCs w:val="28"/>
        </w:rPr>
      </w:pPr>
      <w:bookmarkStart w:id="481" w:name="_Toc521939534"/>
      <w:bookmarkStart w:id="482" w:name="_Toc62927861"/>
      <w:bookmarkStart w:id="483" w:name="_Toc63695103"/>
      <w:bookmarkStart w:id="484" w:name="_Toc67508593"/>
      <w:bookmarkStart w:id="485" w:name="_Toc69918781"/>
      <w:bookmarkStart w:id="486" w:name="_Toc73459827"/>
      <w:r w:rsidRPr="00A05698">
        <w:rPr>
          <w:rFonts w:eastAsia="Calibri"/>
          <w:b/>
          <w:sz w:val="28"/>
          <w:szCs w:val="28"/>
        </w:rPr>
        <w:t>Objectif du PGPP</w:t>
      </w:r>
      <w:bookmarkEnd w:id="481"/>
      <w:bookmarkEnd w:id="482"/>
      <w:bookmarkEnd w:id="483"/>
      <w:bookmarkEnd w:id="484"/>
      <w:bookmarkEnd w:id="485"/>
      <w:bookmarkEnd w:id="486"/>
    </w:p>
    <w:p w:rsidR="007418E7" w:rsidRPr="004C6EA1" w:rsidRDefault="00BF27DC" w:rsidP="005E613E">
      <w:pPr>
        <w:ind w:left="426" w:right="-851"/>
        <w:jc w:val="both"/>
        <w:rPr>
          <w:sz w:val="21"/>
          <w:szCs w:val="21"/>
        </w:rPr>
      </w:pPr>
      <w:r w:rsidRPr="004C6EA1">
        <w:rPr>
          <w:sz w:val="21"/>
          <w:szCs w:val="21"/>
        </w:rPr>
        <w:t xml:space="preserve">L’objectif </w:t>
      </w:r>
      <w:r w:rsidR="007B7194" w:rsidRPr="004C6EA1">
        <w:rPr>
          <w:sz w:val="21"/>
          <w:szCs w:val="21"/>
        </w:rPr>
        <w:t>global</w:t>
      </w:r>
      <w:r w:rsidR="00846935">
        <w:rPr>
          <w:sz w:val="21"/>
          <w:szCs w:val="21"/>
        </w:rPr>
        <w:t xml:space="preserve"> est de mettre en place</w:t>
      </w:r>
      <w:r w:rsidR="000A40F2" w:rsidRPr="000A40F2">
        <w:rPr>
          <w:sz w:val="21"/>
          <w:szCs w:val="21"/>
        </w:rPr>
        <w:t xml:space="preserve"> des mesures de lutte contre les nuisibles, aux approches de gestion intégrée des nuisibles (GIN) </w:t>
      </w:r>
      <w:r w:rsidR="009F20F8">
        <w:rPr>
          <w:sz w:val="21"/>
          <w:szCs w:val="21"/>
        </w:rPr>
        <w:t xml:space="preserve">mais aussi </w:t>
      </w:r>
      <w:r w:rsidR="007B7194" w:rsidRPr="004C6EA1">
        <w:rPr>
          <w:sz w:val="21"/>
          <w:szCs w:val="21"/>
        </w:rPr>
        <w:t>de promouvoir l’utilisation des méthodes de contrôle biologique ou</w:t>
      </w:r>
      <w:r w:rsidR="007418E7" w:rsidRPr="004C6EA1">
        <w:rPr>
          <w:sz w:val="21"/>
          <w:szCs w:val="21"/>
        </w:rPr>
        <w:t xml:space="preserve"> environnemental afin de réduire la dépendance </w:t>
      </w:r>
      <w:r w:rsidR="007B7194" w:rsidRPr="004C6EA1">
        <w:rPr>
          <w:sz w:val="21"/>
          <w:szCs w:val="21"/>
        </w:rPr>
        <w:t>aux pesticides</w:t>
      </w:r>
      <w:r w:rsidR="007418E7" w:rsidRPr="004C6EA1">
        <w:rPr>
          <w:sz w:val="21"/>
          <w:szCs w:val="21"/>
        </w:rPr>
        <w:t xml:space="preserve"> synthétiques chimiques et de s’assurer que les risques sanitaires et environnementaux associés aux </w:t>
      </w:r>
      <w:r w:rsidR="007B7194" w:rsidRPr="004C6EA1">
        <w:rPr>
          <w:sz w:val="21"/>
          <w:szCs w:val="21"/>
        </w:rPr>
        <w:t>pesticides sont</w:t>
      </w:r>
      <w:r w:rsidR="007418E7" w:rsidRPr="004C6EA1">
        <w:rPr>
          <w:sz w:val="21"/>
          <w:szCs w:val="21"/>
        </w:rPr>
        <w:t xml:space="preserve"> minimisés.  Les objectifs spécifiques du PGPP incluront les mesures suivantes :</w:t>
      </w:r>
    </w:p>
    <w:p w:rsidR="007418E7" w:rsidRPr="004C6EA1" w:rsidRDefault="007B7194" w:rsidP="005E613E">
      <w:pPr>
        <w:pStyle w:val="PargrafodaLista"/>
        <w:numPr>
          <w:ilvl w:val="0"/>
          <w:numId w:val="135"/>
        </w:numPr>
        <w:ind w:left="993" w:right="-851"/>
        <w:jc w:val="both"/>
        <w:rPr>
          <w:rFonts w:ascii="Times New Roman" w:hAnsi="Times New Roman"/>
          <w:sz w:val="21"/>
          <w:szCs w:val="21"/>
        </w:rPr>
      </w:pPr>
      <w:r w:rsidRPr="004C6EA1">
        <w:rPr>
          <w:rFonts w:ascii="Times New Roman" w:hAnsi="Times New Roman"/>
          <w:sz w:val="21"/>
          <w:szCs w:val="21"/>
        </w:rPr>
        <w:t>Améliorer les systèmes d’utilisation et de gestion des pesticides pour protéger</w:t>
      </w:r>
      <w:r w:rsidR="007418E7" w:rsidRPr="004C6EA1">
        <w:rPr>
          <w:rFonts w:ascii="Times New Roman" w:hAnsi="Times New Roman"/>
          <w:sz w:val="21"/>
          <w:szCs w:val="21"/>
        </w:rPr>
        <w:t xml:space="preserve"> l’environnement et la santé des manipulateurs et des populations ;</w:t>
      </w:r>
    </w:p>
    <w:p w:rsidR="007418E7" w:rsidRPr="004C6EA1" w:rsidRDefault="007B7194" w:rsidP="005E613E">
      <w:pPr>
        <w:pStyle w:val="PargrafodaLista"/>
        <w:numPr>
          <w:ilvl w:val="0"/>
          <w:numId w:val="135"/>
        </w:numPr>
        <w:ind w:left="993" w:right="-851"/>
        <w:jc w:val="both"/>
        <w:rPr>
          <w:rFonts w:ascii="Times New Roman" w:hAnsi="Times New Roman"/>
          <w:sz w:val="21"/>
          <w:szCs w:val="21"/>
        </w:rPr>
      </w:pPr>
      <w:r w:rsidRPr="004C6EA1">
        <w:rPr>
          <w:rFonts w:ascii="Times New Roman" w:hAnsi="Times New Roman"/>
          <w:sz w:val="21"/>
          <w:szCs w:val="21"/>
        </w:rPr>
        <w:t>Renforcer les capacités des acteurs et des communautés dans la gestion des pestes</w:t>
      </w:r>
      <w:r w:rsidR="007418E7" w:rsidRPr="004C6EA1">
        <w:rPr>
          <w:rFonts w:ascii="Times New Roman" w:hAnsi="Times New Roman"/>
          <w:sz w:val="21"/>
          <w:szCs w:val="21"/>
        </w:rPr>
        <w:t xml:space="preserve"> </w:t>
      </w:r>
      <w:r w:rsidRPr="004C6EA1">
        <w:rPr>
          <w:rFonts w:ascii="Times New Roman" w:hAnsi="Times New Roman"/>
          <w:sz w:val="21"/>
          <w:szCs w:val="21"/>
        </w:rPr>
        <w:t>et des</w:t>
      </w:r>
      <w:r w:rsidR="007418E7" w:rsidRPr="004C6EA1">
        <w:rPr>
          <w:rFonts w:ascii="Times New Roman" w:hAnsi="Times New Roman"/>
          <w:sz w:val="21"/>
          <w:szCs w:val="21"/>
        </w:rPr>
        <w:t xml:space="preserve"> pesticides ; </w:t>
      </w:r>
    </w:p>
    <w:p w:rsidR="007418E7" w:rsidRPr="004C6EA1" w:rsidRDefault="007418E7" w:rsidP="005E613E">
      <w:pPr>
        <w:pStyle w:val="PargrafodaLista"/>
        <w:numPr>
          <w:ilvl w:val="0"/>
          <w:numId w:val="135"/>
        </w:numPr>
        <w:ind w:left="993" w:right="-851"/>
        <w:jc w:val="both"/>
        <w:rPr>
          <w:rFonts w:ascii="Times New Roman" w:hAnsi="Times New Roman"/>
          <w:sz w:val="21"/>
          <w:szCs w:val="21"/>
        </w:rPr>
      </w:pPr>
      <w:r w:rsidRPr="004C6EA1">
        <w:rPr>
          <w:rFonts w:ascii="Times New Roman" w:hAnsi="Times New Roman"/>
          <w:sz w:val="21"/>
          <w:szCs w:val="21"/>
        </w:rPr>
        <w:t>Sensibiliser les populations sur les risques liés aux pesticides et impliquer les communautés dans la mise en œuvre des activités ;</w:t>
      </w:r>
    </w:p>
    <w:p w:rsidR="007418E7" w:rsidRPr="004C6EA1" w:rsidRDefault="007B7194" w:rsidP="005E613E">
      <w:pPr>
        <w:pStyle w:val="PargrafodaLista"/>
        <w:numPr>
          <w:ilvl w:val="0"/>
          <w:numId w:val="135"/>
        </w:numPr>
        <w:ind w:left="993" w:right="-851"/>
        <w:jc w:val="both"/>
        <w:rPr>
          <w:rFonts w:ascii="Times New Roman" w:hAnsi="Times New Roman"/>
          <w:sz w:val="21"/>
          <w:szCs w:val="21"/>
        </w:rPr>
      </w:pPr>
      <w:r w:rsidRPr="004C6EA1">
        <w:rPr>
          <w:rFonts w:ascii="Times New Roman" w:hAnsi="Times New Roman"/>
          <w:sz w:val="21"/>
          <w:szCs w:val="21"/>
        </w:rPr>
        <w:t>Assurer le suivi et l’évaluation de la mise en œuvre du plan de gestion des pestes et des</w:t>
      </w:r>
      <w:r w:rsidR="007418E7" w:rsidRPr="004C6EA1">
        <w:rPr>
          <w:rFonts w:ascii="Times New Roman" w:hAnsi="Times New Roman"/>
          <w:sz w:val="21"/>
          <w:szCs w:val="21"/>
        </w:rPr>
        <w:t xml:space="preserve"> pesticides</w:t>
      </w:r>
    </w:p>
    <w:p w:rsidR="009847D7" w:rsidRPr="003F5F8A" w:rsidRDefault="007B7194" w:rsidP="005E613E">
      <w:pPr>
        <w:pStyle w:val="PargrafodaLista"/>
        <w:numPr>
          <w:ilvl w:val="0"/>
          <w:numId w:val="135"/>
        </w:numPr>
        <w:ind w:left="993" w:right="-851"/>
        <w:jc w:val="both"/>
        <w:rPr>
          <w:rFonts w:ascii="Times New Roman" w:hAnsi="Times New Roman"/>
          <w:sz w:val="21"/>
          <w:szCs w:val="21"/>
        </w:rPr>
      </w:pPr>
      <w:r w:rsidRPr="004C6EA1">
        <w:rPr>
          <w:rFonts w:ascii="Times New Roman" w:hAnsi="Times New Roman"/>
          <w:sz w:val="21"/>
          <w:szCs w:val="21"/>
        </w:rPr>
        <w:t>Etablir le budget prévisionnel à pourvoir par le projet pour mettre en œuvre les conditions</w:t>
      </w:r>
      <w:r w:rsidR="007418E7" w:rsidRPr="004C6EA1">
        <w:rPr>
          <w:rFonts w:ascii="Times New Roman" w:hAnsi="Times New Roman"/>
          <w:sz w:val="21"/>
          <w:szCs w:val="21"/>
        </w:rPr>
        <w:t xml:space="preserve"> requises par le PGPP.</w:t>
      </w:r>
    </w:p>
    <w:p w:rsidR="00C94E7A" w:rsidRPr="00C94E7A" w:rsidRDefault="00C94E7A" w:rsidP="005E613E">
      <w:pPr>
        <w:keepNext/>
        <w:spacing w:line="276" w:lineRule="auto"/>
        <w:ind w:left="426" w:right="-851"/>
        <w:jc w:val="both"/>
        <w:outlineLvl w:val="1"/>
        <w:rPr>
          <w:rFonts w:eastAsia="Calibri"/>
          <w:b/>
          <w:sz w:val="28"/>
          <w:szCs w:val="28"/>
        </w:rPr>
      </w:pPr>
      <w:bookmarkStart w:id="487" w:name="_Toc67508594"/>
      <w:bookmarkStart w:id="488" w:name="_Toc69918782"/>
      <w:bookmarkStart w:id="489" w:name="_Toc73459828"/>
      <w:r w:rsidRPr="00C94E7A">
        <w:rPr>
          <w:rFonts w:eastAsia="Calibri"/>
          <w:b/>
          <w:sz w:val="28"/>
          <w:szCs w:val="28"/>
        </w:rPr>
        <w:t>Cadre réglementaire</w:t>
      </w:r>
      <w:bookmarkEnd w:id="487"/>
      <w:bookmarkEnd w:id="488"/>
      <w:bookmarkEnd w:id="489"/>
      <w:r w:rsidRPr="00C94E7A">
        <w:rPr>
          <w:rFonts w:eastAsia="Calibri"/>
          <w:b/>
          <w:sz w:val="28"/>
          <w:szCs w:val="28"/>
        </w:rPr>
        <w:t xml:space="preserve"> </w:t>
      </w:r>
    </w:p>
    <w:p w:rsidR="00C94E7A" w:rsidRPr="003F5F8A" w:rsidRDefault="00C94E7A" w:rsidP="005E613E">
      <w:pPr>
        <w:ind w:left="426" w:right="-851"/>
        <w:jc w:val="both"/>
        <w:rPr>
          <w:sz w:val="21"/>
          <w:szCs w:val="21"/>
        </w:rPr>
      </w:pPr>
      <w:r w:rsidRPr="003F5F8A">
        <w:rPr>
          <w:sz w:val="21"/>
          <w:szCs w:val="21"/>
        </w:rPr>
        <w:t>Internationales et régionales : La Guinée Bissau est partie prenante des conventions internationales et régionales ci-après, qui touchent plus ou moins aux aspects gestion des Pesticides, à savoir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Code de bonne conduite en matière de gestion des pesticides de la FAO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Réglementation Commune sur l’Homologation des Pesticides aux Etats membre du CILSS en 1999;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Stockholm sur les Polluants Organiques Persistants adoptée le 2</w:t>
      </w:r>
      <w:r w:rsidR="00E07CC0">
        <w:rPr>
          <w:rFonts w:ascii="Times New Roman" w:hAnsi="Times New Roman"/>
          <w:sz w:val="21"/>
          <w:szCs w:val="21"/>
        </w:rPr>
        <w:t xml:space="preserve">2 Mai 2001 à Stockholm, Suède </w:t>
      </w:r>
      <w:r w:rsidRPr="003F5F8A">
        <w:rPr>
          <w:rFonts w:ascii="Symbol" w:eastAsia="Symbol" w:hAnsi="Symbol" w:cs="Symbol"/>
          <w:sz w:val="21"/>
          <w:szCs w:val="21"/>
        </w:rPr>
        <w:sym w:font="Symbol" w:char="F0B7"/>
      </w:r>
      <w:r w:rsidRPr="003F5F8A">
        <w:rPr>
          <w:rFonts w:ascii="Times New Roman" w:hAnsi="Times New Roman"/>
          <w:sz w:val="21"/>
          <w:szCs w:val="21"/>
        </w:rPr>
        <w:t xml:space="preserve"> Protocole de Montréal relatif à des substances qui appauvrissent la couche d’ozone, entrée en vigueur le 1er Janvier 1989 et ratifié par 183 pays ;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International pour la Protection des Végétaux ‘’CIPV’’ ;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Berne sur la conservation de la faune et de la flore sauvage Européennes et de leurs Habitats naturels</w:t>
      </w: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Bonn sur les espèces migratrices de faune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Ramsar sur les zones humides ;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Bâle sur le contrôle des mouvements transfrontaliers les déchets dangereux et de leur élimination, conclue à Bâle, Suisse, le 22 Mars 1989 et entrée en vigueur en Mai 1992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Rotterdam sur la procédure de consentement préalable en connaissance de cause applicable à certains produits chimiques et pesticides dangereux qui fait l’objet d’un commerce International signé en 1999;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sur la diversité biologique adoptée au Sommet de la Terre de 1992 à Rio de Janeiro, Brésil ; </w:t>
      </w:r>
    </w:p>
    <w:p w:rsidR="00C94E7A" w:rsidRPr="003F5F8A" w:rsidRDefault="00C94E7A" w:rsidP="005E613E">
      <w:pPr>
        <w:pStyle w:val="PargrafodaLista"/>
        <w:ind w:left="993"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Bamako sur l’interdiction d’importer des déchets dangereux et le contrôle de leurs mouvements transfrontaliers en Afrique, adoptée le 30 Janvier 1991. Par rapport à la Gestion des Pesticides, toutes les conventions citées ci-dessus sont ratifiées, mais leur traduction dans la législation nationale n’est pas effective dans leur totalité. Aussi, tenant compte de l’absence d’un Plan National de Gestion Intégrée des Rongeurs, proposer l’élaboration de ce plan dans un bref délai afin d'atténuer les effets néfastes liés à l'utilisation des pesticides. </w:t>
      </w:r>
    </w:p>
    <w:p w:rsidR="00C94E7A" w:rsidRPr="008371D1" w:rsidRDefault="00C94E7A" w:rsidP="005E613E">
      <w:pPr>
        <w:ind w:left="426" w:right="-851"/>
        <w:jc w:val="both"/>
        <w:rPr>
          <w:b/>
          <w:sz w:val="21"/>
          <w:szCs w:val="21"/>
        </w:rPr>
      </w:pPr>
      <w:r w:rsidRPr="008371D1">
        <w:rPr>
          <w:b/>
          <w:sz w:val="21"/>
          <w:szCs w:val="21"/>
        </w:rPr>
        <w:t xml:space="preserve">Réglementation nationale </w:t>
      </w:r>
    </w:p>
    <w:p w:rsidR="00C94E7A" w:rsidRPr="003F5F8A" w:rsidRDefault="00C94E7A" w:rsidP="005E613E">
      <w:pPr>
        <w:pStyle w:val="PargrafodaLista"/>
        <w:ind w:right="-851"/>
        <w:jc w:val="both"/>
        <w:rPr>
          <w:rFonts w:ascii="Times New Roman" w:hAnsi="Times New Roman"/>
          <w:sz w:val="21"/>
          <w:szCs w:val="21"/>
        </w:rPr>
      </w:pPr>
      <w:r w:rsidRPr="003F5F8A">
        <w:rPr>
          <w:rFonts w:ascii="Symbol" w:eastAsia="Symbol" w:hAnsi="Symbol" w:cs="Symbol"/>
          <w:sz w:val="21"/>
          <w:szCs w:val="21"/>
        </w:rPr>
        <w:sym w:font="Symbol" w:char="F0B7"/>
      </w:r>
      <w:r w:rsidR="00E07CC0" w:rsidRPr="003F5F8A">
        <w:rPr>
          <w:rFonts w:ascii="Times New Roman" w:hAnsi="Times New Roman"/>
          <w:sz w:val="21"/>
          <w:szCs w:val="21"/>
        </w:rPr>
        <w:t>Décret-Loi</w:t>
      </w:r>
      <w:r w:rsidRPr="003F5F8A">
        <w:rPr>
          <w:rFonts w:ascii="Times New Roman" w:hAnsi="Times New Roman"/>
          <w:sz w:val="21"/>
          <w:szCs w:val="21"/>
        </w:rPr>
        <w:t xml:space="preserve"> n° 7/2000 du 24 aout qui définit un encadrement technique et scientifique de l'utilisation des produits phytopharmaceutiques ; </w:t>
      </w:r>
    </w:p>
    <w:p w:rsidR="00C94E7A" w:rsidRPr="003F5F8A" w:rsidRDefault="00C94E7A" w:rsidP="005E613E">
      <w:pPr>
        <w:pStyle w:val="PargrafodaLista"/>
        <w:ind w:right="-851"/>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Les directives contenues dans la convention de Rotterdam qui permettent au pays de sélectionnés les types de pesticides dont il autorise l’importation ; </w:t>
      </w:r>
    </w:p>
    <w:p w:rsidR="003A39C7" w:rsidRDefault="00C94E7A" w:rsidP="005E613E">
      <w:pPr>
        <w:pStyle w:val="PargrafodaLista"/>
        <w:ind w:right="-851"/>
        <w:jc w:val="both"/>
        <w:rPr>
          <w:sz w:val="22"/>
          <w:szCs w:val="22"/>
        </w:rPr>
      </w:pPr>
      <w:r w:rsidRPr="003F5F8A">
        <w:rPr>
          <w:rFonts w:ascii="Symbol" w:eastAsia="Symbol" w:hAnsi="Symbol" w:cs="Symbol"/>
          <w:sz w:val="21"/>
          <w:szCs w:val="21"/>
        </w:rPr>
        <w:sym w:font="Symbol" w:char="F0B7"/>
      </w:r>
      <w:r w:rsidR="0027003D" w:rsidRPr="0027003D">
        <w:rPr>
          <w:rFonts w:ascii="Times New Roman" w:eastAsiaTheme="minorHAnsi" w:hAnsi="Times New Roman"/>
          <w:sz w:val="24"/>
          <w:szCs w:val="24"/>
        </w:rPr>
        <w:t xml:space="preserve"> </w:t>
      </w:r>
      <w:r w:rsidR="0027003D" w:rsidRPr="0027003D">
        <w:rPr>
          <w:rFonts w:ascii="Times New Roman" w:hAnsi="Times New Roman"/>
          <w:sz w:val="21"/>
          <w:szCs w:val="21"/>
        </w:rPr>
        <w:t>le projet doit respecter strictement le Code international de conduite pour la gestion des pesticides de la FAO et le Code et le Manuel sanitaire pour les animaux terrestres de l'Office international des épizooties (OIE)</w:t>
      </w:r>
    </w:p>
    <w:p w:rsidR="003A39C7" w:rsidRPr="00D3585B" w:rsidRDefault="003A39C7" w:rsidP="005E613E">
      <w:pPr>
        <w:ind w:left="426" w:right="-851"/>
        <w:jc w:val="both"/>
        <w:rPr>
          <w:b/>
          <w:sz w:val="21"/>
          <w:szCs w:val="21"/>
        </w:rPr>
      </w:pPr>
      <w:r w:rsidRPr="00D3585B">
        <w:rPr>
          <w:b/>
          <w:sz w:val="21"/>
          <w:szCs w:val="21"/>
        </w:rPr>
        <w:t xml:space="preserve">Cadre institutionnel de gestion des pesticides </w:t>
      </w:r>
    </w:p>
    <w:p w:rsidR="00F9328C" w:rsidRPr="00D3585B" w:rsidRDefault="00F9328C" w:rsidP="005E613E">
      <w:pPr>
        <w:ind w:right="-851"/>
        <w:jc w:val="both"/>
        <w:rPr>
          <w:sz w:val="21"/>
          <w:szCs w:val="21"/>
        </w:rPr>
      </w:pPr>
    </w:p>
    <w:p w:rsidR="00F9328C" w:rsidRDefault="003A39C7" w:rsidP="005E613E">
      <w:pPr>
        <w:ind w:left="709" w:right="-851"/>
        <w:jc w:val="both"/>
        <w:rPr>
          <w:rFonts w:eastAsia="Calibri"/>
          <w:sz w:val="21"/>
          <w:szCs w:val="21"/>
        </w:rPr>
      </w:pPr>
      <w:r w:rsidRPr="00D3585B">
        <w:rPr>
          <w:rFonts w:eastAsia="Calibri"/>
          <w:sz w:val="21"/>
          <w:szCs w:val="21"/>
        </w:rPr>
        <w:t xml:space="preserve">La gestion des pesticides interpelle principalement le Ministère de l’Agriculture et du développement Rural, mais d’autre institutions et catégories d’acteurs sont aussi concernées dans cette gestion, notamment : le Ministère de l’Environnement ; le Ministère de la Santé ; les Instituions d’encadrement Agricole ; Les Organisations de Producteurs agricoles ; l'ANAG, les ONG, les Associations etc. </w:t>
      </w:r>
    </w:p>
    <w:p w:rsidR="001A41C8" w:rsidRPr="00D3585B" w:rsidRDefault="001A41C8" w:rsidP="005E613E">
      <w:pPr>
        <w:ind w:right="-851"/>
        <w:jc w:val="both"/>
        <w:rPr>
          <w:rFonts w:eastAsia="Calibri"/>
          <w:sz w:val="21"/>
          <w:szCs w:val="21"/>
        </w:rPr>
      </w:pPr>
    </w:p>
    <w:p w:rsidR="001A41C8" w:rsidRPr="00D3585B" w:rsidRDefault="003A39C7" w:rsidP="005E613E">
      <w:pPr>
        <w:pStyle w:val="PargrafodaLista"/>
        <w:numPr>
          <w:ilvl w:val="0"/>
          <w:numId w:val="170"/>
        </w:numPr>
        <w:spacing w:after="0" w:line="240" w:lineRule="auto"/>
        <w:ind w:right="-851"/>
        <w:jc w:val="both"/>
        <w:rPr>
          <w:rFonts w:ascii="Times" w:hAnsi="Times"/>
          <w:sz w:val="21"/>
          <w:szCs w:val="21"/>
        </w:rPr>
      </w:pPr>
      <w:r w:rsidRPr="00D3585B">
        <w:rPr>
          <w:rFonts w:ascii="Times" w:hAnsi="Times"/>
          <w:sz w:val="21"/>
          <w:szCs w:val="21"/>
        </w:rPr>
        <w:t xml:space="preserve">Les services </w:t>
      </w:r>
      <w:r w:rsidR="001A41C8" w:rsidRPr="00D3585B">
        <w:rPr>
          <w:rFonts w:ascii="Times" w:hAnsi="Times"/>
          <w:sz w:val="21"/>
          <w:szCs w:val="21"/>
        </w:rPr>
        <w:t xml:space="preserve">du Ministère de l’Agriculture </w:t>
      </w:r>
    </w:p>
    <w:p w:rsidR="006B0122" w:rsidRDefault="003A39C7" w:rsidP="005E613E">
      <w:pPr>
        <w:ind w:left="709" w:right="-851"/>
        <w:jc w:val="both"/>
        <w:rPr>
          <w:rFonts w:eastAsia="Calibri"/>
          <w:sz w:val="21"/>
          <w:szCs w:val="21"/>
        </w:rPr>
      </w:pPr>
      <w:r w:rsidRPr="00D3585B">
        <w:rPr>
          <w:rFonts w:eastAsia="Calibri"/>
          <w:sz w:val="21"/>
          <w:szCs w:val="21"/>
        </w:rPr>
        <w:t xml:space="preserve">Ce département ministériel, à travers le Service de la Direction de la Protection des Végétaux (SDPV), est concerné à titre principal par la gestion des pesticides, notamment à usage agricole. Dans le domaine du contrôle des produits phytosanitaires, la SDPV s’appuie essentiellement sur les Services de contrôle phytosanitaire et de mise en quarantaine des produits et sur le Comité National de Gestion des Pesticides (GNPC). Cependant, le dernier nommé, bien que les dispositions législatives soit prises à travers l'article 11 du Décret – Loi n° 7/2000 du 24 aout 2000, la GNPC n'est pas encore institué dans l'arsenal institutionnel de la Guinée Bissau. </w:t>
      </w:r>
    </w:p>
    <w:p w:rsidR="006B0122" w:rsidRDefault="006B0122" w:rsidP="005E613E">
      <w:pPr>
        <w:ind w:right="-851"/>
        <w:jc w:val="both"/>
        <w:rPr>
          <w:rFonts w:eastAsia="Calibri"/>
          <w:sz w:val="21"/>
          <w:szCs w:val="21"/>
        </w:rPr>
      </w:pPr>
    </w:p>
    <w:p w:rsidR="006B0122" w:rsidRPr="00D3585B" w:rsidRDefault="003A39C7" w:rsidP="005E613E">
      <w:pPr>
        <w:pStyle w:val="PargrafodaLista"/>
        <w:numPr>
          <w:ilvl w:val="0"/>
          <w:numId w:val="170"/>
        </w:numPr>
        <w:spacing w:after="0" w:line="240" w:lineRule="auto"/>
        <w:ind w:right="-851"/>
        <w:jc w:val="both"/>
        <w:rPr>
          <w:rFonts w:ascii="Times" w:hAnsi="Times"/>
          <w:sz w:val="21"/>
          <w:szCs w:val="21"/>
        </w:rPr>
      </w:pPr>
      <w:r w:rsidRPr="00D3585B">
        <w:rPr>
          <w:rFonts w:ascii="Times" w:hAnsi="Times"/>
          <w:sz w:val="21"/>
          <w:szCs w:val="21"/>
        </w:rPr>
        <w:t xml:space="preserve">Le Comité National de Gestion des Pesticides (CNGP) Guinée Bissau </w:t>
      </w:r>
    </w:p>
    <w:p w:rsidR="006B0122" w:rsidRDefault="003A39C7" w:rsidP="005E613E">
      <w:pPr>
        <w:ind w:left="709" w:right="-851"/>
        <w:jc w:val="both"/>
        <w:rPr>
          <w:rFonts w:eastAsia="Calibri"/>
          <w:sz w:val="21"/>
          <w:szCs w:val="21"/>
        </w:rPr>
      </w:pPr>
      <w:r w:rsidRPr="00D3585B">
        <w:rPr>
          <w:rFonts w:eastAsia="Calibri"/>
          <w:sz w:val="21"/>
          <w:szCs w:val="21"/>
        </w:rPr>
        <w:t xml:space="preserve">La vente des spécialités antiparasitaires à usage Agricole en Guinée Bissau est interdite sans autorisation préalable accordée par le Département du Développement Rural et de l’Agriculture. La plupart des Pesticides périmés, détériorés font l’objet de vente. Ainsi ces pesticides mal gérés causent un danger pour l’homme et les animaux, en plus des risques pour l’environnement en général. Afin de palier à tous ces problèmes, en partant de la Réglementation Commune sur l’Homologation des Pesticides entre les Etats membres du CILSS , il est mis en place le Décret – Loi n° 7/2000 du 24 aout 2000 en son article 11 la création du Comité National de Gestion des Pesticides (CNGP) en Guinée Bissau. </w:t>
      </w:r>
    </w:p>
    <w:p w:rsidR="006B0122" w:rsidRDefault="006B0122" w:rsidP="005E613E">
      <w:pPr>
        <w:ind w:right="-851"/>
        <w:jc w:val="both"/>
        <w:rPr>
          <w:rFonts w:eastAsia="Calibri"/>
          <w:sz w:val="21"/>
          <w:szCs w:val="21"/>
        </w:rPr>
      </w:pPr>
    </w:p>
    <w:p w:rsidR="007A2BAF" w:rsidRDefault="003A39C7" w:rsidP="005E613E">
      <w:pPr>
        <w:ind w:left="709" w:right="-851"/>
        <w:jc w:val="both"/>
        <w:rPr>
          <w:rFonts w:eastAsia="Calibri"/>
          <w:sz w:val="21"/>
          <w:szCs w:val="21"/>
        </w:rPr>
      </w:pPr>
      <w:r w:rsidRPr="00D3585B">
        <w:rPr>
          <w:rFonts w:eastAsia="Calibri"/>
          <w:sz w:val="21"/>
          <w:szCs w:val="21"/>
        </w:rPr>
        <w:t xml:space="preserve">Le CNGP est chargé de proposer et de surveiller le respect des principes et des orientations générales de la réglementation des pesticides et des agréments professionnels. Toutes les demandes d’agrément doivent être adressées au CNGP, chargé d'étudier les dossiers et de décider des demandes. </w:t>
      </w:r>
    </w:p>
    <w:p w:rsidR="007811A6" w:rsidRPr="00D3585B" w:rsidRDefault="003A39C7" w:rsidP="005E613E">
      <w:pPr>
        <w:pStyle w:val="PargrafodaLista"/>
        <w:numPr>
          <w:ilvl w:val="0"/>
          <w:numId w:val="170"/>
        </w:numPr>
        <w:spacing w:after="0" w:line="240" w:lineRule="auto"/>
        <w:ind w:right="-851"/>
        <w:jc w:val="both"/>
        <w:rPr>
          <w:rFonts w:ascii="Times" w:hAnsi="Times"/>
          <w:sz w:val="21"/>
          <w:szCs w:val="21"/>
        </w:rPr>
      </w:pPr>
      <w:r w:rsidRPr="00D3585B">
        <w:rPr>
          <w:rFonts w:ascii="Times" w:hAnsi="Times"/>
          <w:sz w:val="21"/>
          <w:szCs w:val="21"/>
        </w:rPr>
        <w:t xml:space="preserve">Les Services de la Direction de la Protection des Végétaux (SDPV) </w:t>
      </w:r>
    </w:p>
    <w:p w:rsidR="007811A6" w:rsidRDefault="003A39C7" w:rsidP="005E613E">
      <w:pPr>
        <w:ind w:left="709" w:right="-851"/>
        <w:jc w:val="both"/>
        <w:rPr>
          <w:rFonts w:eastAsia="Calibri"/>
          <w:sz w:val="21"/>
          <w:szCs w:val="21"/>
        </w:rPr>
      </w:pPr>
      <w:r w:rsidRPr="00D3585B">
        <w:rPr>
          <w:rFonts w:eastAsia="Calibri"/>
          <w:sz w:val="21"/>
          <w:szCs w:val="21"/>
        </w:rPr>
        <w:t xml:space="preserve">Les Services DPV est chargée de contrôler les agréments professionnels et les produits phytopharmaceutiques importés et distribués. Le service de la DPV </w:t>
      </w:r>
      <w:r w:rsidR="007811A6" w:rsidRPr="007811A6">
        <w:rPr>
          <w:rFonts w:eastAsia="Calibri"/>
          <w:sz w:val="21"/>
          <w:szCs w:val="21"/>
        </w:rPr>
        <w:t>dispose</w:t>
      </w:r>
      <w:r w:rsidRPr="00D3585B">
        <w:rPr>
          <w:rFonts w:eastAsia="Calibri"/>
          <w:sz w:val="21"/>
          <w:szCs w:val="21"/>
        </w:rPr>
        <w:t xml:space="preserve"> d'antennes régionales antennes </w:t>
      </w:r>
      <w:r w:rsidR="001C23CF" w:rsidRPr="001C23CF">
        <w:rPr>
          <w:rFonts w:eastAsia="Calibri"/>
          <w:sz w:val="21"/>
          <w:szCs w:val="21"/>
        </w:rPr>
        <w:t>aux neuves régions</w:t>
      </w:r>
      <w:r w:rsidRPr="00D3585B">
        <w:rPr>
          <w:rFonts w:eastAsia="Calibri"/>
          <w:sz w:val="21"/>
          <w:szCs w:val="21"/>
        </w:rPr>
        <w:t xml:space="preserve">. Ces derniers assurent pour le compte de la DPV </w:t>
      </w:r>
      <w:r w:rsidR="007811A6" w:rsidRPr="007811A6">
        <w:rPr>
          <w:rFonts w:eastAsia="Calibri"/>
          <w:sz w:val="21"/>
          <w:szCs w:val="21"/>
        </w:rPr>
        <w:t>un contrôle phytosanitaire</w:t>
      </w:r>
      <w:r w:rsidRPr="00D3585B">
        <w:rPr>
          <w:rFonts w:eastAsia="Calibri"/>
          <w:sz w:val="21"/>
          <w:szCs w:val="21"/>
        </w:rPr>
        <w:t xml:space="preserve"> des pesticides utilisés dans la région. Les contrôles prioritaires sont le contrôle de l'étiquetage et de l'emballage qui, doivent être réalisés au niveau des magasins de stockage ou des points de distribution des produits (contrôle des formulations et de leur conformité aux </w:t>
      </w:r>
      <w:r w:rsidR="001C23CF" w:rsidRPr="001C23CF">
        <w:rPr>
          <w:rFonts w:eastAsia="Calibri"/>
          <w:sz w:val="21"/>
          <w:szCs w:val="21"/>
        </w:rPr>
        <w:t>étiquettes ;</w:t>
      </w:r>
      <w:r w:rsidRPr="00D3585B">
        <w:rPr>
          <w:rFonts w:eastAsia="Calibri"/>
          <w:sz w:val="21"/>
          <w:szCs w:val="21"/>
        </w:rPr>
        <w:t xml:space="preserve"> contrôle des résidus dans les produits agricoles surtout par rapport aux Limites Maximales de Résidus admises par la Commission du Codex Alimentation de la FAO et de l'OMS; contrôle des agréments des produits ou homologation). </w:t>
      </w:r>
    </w:p>
    <w:p w:rsidR="007811A6" w:rsidRDefault="007811A6" w:rsidP="005E613E">
      <w:pPr>
        <w:ind w:right="-851"/>
        <w:jc w:val="both"/>
        <w:rPr>
          <w:rFonts w:eastAsia="Calibri"/>
          <w:sz w:val="21"/>
          <w:szCs w:val="21"/>
        </w:rPr>
      </w:pPr>
    </w:p>
    <w:p w:rsidR="001C23CF" w:rsidRPr="00D3585B" w:rsidRDefault="003A39C7" w:rsidP="005E613E">
      <w:pPr>
        <w:pStyle w:val="PargrafodaLista"/>
        <w:numPr>
          <w:ilvl w:val="0"/>
          <w:numId w:val="170"/>
        </w:numPr>
        <w:spacing w:after="0" w:line="240" w:lineRule="auto"/>
        <w:ind w:right="-851"/>
        <w:jc w:val="both"/>
        <w:rPr>
          <w:rFonts w:ascii="Times" w:hAnsi="Times"/>
          <w:sz w:val="21"/>
          <w:szCs w:val="21"/>
        </w:rPr>
      </w:pPr>
      <w:r w:rsidRPr="00D3585B">
        <w:rPr>
          <w:rFonts w:ascii="Times" w:hAnsi="Times"/>
          <w:sz w:val="21"/>
          <w:szCs w:val="21"/>
        </w:rPr>
        <w:t>La Direction des Servi</w:t>
      </w:r>
      <w:r w:rsidR="001C23CF" w:rsidRPr="00D3585B">
        <w:rPr>
          <w:rFonts w:ascii="Times" w:hAnsi="Times"/>
          <w:sz w:val="21"/>
          <w:szCs w:val="21"/>
        </w:rPr>
        <w:t xml:space="preserve">ces de protection des végétaux </w:t>
      </w:r>
    </w:p>
    <w:p w:rsidR="00B27921" w:rsidRDefault="003A39C7" w:rsidP="005E613E">
      <w:pPr>
        <w:ind w:left="709" w:right="-851"/>
        <w:jc w:val="both"/>
        <w:rPr>
          <w:rFonts w:eastAsia="Calibri"/>
          <w:sz w:val="21"/>
          <w:szCs w:val="21"/>
        </w:rPr>
      </w:pPr>
      <w:r w:rsidRPr="00D3585B">
        <w:rPr>
          <w:rFonts w:eastAsia="Calibri"/>
          <w:sz w:val="21"/>
          <w:szCs w:val="21"/>
        </w:rPr>
        <w:t>La Direction des Services de protection des végétaux est chargée de coordonner les opérations de surveillance des végétaux et des cultures en vue notamment de signaler l’existence, l’apparition et la propagation des ennemis des végétaux et produits végétaux</w:t>
      </w:r>
      <w:r w:rsidR="00253AAC">
        <w:rPr>
          <w:rFonts w:eastAsia="Calibri"/>
          <w:sz w:val="21"/>
          <w:szCs w:val="21"/>
        </w:rPr>
        <w:t>.</w:t>
      </w:r>
      <w:r w:rsidRPr="00D3585B">
        <w:rPr>
          <w:rFonts w:eastAsia="Calibri"/>
          <w:sz w:val="21"/>
          <w:szCs w:val="21"/>
        </w:rPr>
        <w:t xml:space="preserve"> La direction ne dispose pas spécifiquement d’expériences dans la gestion environnementale et sociale de projets. Cependant, elle a participé activement à l'accomp</w:t>
      </w:r>
      <w:r w:rsidR="00253AAC" w:rsidRPr="00253AAC">
        <w:rPr>
          <w:rFonts w:eastAsia="Calibri"/>
          <w:sz w:val="21"/>
          <w:szCs w:val="21"/>
        </w:rPr>
        <w:t xml:space="preserve">agnement de la mise en œuvre de certain projet </w:t>
      </w:r>
      <w:r w:rsidRPr="00D3585B">
        <w:rPr>
          <w:rFonts w:eastAsia="Calibri"/>
          <w:sz w:val="21"/>
          <w:szCs w:val="21"/>
        </w:rPr>
        <w:t>à travers des conseils pour l'acquisition de produits phytosanitaires et l'élaboration d'un manuel de bonnes pratiques sur l'utilisation des pesticides par le</w:t>
      </w:r>
      <w:r w:rsidR="00253AAC" w:rsidRPr="00B27921">
        <w:rPr>
          <w:rFonts w:eastAsia="Calibri"/>
          <w:sz w:val="21"/>
          <w:szCs w:val="21"/>
        </w:rPr>
        <w:t>s producteurs et les techniciens</w:t>
      </w:r>
      <w:r w:rsidRPr="00D3585B">
        <w:rPr>
          <w:rFonts w:eastAsia="Calibri"/>
          <w:sz w:val="21"/>
          <w:szCs w:val="21"/>
        </w:rPr>
        <w:t xml:space="preserve">. </w:t>
      </w:r>
    </w:p>
    <w:p w:rsidR="00B27921" w:rsidRDefault="003A39C7" w:rsidP="005E613E">
      <w:pPr>
        <w:ind w:left="709" w:right="-851"/>
        <w:jc w:val="both"/>
        <w:rPr>
          <w:rFonts w:eastAsia="Calibri"/>
          <w:sz w:val="21"/>
          <w:szCs w:val="21"/>
        </w:rPr>
      </w:pPr>
      <w:r w:rsidRPr="00D3585B">
        <w:rPr>
          <w:rFonts w:eastAsia="Calibri"/>
          <w:sz w:val="21"/>
          <w:szCs w:val="21"/>
        </w:rPr>
        <w:t xml:space="preserve">Par ailleurs, la direction manque de moyens techniques et matériels pour suivre et évaluer les aspects relatifs à la santé et à l’environnement des différentes campagnes. </w:t>
      </w:r>
    </w:p>
    <w:p w:rsidR="00196A07" w:rsidRDefault="003A39C7" w:rsidP="005E613E">
      <w:pPr>
        <w:ind w:left="709" w:right="-851"/>
        <w:jc w:val="both"/>
        <w:rPr>
          <w:rFonts w:eastAsia="Calibri"/>
          <w:sz w:val="21"/>
          <w:szCs w:val="21"/>
        </w:rPr>
      </w:pPr>
      <w:r w:rsidRPr="00D3585B">
        <w:rPr>
          <w:rFonts w:eastAsia="Calibri"/>
          <w:sz w:val="21"/>
          <w:szCs w:val="21"/>
        </w:rPr>
        <w:t xml:space="preserve">Depuis la crise politique intervenu en 2012 la direction n'a mené aucune activité faute de moyens financiers, techniques et humains. </w:t>
      </w:r>
    </w:p>
    <w:p w:rsidR="00196A07" w:rsidRDefault="00196A07" w:rsidP="005E613E">
      <w:pPr>
        <w:ind w:right="-851"/>
        <w:jc w:val="both"/>
        <w:rPr>
          <w:rFonts w:eastAsia="Calibri"/>
          <w:sz w:val="21"/>
          <w:szCs w:val="21"/>
        </w:rPr>
      </w:pPr>
    </w:p>
    <w:p w:rsidR="00196A07" w:rsidRPr="00D3585B" w:rsidRDefault="003A39C7" w:rsidP="005E613E">
      <w:pPr>
        <w:ind w:left="709" w:right="-851"/>
        <w:jc w:val="both"/>
        <w:rPr>
          <w:b/>
          <w:sz w:val="21"/>
          <w:szCs w:val="21"/>
        </w:rPr>
      </w:pPr>
      <w:r w:rsidRPr="00D3585B">
        <w:rPr>
          <w:b/>
          <w:sz w:val="21"/>
          <w:szCs w:val="21"/>
        </w:rPr>
        <w:t xml:space="preserve">Contraintes institutionnelles dans la gestion des pesticides </w:t>
      </w:r>
    </w:p>
    <w:p w:rsidR="00196A07" w:rsidRDefault="003A39C7" w:rsidP="005E613E">
      <w:pPr>
        <w:ind w:left="709" w:right="-851"/>
        <w:jc w:val="both"/>
        <w:rPr>
          <w:rFonts w:eastAsia="Calibri"/>
          <w:sz w:val="21"/>
          <w:szCs w:val="21"/>
        </w:rPr>
      </w:pPr>
      <w:r w:rsidRPr="00D3585B">
        <w:rPr>
          <w:rFonts w:eastAsia="Calibri"/>
          <w:sz w:val="21"/>
          <w:szCs w:val="21"/>
        </w:rPr>
        <w:t xml:space="preserve">L’activité phytosanitaire est entravée par plusieurs contraintes, dont les plus frappants sont : </w:t>
      </w:r>
    </w:p>
    <w:p w:rsidR="00196A07" w:rsidRDefault="003A39C7" w:rsidP="005E613E">
      <w:pPr>
        <w:ind w:left="1418" w:right="-851"/>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Le manque de personnel qualifié et assermenté, d’où la priorité dans la formation des cadres du Ministère de l’Agriculture ; </w:t>
      </w:r>
    </w:p>
    <w:p w:rsidR="00196A07" w:rsidRDefault="003A39C7" w:rsidP="005E613E">
      <w:pPr>
        <w:ind w:left="1418" w:right="-851"/>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Le manque de matériel de travail (moyens logistiques et technique) ; </w:t>
      </w:r>
    </w:p>
    <w:p w:rsidR="00196A07" w:rsidRDefault="003A39C7" w:rsidP="005E613E">
      <w:pPr>
        <w:ind w:left="1418" w:right="-851"/>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Le manque de mise en application effective des textes régissant l’activité phytosanitaire ; </w:t>
      </w:r>
    </w:p>
    <w:p w:rsidR="00196A07" w:rsidRDefault="003A39C7" w:rsidP="005E613E">
      <w:pPr>
        <w:ind w:left="1418" w:right="-851"/>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La non maîtrise des structures de production, vente et distribution de </w:t>
      </w:r>
      <w:r w:rsidR="00196A07" w:rsidRPr="00196A07">
        <w:rPr>
          <w:rFonts w:eastAsia="Calibri"/>
          <w:sz w:val="21"/>
          <w:szCs w:val="21"/>
        </w:rPr>
        <w:t>pesticides ;</w:t>
      </w:r>
      <w:r w:rsidRPr="00D3585B">
        <w:rPr>
          <w:rFonts w:eastAsia="Calibri"/>
          <w:sz w:val="21"/>
          <w:szCs w:val="21"/>
        </w:rPr>
        <w:t xml:space="preserve"> </w:t>
      </w:r>
    </w:p>
    <w:p w:rsidR="003A39C7" w:rsidRDefault="003A39C7" w:rsidP="005E613E">
      <w:pPr>
        <w:ind w:left="1418" w:right="-851"/>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Le manque de laboratoire d’analyse des données récoltées.</w:t>
      </w:r>
    </w:p>
    <w:p w:rsidR="00C96645" w:rsidRDefault="00C96645" w:rsidP="005E613E">
      <w:pPr>
        <w:ind w:left="426" w:right="-851"/>
        <w:jc w:val="both"/>
        <w:rPr>
          <w:rFonts w:eastAsia="Calibri"/>
          <w:sz w:val="21"/>
          <w:szCs w:val="21"/>
        </w:rPr>
      </w:pPr>
    </w:p>
    <w:p w:rsidR="001C599E" w:rsidRPr="00D3585B" w:rsidRDefault="001C599E" w:rsidP="005E613E">
      <w:pPr>
        <w:keepNext/>
        <w:spacing w:line="276" w:lineRule="auto"/>
        <w:ind w:left="426" w:right="-851"/>
        <w:jc w:val="both"/>
        <w:outlineLvl w:val="1"/>
        <w:rPr>
          <w:rFonts w:eastAsia="Calibri"/>
          <w:b/>
          <w:sz w:val="28"/>
          <w:szCs w:val="28"/>
        </w:rPr>
      </w:pPr>
      <w:bookmarkStart w:id="490" w:name="_Toc69918783"/>
      <w:bookmarkStart w:id="491" w:name="_Toc73459829"/>
      <w:r w:rsidRPr="00D3585B">
        <w:rPr>
          <w:rFonts w:eastAsia="Calibri"/>
          <w:b/>
          <w:sz w:val="28"/>
          <w:szCs w:val="28"/>
        </w:rPr>
        <w:t>Synthèse des risques et impacts liés aux pesticides</w:t>
      </w:r>
      <w:bookmarkEnd w:id="490"/>
      <w:bookmarkEnd w:id="491"/>
      <w:r w:rsidRPr="00D3585B">
        <w:rPr>
          <w:rFonts w:eastAsia="Calibri"/>
          <w:b/>
          <w:sz w:val="28"/>
          <w:szCs w:val="28"/>
        </w:rPr>
        <w:t xml:space="preserve"> </w:t>
      </w:r>
    </w:p>
    <w:p w:rsidR="001C599E" w:rsidRPr="003204A0" w:rsidRDefault="001C599E" w:rsidP="005E613E">
      <w:pPr>
        <w:ind w:left="709" w:right="-851"/>
        <w:jc w:val="both"/>
        <w:rPr>
          <w:rFonts w:eastAsia="Calibri"/>
          <w:sz w:val="21"/>
          <w:szCs w:val="21"/>
        </w:rPr>
      </w:pPr>
      <w:r w:rsidRPr="003204A0">
        <w:rPr>
          <w:rFonts w:eastAsia="Calibri"/>
          <w:sz w:val="21"/>
          <w:szCs w:val="21"/>
        </w:rPr>
        <w:t>Les impacts possibles sur l’environnement biophysique touchent le sol, la qualité de l’air, les eaux de surface et souterraines et la faune et la flore. Concernant les effets négatifs sur la santé humaine, ce sont surtout les agriculteurs et les ouvriers préparant les mélanges et réalisant les traitements qui sont les plus exposés aux risques toxicologiques. Ainsi, ces troubles de santé des personnes exposées présentent un impact négatif sur l’économie locale particulièrement.</w:t>
      </w:r>
    </w:p>
    <w:p w:rsidR="002B1363" w:rsidRPr="003204A0" w:rsidRDefault="002B1363" w:rsidP="003204A0">
      <w:pPr>
        <w:ind w:left="709" w:right="-50"/>
        <w:jc w:val="both"/>
        <w:rPr>
          <w:rFonts w:eastAsia="Calibri"/>
          <w:sz w:val="21"/>
          <w:szCs w:val="21"/>
        </w:rPr>
      </w:pPr>
    </w:p>
    <w:p w:rsidR="00223198" w:rsidRPr="003204A0" w:rsidRDefault="00223198" w:rsidP="003204A0">
      <w:pPr>
        <w:ind w:left="709" w:right="-50"/>
        <w:jc w:val="both"/>
        <w:rPr>
          <w:rFonts w:eastAsia="Calibri"/>
          <w:sz w:val="21"/>
          <w:szCs w:val="21"/>
        </w:rPr>
      </w:pPr>
      <w:r w:rsidRPr="003204A0">
        <w:rPr>
          <w:rFonts w:eastAsia="Calibri"/>
          <w:sz w:val="21"/>
          <w:szCs w:val="21"/>
        </w:rPr>
        <w:t xml:space="preserve">Tableau </w:t>
      </w:r>
      <w:r w:rsidR="002B1363" w:rsidRPr="003204A0">
        <w:rPr>
          <w:rFonts w:eastAsia="Calibri"/>
          <w:sz w:val="21"/>
          <w:szCs w:val="21"/>
        </w:rPr>
        <w:t xml:space="preserve">des synthèse des impacts et les mesures d’atténuation </w:t>
      </w:r>
    </w:p>
    <w:p w:rsidR="002B1363" w:rsidRPr="002F3DC8" w:rsidRDefault="002B1363" w:rsidP="00D75995">
      <w:pPr>
        <w:ind w:right="-50"/>
        <w:jc w:val="both"/>
        <w:rPr>
          <w:sz w:val="21"/>
          <w:szCs w:val="21"/>
        </w:rPr>
      </w:pPr>
    </w:p>
    <w:tbl>
      <w:tblPr>
        <w:tblW w:w="10039" w:type="dxa"/>
        <w:jc w:val="center"/>
        <w:tblLayout w:type="fixed"/>
        <w:tblCellMar>
          <w:left w:w="0" w:type="dxa"/>
          <w:right w:w="0" w:type="dxa"/>
        </w:tblCellMar>
        <w:tblLook w:val="04A0" w:firstRow="1" w:lastRow="0" w:firstColumn="1" w:lastColumn="0" w:noHBand="0" w:noVBand="1"/>
      </w:tblPr>
      <w:tblGrid>
        <w:gridCol w:w="1040"/>
        <w:gridCol w:w="360"/>
        <w:gridCol w:w="760"/>
        <w:gridCol w:w="120"/>
        <w:gridCol w:w="300"/>
        <w:gridCol w:w="360"/>
        <w:gridCol w:w="200"/>
        <w:gridCol w:w="600"/>
        <w:gridCol w:w="6299"/>
      </w:tblGrid>
      <w:tr w:rsidR="00223198" w:rsidTr="003204A0">
        <w:trPr>
          <w:trHeight w:val="238"/>
          <w:jc w:val="center"/>
        </w:trPr>
        <w:tc>
          <w:tcPr>
            <w:tcW w:w="1040" w:type="dxa"/>
            <w:tcBorders>
              <w:top w:val="single" w:sz="8" w:space="0" w:color="auto"/>
              <w:left w:val="single" w:sz="8" w:space="0" w:color="auto"/>
              <w:bottom w:val="single" w:sz="8" w:space="0" w:color="auto"/>
            </w:tcBorders>
            <w:vAlign w:val="bottom"/>
          </w:tcPr>
          <w:p w:rsidR="00223198" w:rsidRDefault="00223198" w:rsidP="00D75995">
            <w:pPr>
              <w:ind w:left="420" w:right="-50"/>
              <w:rPr>
                <w:sz w:val="20"/>
                <w:szCs w:val="20"/>
              </w:rPr>
            </w:pPr>
            <w:r>
              <w:rPr>
                <w:rFonts w:eastAsia="Times New Roman"/>
                <w:b/>
                <w:bCs/>
                <w:sz w:val="20"/>
                <w:szCs w:val="20"/>
              </w:rPr>
              <w:t>Milieu</w:t>
            </w:r>
          </w:p>
        </w:tc>
        <w:tc>
          <w:tcPr>
            <w:tcW w:w="360" w:type="dxa"/>
            <w:tcBorders>
              <w:top w:val="single" w:sz="8" w:space="0" w:color="auto"/>
              <w:bottom w:val="single" w:sz="8" w:space="0" w:color="auto"/>
              <w:right w:val="single" w:sz="8" w:space="0" w:color="auto"/>
            </w:tcBorders>
            <w:vAlign w:val="bottom"/>
          </w:tcPr>
          <w:p w:rsidR="00223198" w:rsidRDefault="00223198" w:rsidP="00D75995">
            <w:pPr>
              <w:ind w:right="-50"/>
              <w:rPr>
                <w:sz w:val="20"/>
                <w:szCs w:val="20"/>
              </w:rPr>
            </w:pPr>
          </w:p>
        </w:tc>
        <w:tc>
          <w:tcPr>
            <w:tcW w:w="2340" w:type="dxa"/>
            <w:gridSpan w:val="6"/>
            <w:tcBorders>
              <w:top w:val="single" w:sz="8" w:space="0" w:color="auto"/>
              <w:bottom w:val="single" w:sz="8" w:space="0" w:color="auto"/>
              <w:right w:val="single" w:sz="8" w:space="0" w:color="auto"/>
            </w:tcBorders>
            <w:vAlign w:val="bottom"/>
          </w:tcPr>
          <w:p w:rsidR="00223198" w:rsidRDefault="00223198" w:rsidP="00D75995">
            <w:pPr>
              <w:ind w:left="340" w:right="-50"/>
              <w:rPr>
                <w:sz w:val="20"/>
                <w:szCs w:val="20"/>
              </w:rPr>
            </w:pPr>
            <w:r>
              <w:rPr>
                <w:rFonts w:eastAsia="Times New Roman"/>
                <w:b/>
                <w:bCs/>
                <w:sz w:val="20"/>
                <w:szCs w:val="20"/>
              </w:rPr>
              <w:t>Nature de l’impact</w:t>
            </w:r>
          </w:p>
        </w:tc>
        <w:tc>
          <w:tcPr>
            <w:tcW w:w="6299" w:type="dxa"/>
            <w:tcBorders>
              <w:top w:val="single" w:sz="8" w:space="0" w:color="auto"/>
              <w:bottom w:val="single" w:sz="8" w:space="0" w:color="auto"/>
              <w:right w:val="single" w:sz="8" w:space="0" w:color="auto"/>
            </w:tcBorders>
            <w:vAlign w:val="bottom"/>
          </w:tcPr>
          <w:p w:rsidR="00223198" w:rsidRDefault="00223198" w:rsidP="00D75995">
            <w:pPr>
              <w:ind w:left="1800" w:right="-50"/>
              <w:rPr>
                <w:sz w:val="20"/>
                <w:szCs w:val="20"/>
              </w:rPr>
            </w:pPr>
            <w:r>
              <w:rPr>
                <w:rFonts w:eastAsia="Times New Roman"/>
                <w:b/>
                <w:bCs/>
                <w:sz w:val="20"/>
                <w:szCs w:val="20"/>
              </w:rPr>
              <w:t>Mesure d’atténuation</w:t>
            </w:r>
          </w:p>
        </w:tc>
      </w:tr>
      <w:tr w:rsidR="002B1363" w:rsidTr="003204A0">
        <w:trPr>
          <w:trHeight w:val="213"/>
          <w:jc w:val="center"/>
        </w:trPr>
        <w:tc>
          <w:tcPr>
            <w:tcW w:w="1040" w:type="dxa"/>
            <w:vMerge w:val="restart"/>
            <w:tcBorders>
              <w:left w:val="single" w:sz="8" w:space="0" w:color="auto"/>
            </w:tcBorders>
            <w:vAlign w:val="center"/>
          </w:tcPr>
          <w:p w:rsidR="002B1363" w:rsidRDefault="002B1363" w:rsidP="00D75995">
            <w:pPr>
              <w:spacing w:line="213" w:lineRule="exact"/>
              <w:ind w:left="120" w:right="-50"/>
              <w:jc w:val="center"/>
              <w:rPr>
                <w:sz w:val="20"/>
                <w:szCs w:val="20"/>
              </w:rPr>
            </w:pPr>
            <w:r>
              <w:rPr>
                <w:rFonts w:eastAsia="Times New Roman"/>
                <w:sz w:val="20"/>
                <w:szCs w:val="20"/>
              </w:rPr>
              <w:t>sol</w:t>
            </w:r>
          </w:p>
        </w:tc>
        <w:tc>
          <w:tcPr>
            <w:tcW w:w="360" w:type="dxa"/>
            <w:tcBorders>
              <w:right w:val="single" w:sz="8" w:space="0" w:color="auto"/>
            </w:tcBorders>
            <w:vAlign w:val="bottom"/>
          </w:tcPr>
          <w:p w:rsidR="002B1363" w:rsidRDefault="002B1363" w:rsidP="00D75995">
            <w:pPr>
              <w:ind w:right="-50"/>
              <w:rPr>
                <w:sz w:val="18"/>
                <w:szCs w:val="18"/>
              </w:rPr>
            </w:pPr>
          </w:p>
        </w:tc>
        <w:tc>
          <w:tcPr>
            <w:tcW w:w="1740" w:type="dxa"/>
            <w:gridSpan w:val="5"/>
            <w:vAlign w:val="bottom"/>
          </w:tcPr>
          <w:p w:rsidR="002B1363" w:rsidRDefault="002B1363" w:rsidP="00D75995">
            <w:pPr>
              <w:spacing w:line="213" w:lineRule="exact"/>
              <w:ind w:left="80" w:right="-50"/>
              <w:rPr>
                <w:sz w:val="20"/>
                <w:szCs w:val="20"/>
              </w:rPr>
            </w:pPr>
            <w:r>
              <w:rPr>
                <w:rFonts w:eastAsia="Times New Roman"/>
                <w:sz w:val="20"/>
                <w:szCs w:val="20"/>
              </w:rPr>
              <w:t>Baisse de la fertilité</w:t>
            </w:r>
          </w:p>
        </w:tc>
        <w:tc>
          <w:tcPr>
            <w:tcW w:w="600" w:type="dxa"/>
            <w:tcBorders>
              <w:right w:val="single" w:sz="8" w:space="0" w:color="auto"/>
            </w:tcBorders>
            <w:vAlign w:val="bottom"/>
          </w:tcPr>
          <w:p w:rsidR="002B1363" w:rsidRDefault="002B1363" w:rsidP="00D75995">
            <w:pPr>
              <w:ind w:right="-50"/>
              <w:rPr>
                <w:sz w:val="18"/>
                <w:szCs w:val="18"/>
              </w:rPr>
            </w:pPr>
          </w:p>
        </w:tc>
        <w:tc>
          <w:tcPr>
            <w:tcW w:w="6299" w:type="dxa"/>
            <w:tcBorders>
              <w:right w:val="single" w:sz="8" w:space="0" w:color="auto"/>
            </w:tcBorders>
            <w:vAlign w:val="bottom"/>
          </w:tcPr>
          <w:p w:rsidR="002B1363" w:rsidRDefault="002B1363" w:rsidP="00D75995">
            <w:pPr>
              <w:spacing w:line="213" w:lineRule="exact"/>
              <w:ind w:left="80" w:right="-50"/>
              <w:rPr>
                <w:sz w:val="20"/>
                <w:szCs w:val="20"/>
              </w:rPr>
            </w:pPr>
            <w:r>
              <w:rPr>
                <w:rFonts w:eastAsia="Times New Roman"/>
                <w:sz w:val="20"/>
                <w:szCs w:val="20"/>
              </w:rPr>
              <w:t>Apport de matière organique</w:t>
            </w:r>
          </w:p>
        </w:tc>
      </w:tr>
      <w:tr w:rsidR="002B1363" w:rsidTr="003204A0">
        <w:trPr>
          <w:trHeight w:val="230"/>
          <w:jc w:val="center"/>
        </w:trPr>
        <w:tc>
          <w:tcPr>
            <w:tcW w:w="1040" w:type="dxa"/>
            <w:vMerge/>
            <w:tcBorders>
              <w:left w:val="single" w:sz="8" w:space="0" w:color="auto"/>
            </w:tcBorders>
            <w:vAlign w:val="bottom"/>
          </w:tcPr>
          <w:p w:rsidR="002B1363" w:rsidRDefault="002B1363" w:rsidP="00D75995">
            <w:pPr>
              <w:ind w:right="-50"/>
              <w:rPr>
                <w:sz w:val="20"/>
                <w:szCs w:val="20"/>
              </w:rPr>
            </w:pPr>
          </w:p>
        </w:tc>
        <w:tc>
          <w:tcPr>
            <w:tcW w:w="360" w:type="dxa"/>
            <w:tcBorders>
              <w:right w:val="single" w:sz="8" w:space="0" w:color="auto"/>
            </w:tcBorders>
            <w:vAlign w:val="bottom"/>
          </w:tcPr>
          <w:p w:rsidR="002B1363" w:rsidRDefault="002B1363" w:rsidP="00D75995">
            <w:pPr>
              <w:ind w:right="-50"/>
              <w:rPr>
                <w:sz w:val="20"/>
                <w:szCs w:val="20"/>
              </w:rPr>
            </w:pPr>
          </w:p>
        </w:tc>
        <w:tc>
          <w:tcPr>
            <w:tcW w:w="760" w:type="dxa"/>
            <w:vAlign w:val="bottom"/>
          </w:tcPr>
          <w:p w:rsidR="002B1363" w:rsidRDefault="002B1363" w:rsidP="00D75995">
            <w:pPr>
              <w:ind w:right="-50"/>
              <w:rPr>
                <w:sz w:val="20"/>
                <w:szCs w:val="20"/>
              </w:rPr>
            </w:pPr>
          </w:p>
        </w:tc>
        <w:tc>
          <w:tcPr>
            <w:tcW w:w="120" w:type="dxa"/>
            <w:vAlign w:val="bottom"/>
          </w:tcPr>
          <w:p w:rsidR="002B1363" w:rsidRDefault="002B1363" w:rsidP="00D75995">
            <w:pPr>
              <w:ind w:right="-50"/>
              <w:rPr>
                <w:sz w:val="20"/>
                <w:szCs w:val="20"/>
              </w:rPr>
            </w:pPr>
          </w:p>
        </w:tc>
        <w:tc>
          <w:tcPr>
            <w:tcW w:w="300" w:type="dxa"/>
            <w:vAlign w:val="bottom"/>
          </w:tcPr>
          <w:p w:rsidR="002B1363" w:rsidRDefault="002B1363" w:rsidP="00D75995">
            <w:pPr>
              <w:ind w:right="-50"/>
              <w:rPr>
                <w:sz w:val="20"/>
                <w:szCs w:val="20"/>
              </w:rPr>
            </w:pPr>
          </w:p>
        </w:tc>
        <w:tc>
          <w:tcPr>
            <w:tcW w:w="360" w:type="dxa"/>
            <w:vAlign w:val="bottom"/>
          </w:tcPr>
          <w:p w:rsidR="002B1363" w:rsidRDefault="002B1363" w:rsidP="00D75995">
            <w:pPr>
              <w:ind w:right="-50"/>
              <w:rPr>
                <w:sz w:val="20"/>
                <w:szCs w:val="20"/>
              </w:rPr>
            </w:pPr>
          </w:p>
        </w:tc>
        <w:tc>
          <w:tcPr>
            <w:tcW w:w="200" w:type="dxa"/>
            <w:vAlign w:val="bottom"/>
          </w:tcPr>
          <w:p w:rsidR="002B1363" w:rsidRDefault="002B1363" w:rsidP="00D75995">
            <w:pPr>
              <w:ind w:right="-50"/>
              <w:rPr>
                <w:sz w:val="20"/>
                <w:szCs w:val="20"/>
              </w:rPr>
            </w:pPr>
          </w:p>
        </w:tc>
        <w:tc>
          <w:tcPr>
            <w:tcW w:w="600" w:type="dxa"/>
            <w:tcBorders>
              <w:right w:val="single" w:sz="8" w:space="0" w:color="auto"/>
            </w:tcBorders>
            <w:vAlign w:val="bottom"/>
          </w:tcPr>
          <w:p w:rsidR="002B1363" w:rsidRDefault="002B1363" w:rsidP="00D75995">
            <w:pPr>
              <w:ind w:right="-50"/>
              <w:rPr>
                <w:sz w:val="20"/>
                <w:szCs w:val="20"/>
              </w:rPr>
            </w:pPr>
          </w:p>
        </w:tc>
        <w:tc>
          <w:tcPr>
            <w:tcW w:w="6299" w:type="dxa"/>
            <w:tcBorders>
              <w:right w:val="single" w:sz="8" w:space="0" w:color="auto"/>
            </w:tcBorders>
            <w:vAlign w:val="bottom"/>
          </w:tcPr>
          <w:p w:rsidR="002B1363" w:rsidRDefault="002B1363" w:rsidP="00D75995">
            <w:pPr>
              <w:ind w:left="80" w:right="-50"/>
              <w:rPr>
                <w:sz w:val="20"/>
                <w:szCs w:val="20"/>
              </w:rPr>
            </w:pPr>
            <w:r>
              <w:rPr>
                <w:rFonts w:eastAsia="Times New Roman"/>
                <w:sz w:val="20"/>
                <w:szCs w:val="20"/>
              </w:rPr>
              <w:t>Vulgarisation de l’emploi de fumier ou de compost</w:t>
            </w:r>
          </w:p>
        </w:tc>
      </w:tr>
      <w:tr w:rsidR="002B1363" w:rsidTr="003204A0">
        <w:trPr>
          <w:trHeight w:val="230"/>
          <w:jc w:val="center"/>
        </w:trPr>
        <w:tc>
          <w:tcPr>
            <w:tcW w:w="1040" w:type="dxa"/>
            <w:vMerge/>
            <w:tcBorders>
              <w:left w:val="single" w:sz="8" w:space="0" w:color="auto"/>
            </w:tcBorders>
            <w:vAlign w:val="bottom"/>
          </w:tcPr>
          <w:p w:rsidR="002B1363" w:rsidRDefault="002B1363" w:rsidP="00D75995">
            <w:pPr>
              <w:ind w:right="-50"/>
              <w:rPr>
                <w:sz w:val="20"/>
                <w:szCs w:val="20"/>
              </w:rPr>
            </w:pPr>
          </w:p>
        </w:tc>
        <w:tc>
          <w:tcPr>
            <w:tcW w:w="360" w:type="dxa"/>
            <w:tcBorders>
              <w:right w:val="single" w:sz="8" w:space="0" w:color="auto"/>
            </w:tcBorders>
            <w:vAlign w:val="bottom"/>
          </w:tcPr>
          <w:p w:rsidR="002B1363" w:rsidRDefault="002B1363" w:rsidP="00D75995">
            <w:pPr>
              <w:ind w:right="-50"/>
              <w:rPr>
                <w:sz w:val="20"/>
                <w:szCs w:val="20"/>
              </w:rPr>
            </w:pPr>
          </w:p>
        </w:tc>
        <w:tc>
          <w:tcPr>
            <w:tcW w:w="760" w:type="dxa"/>
            <w:vAlign w:val="bottom"/>
          </w:tcPr>
          <w:p w:rsidR="002B1363" w:rsidRDefault="002B1363" w:rsidP="00D75995">
            <w:pPr>
              <w:ind w:right="-50"/>
              <w:rPr>
                <w:sz w:val="20"/>
                <w:szCs w:val="20"/>
              </w:rPr>
            </w:pPr>
          </w:p>
        </w:tc>
        <w:tc>
          <w:tcPr>
            <w:tcW w:w="120" w:type="dxa"/>
            <w:vAlign w:val="bottom"/>
          </w:tcPr>
          <w:p w:rsidR="002B1363" w:rsidRDefault="002B1363" w:rsidP="00D75995">
            <w:pPr>
              <w:ind w:right="-50"/>
              <w:rPr>
                <w:sz w:val="20"/>
                <w:szCs w:val="20"/>
              </w:rPr>
            </w:pPr>
          </w:p>
        </w:tc>
        <w:tc>
          <w:tcPr>
            <w:tcW w:w="300" w:type="dxa"/>
            <w:vAlign w:val="bottom"/>
          </w:tcPr>
          <w:p w:rsidR="002B1363" w:rsidRDefault="002B1363" w:rsidP="00D75995">
            <w:pPr>
              <w:ind w:right="-50"/>
              <w:rPr>
                <w:sz w:val="20"/>
                <w:szCs w:val="20"/>
              </w:rPr>
            </w:pPr>
          </w:p>
        </w:tc>
        <w:tc>
          <w:tcPr>
            <w:tcW w:w="360" w:type="dxa"/>
            <w:vAlign w:val="bottom"/>
          </w:tcPr>
          <w:p w:rsidR="002B1363" w:rsidRDefault="002B1363" w:rsidP="00D75995">
            <w:pPr>
              <w:ind w:right="-50"/>
              <w:rPr>
                <w:sz w:val="20"/>
                <w:szCs w:val="20"/>
              </w:rPr>
            </w:pPr>
          </w:p>
        </w:tc>
        <w:tc>
          <w:tcPr>
            <w:tcW w:w="200" w:type="dxa"/>
            <w:vAlign w:val="bottom"/>
          </w:tcPr>
          <w:p w:rsidR="002B1363" w:rsidRDefault="002B1363" w:rsidP="00D75995">
            <w:pPr>
              <w:ind w:right="-50"/>
              <w:rPr>
                <w:sz w:val="20"/>
                <w:szCs w:val="20"/>
              </w:rPr>
            </w:pPr>
          </w:p>
        </w:tc>
        <w:tc>
          <w:tcPr>
            <w:tcW w:w="600" w:type="dxa"/>
            <w:tcBorders>
              <w:right w:val="single" w:sz="8" w:space="0" w:color="auto"/>
            </w:tcBorders>
            <w:vAlign w:val="bottom"/>
          </w:tcPr>
          <w:p w:rsidR="002B1363" w:rsidRDefault="002B1363" w:rsidP="00D75995">
            <w:pPr>
              <w:ind w:right="-50"/>
              <w:rPr>
                <w:sz w:val="20"/>
                <w:szCs w:val="20"/>
              </w:rPr>
            </w:pPr>
          </w:p>
        </w:tc>
        <w:tc>
          <w:tcPr>
            <w:tcW w:w="6299" w:type="dxa"/>
            <w:tcBorders>
              <w:right w:val="single" w:sz="8" w:space="0" w:color="auto"/>
            </w:tcBorders>
            <w:vAlign w:val="bottom"/>
          </w:tcPr>
          <w:p w:rsidR="002B1363" w:rsidRDefault="002B1363" w:rsidP="00D75995">
            <w:pPr>
              <w:ind w:left="80" w:right="-50"/>
              <w:rPr>
                <w:sz w:val="20"/>
                <w:szCs w:val="20"/>
              </w:rPr>
            </w:pPr>
            <w:r>
              <w:rPr>
                <w:rFonts w:eastAsia="Times New Roman"/>
                <w:sz w:val="20"/>
                <w:szCs w:val="20"/>
              </w:rPr>
              <w:t>Meilleure utilisation de la fumure minérale</w:t>
            </w:r>
          </w:p>
        </w:tc>
      </w:tr>
      <w:tr w:rsidR="002B1363" w:rsidTr="003204A0">
        <w:trPr>
          <w:trHeight w:val="230"/>
          <w:jc w:val="center"/>
        </w:trPr>
        <w:tc>
          <w:tcPr>
            <w:tcW w:w="1040" w:type="dxa"/>
            <w:vMerge/>
            <w:tcBorders>
              <w:left w:val="single" w:sz="8" w:space="0" w:color="auto"/>
            </w:tcBorders>
            <w:vAlign w:val="bottom"/>
          </w:tcPr>
          <w:p w:rsidR="002B1363" w:rsidRDefault="002B1363" w:rsidP="00D75995">
            <w:pPr>
              <w:ind w:right="-50"/>
              <w:rPr>
                <w:sz w:val="20"/>
                <w:szCs w:val="20"/>
              </w:rPr>
            </w:pPr>
          </w:p>
        </w:tc>
        <w:tc>
          <w:tcPr>
            <w:tcW w:w="360" w:type="dxa"/>
            <w:tcBorders>
              <w:right w:val="single" w:sz="8" w:space="0" w:color="auto"/>
            </w:tcBorders>
            <w:vAlign w:val="bottom"/>
          </w:tcPr>
          <w:p w:rsidR="002B1363" w:rsidRDefault="002B1363" w:rsidP="00D75995">
            <w:pPr>
              <w:ind w:right="-50"/>
              <w:rPr>
                <w:sz w:val="20"/>
                <w:szCs w:val="20"/>
              </w:rPr>
            </w:pPr>
          </w:p>
        </w:tc>
        <w:tc>
          <w:tcPr>
            <w:tcW w:w="760" w:type="dxa"/>
            <w:vAlign w:val="bottom"/>
          </w:tcPr>
          <w:p w:rsidR="002B1363" w:rsidRDefault="002B1363" w:rsidP="00D75995">
            <w:pPr>
              <w:ind w:right="-50"/>
              <w:rPr>
                <w:sz w:val="20"/>
                <w:szCs w:val="20"/>
              </w:rPr>
            </w:pPr>
          </w:p>
        </w:tc>
        <w:tc>
          <w:tcPr>
            <w:tcW w:w="120" w:type="dxa"/>
            <w:vAlign w:val="bottom"/>
          </w:tcPr>
          <w:p w:rsidR="002B1363" w:rsidRDefault="002B1363" w:rsidP="00D75995">
            <w:pPr>
              <w:ind w:right="-50"/>
              <w:rPr>
                <w:sz w:val="20"/>
                <w:szCs w:val="20"/>
              </w:rPr>
            </w:pPr>
          </w:p>
        </w:tc>
        <w:tc>
          <w:tcPr>
            <w:tcW w:w="300" w:type="dxa"/>
            <w:vAlign w:val="bottom"/>
          </w:tcPr>
          <w:p w:rsidR="002B1363" w:rsidRDefault="002B1363" w:rsidP="00D75995">
            <w:pPr>
              <w:ind w:right="-50"/>
              <w:rPr>
                <w:sz w:val="20"/>
                <w:szCs w:val="20"/>
              </w:rPr>
            </w:pPr>
          </w:p>
        </w:tc>
        <w:tc>
          <w:tcPr>
            <w:tcW w:w="360" w:type="dxa"/>
            <w:vAlign w:val="bottom"/>
          </w:tcPr>
          <w:p w:rsidR="002B1363" w:rsidRDefault="002B1363" w:rsidP="00D75995">
            <w:pPr>
              <w:ind w:right="-50"/>
              <w:rPr>
                <w:sz w:val="20"/>
                <w:szCs w:val="20"/>
              </w:rPr>
            </w:pPr>
          </w:p>
        </w:tc>
        <w:tc>
          <w:tcPr>
            <w:tcW w:w="200" w:type="dxa"/>
            <w:vAlign w:val="bottom"/>
          </w:tcPr>
          <w:p w:rsidR="002B1363" w:rsidRDefault="002B1363" w:rsidP="00D75995">
            <w:pPr>
              <w:ind w:right="-50"/>
              <w:rPr>
                <w:sz w:val="20"/>
                <w:szCs w:val="20"/>
              </w:rPr>
            </w:pPr>
          </w:p>
        </w:tc>
        <w:tc>
          <w:tcPr>
            <w:tcW w:w="600" w:type="dxa"/>
            <w:tcBorders>
              <w:right w:val="single" w:sz="8" w:space="0" w:color="auto"/>
            </w:tcBorders>
            <w:vAlign w:val="bottom"/>
          </w:tcPr>
          <w:p w:rsidR="002B1363" w:rsidRDefault="002B1363" w:rsidP="00D75995">
            <w:pPr>
              <w:ind w:right="-50"/>
              <w:rPr>
                <w:sz w:val="20"/>
                <w:szCs w:val="20"/>
              </w:rPr>
            </w:pPr>
          </w:p>
        </w:tc>
        <w:tc>
          <w:tcPr>
            <w:tcW w:w="6299" w:type="dxa"/>
            <w:tcBorders>
              <w:right w:val="single" w:sz="8" w:space="0" w:color="auto"/>
            </w:tcBorders>
            <w:vAlign w:val="bottom"/>
          </w:tcPr>
          <w:p w:rsidR="002B1363" w:rsidRDefault="002B1363" w:rsidP="00D75995">
            <w:pPr>
              <w:ind w:left="80" w:right="-50"/>
              <w:rPr>
                <w:sz w:val="20"/>
                <w:szCs w:val="20"/>
              </w:rPr>
            </w:pPr>
            <w:r>
              <w:rPr>
                <w:rFonts w:eastAsia="Times New Roman"/>
                <w:sz w:val="20"/>
                <w:szCs w:val="20"/>
              </w:rPr>
              <w:t>Techniques culturales (jachères, rotation des cultures)</w:t>
            </w:r>
          </w:p>
        </w:tc>
      </w:tr>
      <w:tr w:rsidR="002B1363" w:rsidTr="003204A0">
        <w:trPr>
          <w:trHeight w:val="233"/>
          <w:jc w:val="center"/>
        </w:trPr>
        <w:tc>
          <w:tcPr>
            <w:tcW w:w="1040" w:type="dxa"/>
            <w:vMerge/>
            <w:tcBorders>
              <w:left w:val="single" w:sz="8" w:space="0" w:color="auto"/>
            </w:tcBorders>
            <w:vAlign w:val="bottom"/>
          </w:tcPr>
          <w:p w:rsidR="002B1363" w:rsidRDefault="002B1363" w:rsidP="00D75995">
            <w:pPr>
              <w:ind w:right="-50"/>
              <w:rPr>
                <w:sz w:val="20"/>
                <w:szCs w:val="20"/>
              </w:rPr>
            </w:pPr>
          </w:p>
        </w:tc>
        <w:tc>
          <w:tcPr>
            <w:tcW w:w="360" w:type="dxa"/>
            <w:tcBorders>
              <w:right w:val="single" w:sz="8" w:space="0" w:color="auto"/>
            </w:tcBorders>
            <w:vAlign w:val="bottom"/>
          </w:tcPr>
          <w:p w:rsidR="002B1363" w:rsidRDefault="002B1363" w:rsidP="00D75995">
            <w:pPr>
              <w:ind w:right="-50"/>
              <w:rPr>
                <w:sz w:val="20"/>
                <w:szCs w:val="20"/>
              </w:rPr>
            </w:pPr>
          </w:p>
        </w:tc>
        <w:tc>
          <w:tcPr>
            <w:tcW w:w="760" w:type="dxa"/>
            <w:tcBorders>
              <w:bottom w:val="single" w:sz="8" w:space="0" w:color="auto"/>
            </w:tcBorders>
            <w:vAlign w:val="bottom"/>
          </w:tcPr>
          <w:p w:rsidR="002B1363" w:rsidRDefault="002B1363" w:rsidP="00D75995">
            <w:pPr>
              <w:ind w:right="-50"/>
              <w:rPr>
                <w:sz w:val="20"/>
                <w:szCs w:val="20"/>
              </w:rPr>
            </w:pPr>
          </w:p>
        </w:tc>
        <w:tc>
          <w:tcPr>
            <w:tcW w:w="120" w:type="dxa"/>
            <w:tcBorders>
              <w:bottom w:val="single" w:sz="8" w:space="0" w:color="auto"/>
            </w:tcBorders>
            <w:vAlign w:val="bottom"/>
          </w:tcPr>
          <w:p w:rsidR="002B1363" w:rsidRDefault="002B1363" w:rsidP="00D75995">
            <w:pPr>
              <w:ind w:right="-50"/>
              <w:rPr>
                <w:sz w:val="20"/>
                <w:szCs w:val="20"/>
              </w:rPr>
            </w:pPr>
          </w:p>
        </w:tc>
        <w:tc>
          <w:tcPr>
            <w:tcW w:w="300" w:type="dxa"/>
            <w:tcBorders>
              <w:bottom w:val="single" w:sz="8" w:space="0" w:color="auto"/>
            </w:tcBorders>
            <w:vAlign w:val="bottom"/>
          </w:tcPr>
          <w:p w:rsidR="002B1363" w:rsidRDefault="002B1363" w:rsidP="00D75995">
            <w:pPr>
              <w:ind w:right="-50"/>
              <w:rPr>
                <w:sz w:val="20"/>
                <w:szCs w:val="20"/>
              </w:rPr>
            </w:pPr>
          </w:p>
        </w:tc>
        <w:tc>
          <w:tcPr>
            <w:tcW w:w="360" w:type="dxa"/>
            <w:tcBorders>
              <w:bottom w:val="single" w:sz="8" w:space="0" w:color="auto"/>
            </w:tcBorders>
            <w:vAlign w:val="bottom"/>
          </w:tcPr>
          <w:p w:rsidR="002B1363" w:rsidRDefault="002B1363" w:rsidP="00D75995">
            <w:pPr>
              <w:ind w:right="-50"/>
              <w:rPr>
                <w:sz w:val="20"/>
                <w:szCs w:val="20"/>
              </w:rPr>
            </w:pPr>
          </w:p>
        </w:tc>
        <w:tc>
          <w:tcPr>
            <w:tcW w:w="200" w:type="dxa"/>
            <w:tcBorders>
              <w:bottom w:val="single" w:sz="8" w:space="0" w:color="auto"/>
            </w:tcBorders>
            <w:vAlign w:val="bottom"/>
          </w:tcPr>
          <w:p w:rsidR="002B1363" w:rsidRDefault="002B1363" w:rsidP="00D75995">
            <w:pPr>
              <w:ind w:right="-50"/>
              <w:rPr>
                <w:sz w:val="20"/>
                <w:szCs w:val="20"/>
              </w:rPr>
            </w:pPr>
          </w:p>
        </w:tc>
        <w:tc>
          <w:tcPr>
            <w:tcW w:w="600" w:type="dxa"/>
            <w:tcBorders>
              <w:bottom w:val="single" w:sz="8" w:space="0" w:color="auto"/>
              <w:right w:val="single" w:sz="8" w:space="0" w:color="auto"/>
            </w:tcBorders>
            <w:vAlign w:val="bottom"/>
          </w:tcPr>
          <w:p w:rsidR="002B1363" w:rsidRDefault="002B1363" w:rsidP="00D75995">
            <w:pPr>
              <w:ind w:right="-50"/>
              <w:rPr>
                <w:sz w:val="20"/>
                <w:szCs w:val="20"/>
              </w:rPr>
            </w:pPr>
          </w:p>
        </w:tc>
        <w:tc>
          <w:tcPr>
            <w:tcW w:w="6299" w:type="dxa"/>
            <w:tcBorders>
              <w:bottom w:val="single" w:sz="8" w:space="0" w:color="auto"/>
              <w:right w:val="single" w:sz="8" w:space="0" w:color="auto"/>
            </w:tcBorders>
            <w:vAlign w:val="bottom"/>
          </w:tcPr>
          <w:p w:rsidR="002B1363" w:rsidRDefault="002B1363" w:rsidP="00D75995">
            <w:pPr>
              <w:ind w:left="80" w:right="-50"/>
              <w:rPr>
                <w:sz w:val="20"/>
                <w:szCs w:val="20"/>
              </w:rPr>
            </w:pPr>
            <w:r>
              <w:rPr>
                <w:rFonts w:eastAsia="Times New Roman"/>
                <w:sz w:val="20"/>
                <w:szCs w:val="20"/>
              </w:rPr>
              <w:t>Lutte contre la déforestation et l’érosion</w:t>
            </w:r>
          </w:p>
        </w:tc>
      </w:tr>
      <w:tr w:rsidR="002B1363" w:rsidTr="003204A0">
        <w:trPr>
          <w:trHeight w:val="215"/>
          <w:jc w:val="center"/>
        </w:trPr>
        <w:tc>
          <w:tcPr>
            <w:tcW w:w="1040" w:type="dxa"/>
            <w:vMerge/>
            <w:tcBorders>
              <w:left w:val="single" w:sz="8" w:space="0" w:color="auto"/>
            </w:tcBorders>
            <w:vAlign w:val="bottom"/>
          </w:tcPr>
          <w:p w:rsidR="002B1363" w:rsidRDefault="002B1363" w:rsidP="00D75995">
            <w:pPr>
              <w:ind w:right="-50"/>
              <w:rPr>
                <w:sz w:val="18"/>
                <w:szCs w:val="18"/>
              </w:rPr>
            </w:pPr>
          </w:p>
        </w:tc>
        <w:tc>
          <w:tcPr>
            <w:tcW w:w="360" w:type="dxa"/>
            <w:tcBorders>
              <w:right w:val="single" w:sz="8" w:space="0" w:color="auto"/>
            </w:tcBorders>
            <w:vAlign w:val="bottom"/>
          </w:tcPr>
          <w:p w:rsidR="002B1363" w:rsidRDefault="002B1363" w:rsidP="00D75995">
            <w:pPr>
              <w:ind w:right="-50"/>
              <w:rPr>
                <w:sz w:val="18"/>
                <w:szCs w:val="18"/>
              </w:rPr>
            </w:pPr>
          </w:p>
        </w:tc>
        <w:tc>
          <w:tcPr>
            <w:tcW w:w="1180" w:type="dxa"/>
            <w:gridSpan w:val="3"/>
            <w:vAlign w:val="bottom"/>
          </w:tcPr>
          <w:p w:rsidR="002B1363" w:rsidRDefault="002B1363" w:rsidP="00D75995">
            <w:pPr>
              <w:spacing w:line="214" w:lineRule="exact"/>
              <w:ind w:left="80" w:right="-50"/>
              <w:rPr>
                <w:sz w:val="20"/>
                <w:szCs w:val="20"/>
              </w:rPr>
            </w:pPr>
            <w:r>
              <w:rPr>
                <w:rFonts w:eastAsia="Times New Roman"/>
                <w:sz w:val="20"/>
                <w:szCs w:val="20"/>
              </w:rPr>
              <w:t>Acidification</w:t>
            </w:r>
          </w:p>
        </w:tc>
        <w:tc>
          <w:tcPr>
            <w:tcW w:w="360" w:type="dxa"/>
            <w:vAlign w:val="bottom"/>
          </w:tcPr>
          <w:p w:rsidR="002B1363" w:rsidRDefault="002B1363" w:rsidP="00D75995">
            <w:pPr>
              <w:ind w:right="-50"/>
              <w:rPr>
                <w:sz w:val="18"/>
                <w:szCs w:val="18"/>
              </w:rPr>
            </w:pPr>
          </w:p>
        </w:tc>
        <w:tc>
          <w:tcPr>
            <w:tcW w:w="200" w:type="dxa"/>
            <w:vAlign w:val="bottom"/>
          </w:tcPr>
          <w:p w:rsidR="002B1363" w:rsidRDefault="002B1363" w:rsidP="00D75995">
            <w:pPr>
              <w:ind w:right="-50"/>
              <w:rPr>
                <w:sz w:val="18"/>
                <w:szCs w:val="18"/>
              </w:rPr>
            </w:pPr>
          </w:p>
        </w:tc>
        <w:tc>
          <w:tcPr>
            <w:tcW w:w="600" w:type="dxa"/>
            <w:tcBorders>
              <w:right w:val="single" w:sz="8" w:space="0" w:color="auto"/>
            </w:tcBorders>
            <w:vAlign w:val="bottom"/>
          </w:tcPr>
          <w:p w:rsidR="002B1363" w:rsidRDefault="002B1363" w:rsidP="00D75995">
            <w:pPr>
              <w:ind w:right="-50"/>
              <w:rPr>
                <w:sz w:val="18"/>
                <w:szCs w:val="18"/>
              </w:rPr>
            </w:pPr>
          </w:p>
        </w:tc>
        <w:tc>
          <w:tcPr>
            <w:tcW w:w="6299" w:type="dxa"/>
            <w:tcBorders>
              <w:right w:val="single" w:sz="8" w:space="0" w:color="auto"/>
            </w:tcBorders>
            <w:vAlign w:val="bottom"/>
          </w:tcPr>
          <w:p w:rsidR="002B1363" w:rsidRDefault="002B1363" w:rsidP="00D75995">
            <w:pPr>
              <w:spacing w:line="214" w:lineRule="exact"/>
              <w:ind w:left="80" w:right="-50"/>
              <w:rPr>
                <w:sz w:val="20"/>
                <w:szCs w:val="20"/>
              </w:rPr>
            </w:pPr>
            <w:r>
              <w:rPr>
                <w:rFonts w:eastAsia="Times New Roman"/>
                <w:sz w:val="20"/>
                <w:szCs w:val="20"/>
              </w:rPr>
              <w:t>Minimiser l’emploi d’engrais azotés</w:t>
            </w:r>
          </w:p>
        </w:tc>
      </w:tr>
      <w:tr w:rsidR="002B1363" w:rsidTr="003204A0">
        <w:trPr>
          <w:trHeight w:val="235"/>
          <w:jc w:val="center"/>
        </w:trPr>
        <w:tc>
          <w:tcPr>
            <w:tcW w:w="1040" w:type="dxa"/>
            <w:vMerge/>
            <w:tcBorders>
              <w:left w:val="single" w:sz="8" w:space="0" w:color="auto"/>
            </w:tcBorders>
            <w:vAlign w:val="bottom"/>
          </w:tcPr>
          <w:p w:rsidR="002B1363" w:rsidRDefault="002B1363" w:rsidP="00D75995">
            <w:pPr>
              <w:ind w:right="-50"/>
              <w:rPr>
                <w:sz w:val="20"/>
                <w:szCs w:val="20"/>
              </w:rPr>
            </w:pPr>
          </w:p>
        </w:tc>
        <w:tc>
          <w:tcPr>
            <w:tcW w:w="360" w:type="dxa"/>
            <w:tcBorders>
              <w:right w:val="single" w:sz="8" w:space="0" w:color="auto"/>
            </w:tcBorders>
            <w:vAlign w:val="bottom"/>
          </w:tcPr>
          <w:p w:rsidR="002B1363" w:rsidRDefault="002B1363" w:rsidP="00D75995">
            <w:pPr>
              <w:ind w:right="-50"/>
              <w:rPr>
                <w:sz w:val="20"/>
                <w:szCs w:val="20"/>
              </w:rPr>
            </w:pPr>
          </w:p>
        </w:tc>
        <w:tc>
          <w:tcPr>
            <w:tcW w:w="760" w:type="dxa"/>
            <w:tcBorders>
              <w:bottom w:val="single" w:sz="8" w:space="0" w:color="auto"/>
            </w:tcBorders>
            <w:vAlign w:val="bottom"/>
          </w:tcPr>
          <w:p w:rsidR="002B1363" w:rsidRDefault="002B1363" w:rsidP="00D75995">
            <w:pPr>
              <w:ind w:right="-50"/>
              <w:rPr>
                <w:sz w:val="20"/>
                <w:szCs w:val="20"/>
              </w:rPr>
            </w:pPr>
          </w:p>
        </w:tc>
        <w:tc>
          <w:tcPr>
            <w:tcW w:w="120" w:type="dxa"/>
            <w:tcBorders>
              <w:bottom w:val="single" w:sz="8" w:space="0" w:color="auto"/>
            </w:tcBorders>
            <w:vAlign w:val="bottom"/>
          </w:tcPr>
          <w:p w:rsidR="002B1363" w:rsidRDefault="002B1363" w:rsidP="00D75995">
            <w:pPr>
              <w:ind w:right="-50"/>
              <w:rPr>
                <w:sz w:val="20"/>
                <w:szCs w:val="20"/>
              </w:rPr>
            </w:pPr>
          </w:p>
        </w:tc>
        <w:tc>
          <w:tcPr>
            <w:tcW w:w="300" w:type="dxa"/>
            <w:tcBorders>
              <w:bottom w:val="single" w:sz="8" w:space="0" w:color="auto"/>
            </w:tcBorders>
            <w:vAlign w:val="bottom"/>
          </w:tcPr>
          <w:p w:rsidR="002B1363" w:rsidRDefault="002B1363" w:rsidP="00D75995">
            <w:pPr>
              <w:ind w:right="-50"/>
              <w:rPr>
                <w:sz w:val="20"/>
                <w:szCs w:val="20"/>
              </w:rPr>
            </w:pPr>
          </w:p>
        </w:tc>
        <w:tc>
          <w:tcPr>
            <w:tcW w:w="360" w:type="dxa"/>
            <w:tcBorders>
              <w:bottom w:val="single" w:sz="8" w:space="0" w:color="auto"/>
            </w:tcBorders>
            <w:vAlign w:val="bottom"/>
          </w:tcPr>
          <w:p w:rsidR="002B1363" w:rsidRDefault="002B1363" w:rsidP="00D75995">
            <w:pPr>
              <w:ind w:right="-50"/>
              <w:rPr>
                <w:sz w:val="20"/>
                <w:szCs w:val="20"/>
              </w:rPr>
            </w:pPr>
          </w:p>
        </w:tc>
        <w:tc>
          <w:tcPr>
            <w:tcW w:w="200" w:type="dxa"/>
            <w:tcBorders>
              <w:bottom w:val="single" w:sz="8" w:space="0" w:color="auto"/>
            </w:tcBorders>
            <w:vAlign w:val="bottom"/>
          </w:tcPr>
          <w:p w:rsidR="002B1363" w:rsidRDefault="002B1363" w:rsidP="00D75995">
            <w:pPr>
              <w:ind w:right="-50"/>
              <w:rPr>
                <w:sz w:val="20"/>
                <w:szCs w:val="20"/>
              </w:rPr>
            </w:pPr>
          </w:p>
        </w:tc>
        <w:tc>
          <w:tcPr>
            <w:tcW w:w="600" w:type="dxa"/>
            <w:tcBorders>
              <w:bottom w:val="single" w:sz="8" w:space="0" w:color="auto"/>
              <w:right w:val="single" w:sz="8" w:space="0" w:color="auto"/>
            </w:tcBorders>
            <w:vAlign w:val="bottom"/>
          </w:tcPr>
          <w:p w:rsidR="002B1363" w:rsidRDefault="002B1363" w:rsidP="00D75995">
            <w:pPr>
              <w:ind w:right="-50"/>
              <w:rPr>
                <w:sz w:val="20"/>
                <w:szCs w:val="20"/>
              </w:rPr>
            </w:pPr>
          </w:p>
        </w:tc>
        <w:tc>
          <w:tcPr>
            <w:tcW w:w="6299" w:type="dxa"/>
            <w:tcBorders>
              <w:bottom w:val="single" w:sz="8" w:space="0" w:color="auto"/>
              <w:right w:val="single" w:sz="8" w:space="0" w:color="auto"/>
            </w:tcBorders>
            <w:vAlign w:val="bottom"/>
          </w:tcPr>
          <w:p w:rsidR="002B1363" w:rsidRDefault="002B1363" w:rsidP="00D75995">
            <w:pPr>
              <w:ind w:left="80" w:right="-50"/>
              <w:rPr>
                <w:sz w:val="20"/>
                <w:szCs w:val="20"/>
              </w:rPr>
            </w:pPr>
            <w:r>
              <w:rPr>
                <w:rFonts w:eastAsia="Times New Roman"/>
                <w:sz w:val="20"/>
                <w:szCs w:val="20"/>
              </w:rPr>
              <w:t>Techniques culturales (jachères –rotation des cultures)</w:t>
            </w:r>
          </w:p>
        </w:tc>
      </w:tr>
      <w:tr w:rsidR="002B1363" w:rsidTr="003204A0">
        <w:trPr>
          <w:trHeight w:val="216"/>
          <w:jc w:val="center"/>
        </w:trPr>
        <w:tc>
          <w:tcPr>
            <w:tcW w:w="1040" w:type="dxa"/>
            <w:vMerge/>
            <w:tcBorders>
              <w:left w:val="single" w:sz="8" w:space="0" w:color="auto"/>
            </w:tcBorders>
            <w:vAlign w:val="bottom"/>
          </w:tcPr>
          <w:p w:rsidR="002B1363" w:rsidRDefault="002B1363" w:rsidP="00D75995">
            <w:pPr>
              <w:ind w:right="-50"/>
              <w:rPr>
                <w:sz w:val="18"/>
                <w:szCs w:val="18"/>
              </w:rPr>
            </w:pPr>
          </w:p>
        </w:tc>
        <w:tc>
          <w:tcPr>
            <w:tcW w:w="360" w:type="dxa"/>
            <w:tcBorders>
              <w:right w:val="single" w:sz="8" w:space="0" w:color="auto"/>
            </w:tcBorders>
            <w:vAlign w:val="bottom"/>
          </w:tcPr>
          <w:p w:rsidR="002B1363" w:rsidRDefault="002B1363" w:rsidP="00D75995">
            <w:pPr>
              <w:ind w:right="-50"/>
              <w:rPr>
                <w:sz w:val="18"/>
                <w:szCs w:val="18"/>
              </w:rPr>
            </w:pPr>
          </w:p>
        </w:tc>
        <w:tc>
          <w:tcPr>
            <w:tcW w:w="880" w:type="dxa"/>
            <w:gridSpan w:val="2"/>
            <w:vAlign w:val="bottom"/>
          </w:tcPr>
          <w:p w:rsidR="002B1363" w:rsidRDefault="002B1363" w:rsidP="00D75995">
            <w:pPr>
              <w:spacing w:line="216" w:lineRule="exact"/>
              <w:ind w:left="80" w:right="-50"/>
              <w:rPr>
                <w:sz w:val="20"/>
                <w:szCs w:val="20"/>
              </w:rPr>
            </w:pPr>
            <w:r>
              <w:rPr>
                <w:rFonts w:eastAsia="Times New Roman"/>
                <w:sz w:val="20"/>
                <w:szCs w:val="20"/>
              </w:rPr>
              <w:t>Pollution</w:t>
            </w:r>
          </w:p>
        </w:tc>
        <w:tc>
          <w:tcPr>
            <w:tcW w:w="300" w:type="dxa"/>
            <w:vAlign w:val="bottom"/>
          </w:tcPr>
          <w:p w:rsidR="002B1363" w:rsidRDefault="002B1363" w:rsidP="00D75995">
            <w:pPr>
              <w:ind w:right="-50"/>
              <w:rPr>
                <w:sz w:val="18"/>
                <w:szCs w:val="18"/>
              </w:rPr>
            </w:pPr>
          </w:p>
        </w:tc>
        <w:tc>
          <w:tcPr>
            <w:tcW w:w="360" w:type="dxa"/>
            <w:vAlign w:val="bottom"/>
          </w:tcPr>
          <w:p w:rsidR="002B1363" w:rsidRDefault="002B1363" w:rsidP="00D75995">
            <w:pPr>
              <w:spacing w:line="216" w:lineRule="exact"/>
              <w:ind w:left="100" w:right="-50"/>
              <w:rPr>
                <w:sz w:val="20"/>
                <w:szCs w:val="20"/>
              </w:rPr>
            </w:pPr>
            <w:r>
              <w:rPr>
                <w:rFonts w:eastAsia="Times New Roman"/>
                <w:w w:val="93"/>
                <w:sz w:val="20"/>
                <w:szCs w:val="20"/>
              </w:rPr>
              <w:t>par</w:t>
            </w:r>
          </w:p>
        </w:tc>
        <w:tc>
          <w:tcPr>
            <w:tcW w:w="200" w:type="dxa"/>
            <w:vAlign w:val="bottom"/>
          </w:tcPr>
          <w:p w:rsidR="002B1363" w:rsidRDefault="002B1363" w:rsidP="00D75995">
            <w:pPr>
              <w:ind w:right="-50"/>
              <w:rPr>
                <w:sz w:val="18"/>
                <w:szCs w:val="18"/>
              </w:rPr>
            </w:pPr>
          </w:p>
        </w:tc>
        <w:tc>
          <w:tcPr>
            <w:tcW w:w="600" w:type="dxa"/>
            <w:tcBorders>
              <w:right w:val="single" w:sz="8" w:space="0" w:color="auto"/>
            </w:tcBorders>
            <w:vAlign w:val="bottom"/>
          </w:tcPr>
          <w:p w:rsidR="002B1363" w:rsidRDefault="002B1363" w:rsidP="00D75995">
            <w:pPr>
              <w:spacing w:line="216" w:lineRule="exact"/>
              <w:ind w:right="-50"/>
              <w:jc w:val="right"/>
              <w:rPr>
                <w:sz w:val="20"/>
                <w:szCs w:val="20"/>
              </w:rPr>
            </w:pPr>
            <w:r>
              <w:rPr>
                <w:rFonts w:eastAsia="Times New Roman"/>
                <w:sz w:val="20"/>
                <w:szCs w:val="20"/>
              </w:rPr>
              <w:t>les</w:t>
            </w:r>
          </w:p>
        </w:tc>
        <w:tc>
          <w:tcPr>
            <w:tcW w:w="6299" w:type="dxa"/>
            <w:tcBorders>
              <w:right w:val="single" w:sz="8" w:space="0" w:color="auto"/>
            </w:tcBorders>
            <w:vAlign w:val="bottom"/>
          </w:tcPr>
          <w:p w:rsidR="002B1363" w:rsidRDefault="002B1363" w:rsidP="00D75995">
            <w:pPr>
              <w:spacing w:line="216" w:lineRule="exact"/>
              <w:ind w:left="80" w:right="-50"/>
              <w:rPr>
                <w:sz w:val="20"/>
                <w:szCs w:val="20"/>
              </w:rPr>
            </w:pPr>
            <w:r>
              <w:rPr>
                <w:rFonts w:eastAsia="Times New Roman"/>
                <w:sz w:val="20"/>
                <w:szCs w:val="20"/>
              </w:rPr>
              <w:t>Contrôle des pesticides</w:t>
            </w:r>
          </w:p>
        </w:tc>
      </w:tr>
      <w:tr w:rsidR="002B1363" w:rsidTr="003204A0">
        <w:trPr>
          <w:trHeight w:val="214"/>
          <w:jc w:val="center"/>
        </w:trPr>
        <w:tc>
          <w:tcPr>
            <w:tcW w:w="1040" w:type="dxa"/>
            <w:vMerge/>
            <w:tcBorders>
              <w:left w:val="single" w:sz="8" w:space="0" w:color="auto"/>
            </w:tcBorders>
            <w:vAlign w:val="bottom"/>
          </w:tcPr>
          <w:p w:rsidR="002B1363" w:rsidRDefault="002B1363" w:rsidP="00D75995">
            <w:pPr>
              <w:ind w:right="-50"/>
              <w:rPr>
                <w:sz w:val="18"/>
                <w:szCs w:val="18"/>
              </w:rPr>
            </w:pPr>
          </w:p>
        </w:tc>
        <w:tc>
          <w:tcPr>
            <w:tcW w:w="360" w:type="dxa"/>
            <w:tcBorders>
              <w:right w:val="single" w:sz="8" w:space="0" w:color="auto"/>
            </w:tcBorders>
            <w:vAlign w:val="bottom"/>
          </w:tcPr>
          <w:p w:rsidR="002B1363" w:rsidRDefault="002B1363" w:rsidP="00D75995">
            <w:pPr>
              <w:ind w:right="-50"/>
              <w:rPr>
                <w:sz w:val="18"/>
                <w:szCs w:val="18"/>
              </w:rPr>
            </w:pPr>
          </w:p>
        </w:tc>
        <w:tc>
          <w:tcPr>
            <w:tcW w:w="1180" w:type="dxa"/>
            <w:gridSpan w:val="3"/>
            <w:vAlign w:val="bottom"/>
          </w:tcPr>
          <w:p w:rsidR="002B1363" w:rsidRDefault="002B1363" w:rsidP="00D75995">
            <w:pPr>
              <w:spacing w:line="214" w:lineRule="exact"/>
              <w:ind w:left="80" w:right="-50"/>
              <w:rPr>
                <w:sz w:val="20"/>
                <w:szCs w:val="20"/>
              </w:rPr>
            </w:pPr>
            <w:r>
              <w:rPr>
                <w:rFonts w:eastAsia="Times New Roman"/>
                <w:sz w:val="20"/>
                <w:szCs w:val="20"/>
              </w:rPr>
              <w:t>phosphates,</w:t>
            </w:r>
          </w:p>
        </w:tc>
        <w:tc>
          <w:tcPr>
            <w:tcW w:w="360" w:type="dxa"/>
            <w:vAlign w:val="bottom"/>
          </w:tcPr>
          <w:p w:rsidR="002B1363" w:rsidRDefault="002B1363" w:rsidP="00D75995">
            <w:pPr>
              <w:spacing w:line="214" w:lineRule="exact"/>
              <w:ind w:left="20" w:right="-50"/>
              <w:rPr>
                <w:sz w:val="20"/>
                <w:szCs w:val="20"/>
              </w:rPr>
            </w:pPr>
            <w:r>
              <w:rPr>
                <w:rFonts w:eastAsia="Times New Roman"/>
                <w:sz w:val="20"/>
                <w:szCs w:val="20"/>
              </w:rPr>
              <w:t>les</w:t>
            </w:r>
          </w:p>
        </w:tc>
        <w:tc>
          <w:tcPr>
            <w:tcW w:w="800" w:type="dxa"/>
            <w:gridSpan w:val="2"/>
            <w:tcBorders>
              <w:right w:val="single" w:sz="8" w:space="0" w:color="auto"/>
            </w:tcBorders>
            <w:vAlign w:val="bottom"/>
          </w:tcPr>
          <w:p w:rsidR="002B1363" w:rsidRDefault="002B1363" w:rsidP="00D75995">
            <w:pPr>
              <w:spacing w:line="214" w:lineRule="exact"/>
              <w:ind w:right="-50"/>
              <w:jc w:val="right"/>
              <w:rPr>
                <w:sz w:val="20"/>
                <w:szCs w:val="20"/>
              </w:rPr>
            </w:pPr>
            <w:r>
              <w:rPr>
                <w:rFonts w:eastAsia="Times New Roman"/>
                <w:sz w:val="20"/>
                <w:szCs w:val="20"/>
              </w:rPr>
              <w:t>métaux</w:t>
            </w:r>
          </w:p>
        </w:tc>
        <w:tc>
          <w:tcPr>
            <w:tcW w:w="6299" w:type="dxa"/>
            <w:tcBorders>
              <w:right w:val="single" w:sz="8" w:space="0" w:color="auto"/>
            </w:tcBorders>
            <w:vAlign w:val="bottom"/>
          </w:tcPr>
          <w:p w:rsidR="002B1363" w:rsidRDefault="002B1363" w:rsidP="00D75995">
            <w:pPr>
              <w:spacing w:line="214" w:lineRule="exact"/>
              <w:ind w:left="80" w:right="-50"/>
              <w:rPr>
                <w:sz w:val="20"/>
                <w:szCs w:val="20"/>
              </w:rPr>
            </w:pPr>
            <w:r>
              <w:rPr>
                <w:rFonts w:eastAsia="Times New Roman"/>
                <w:sz w:val="20"/>
                <w:szCs w:val="20"/>
              </w:rPr>
              <w:t>Elimination des pesticides obsolètes</w:t>
            </w:r>
          </w:p>
        </w:tc>
      </w:tr>
      <w:tr w:rsidR="002B1363" w:rsidTr="003204A0">
        <w:trPr>
          <w:trHeight w:val="259"/>
          <w:jc w:val="center"/>
        </w:trPr>
        <w:tc>
          <w:tcPr>
            <w:tcW w:w="1040" w:type="dxa"/>
            <w:vMerge/>
            <w:tcBorders>
              <w:left w:val="single" w:sz="8" w:space="0" w:color="auto"/>
            </w:tcBorders>
            <w:vAlign w:val="bottom"/>
          </w:tcPr>
          <w:p w:rsidR="002B1363" w:rsidRDefault="002B1363" w:rsidP="00D75995">
            <w:pPr>
              <w:ind w:right="-50"/>
            </w:pPr>
          </w:p>
        </w:tc>
        <w:tc>
          <w:tcPr>
            <w:tcW w:w="360" w:type="dxa"/>
            <w:tcBorders>
              <w:right w:val="single" w:sz="8" w:space="0" w:color="auto"/>
            </w:tcBorders>
            <w:vAlign w:val="bottom"/>
          </w:tcPr>
          <w:p w:rsidR="002B1363" w:rsidRDefault="002B1363" w:rsidP="00D75995">
            <w:pPr>
              <w:ind w:right="-50"/>
            </w:pPr>
          </w:p>
        </w:tc>
        <w:tc>
          <w:tcPr>
            <w:tcW w:w="2340" w:type="dxa"/>
            <w:gridSpan w:val="6"/>
            <w:tcBorders>
              <w:right w:val="single" w:sz="8" w:space="0" w:color="auto"/>
            </w:tcBorders>
            <w:vAlign w:val="bottom"/>
          </w:tcPr>
          <w:p w:rsidR="002B1363" w:rsidRDefault="002B1363" w:rsidP="00D75995">
            <w:pPr>
              <w:spacing w:line="258" w:lineRule="exact"/>
              <w:ind w:left="80" w:right="-50"/>
              <w:rPr>
                <w:sz w:val="20"/>
                <w:szCs w:val="20"/>
              </w:rPr>
            </w:pPr>
            <w:r>
              <w:rPr>
                <w:rFonts w:eastAsia="Times New Roman"/>
                <w:sz w:val="20"/>
                <w:szCs w:val="20"/>
              </w:rPr>
              <w:t>lourds (Pb</w:t>
            </w:r>
            <w:r>
              <w:rPr>
                <w:rFonts w:eastAsia="Times New Roman"/>
                <w:sz w:val="25"/>
                <w:szCs w:val="25"/>
                <w:vertAlign w:val="superscript"/>
              </w:rPr>
              <w:t>++</w:t>
            </w:r>
            <w:r>
              <w:rPr>
                <w:rFonts w:eastAsia="Times New Roman"/>
                <w:sz w:val="20"/>
                <w:szCs w:val="20"/>
              </w:rPr>
              <w:t>, ZN</w:t>
            </w:r>
            <w:r>
              <w:rPr>
                <w:rFonts w:eastAsia="Times New Roman"/>
                <w:sz w:val="25"/>
                <w:szCs w:val="25"/>
                <w:vertAlign w:val="superscript"/>
              </w:rPr>
              <w:t>++</w:t>
            </w:r>
            <w:r>
              <w:rPr>
                <w:rFonts w:eastAsia="Times New Roman"/>
                <w:sz w:val="20"/>
                <w:szCs w:val="20"/>
              </w:rPr>
              <w:t>, Mn</w:t>
            </w:r>
            <w:r>
              <w:rPr>
                <w:rFonts w:eastAsia="Times New Roman"/>
                <w:sz w:val="25"/>
                <w:szCs w:val="25"/>
                <w:vertAlign w:val="superscript"/>
              </w:rPr>
              <w:t>++</w:t>
            </w:r>
          </w:p>
        </w:tc>
        <w:tc>
          <w:tcPr>
            <w:tcW w:w="6299" w:type="dxa"/>
            <w:tcBorders>
              <w:right w:val="single" w:sz="8" w:space="0" w:color="auto"/>
            </w:tcBorders>
            <w:vAlign w:val="bottom"/>
          </w:tcPr>
          <w:p w:rsidR="002B1363" w:rsidRDefault="002B1363" w:rsidP="00D75995">
            <w:pPr>
              <w:ind w:left="80" w:right="-50"/>
              <w:rPr>
                <w:sz w:val="20"/>
                <w:szCs w:val="20"/>
              </w:rPr>
            </w:pPr>
            <w:r>
              <w:rPr>
                <w:rFonts w:eastAsia="Times New Roman"/>
                <w:sz w:val="20"/>
                <w:szCs w:val="20"/>
              </w:rPr>
              <w:t>Utilisation rationnelle des pesticides (dose, maîtrise des périodes</w:t>
            </w:r>
          </w:p>
        </w:tc>
      </w:tr>
      <w:tr w:rsidR="002B1363" w:rsidTr="003204A0">
        <w:trPr>
          <w:trHeight w:val="219"/>
          <w:jc w:val="center"/>
        </w:trPr>
        <w:tc>
          <w:tcPr>
            <w:tcW w:w="1040" w:type="dxa"/>
            <w:vMerge/>
            <w:tcBorders>
              <w:left w:val="single" w:sz="8" w:space="0" w:color="auto"/>
            </w:tcBorders>
            <w:vAlign w:val="bottom"/>
          </w:tcPr>
          <w:p w:rsidR="002B1363" w:rsidRDefault="002B1363" w:rsidP="00D75995">
            <w:pPr>
              <w:ind w:right="-50"/>
              <w:rPr>
                <w:sz w:val="19"/>
                <w:szCs w:val="19"/>
              </w:rPr>
            </w:pPr>
          </w:p>
        </w:tc>
        <w:tc>
          <w:tcPr>
            <w:tcW w:w="360" w:type="dxa"/>
            <w:tcBorders>
              <w:right w:val="single" w:sz="8" w:space="0" w:color="auto"/>
            </w:tcBorders>
            <w:vAlign w:val="bottom"/>
          </w:tcPr>
          <w:p w:rsidR="002B1363" w:rsidRDefault="002B1363" w:rsidP="00D75995">
            <w:pPr>
              <w:ind w:right="-50"/>
              <w:rPr>
                <w:sz w:val="19"/>
                <w:szCs w:val="19"/>
              </w:rPr>
            </w:pPr>
          </w:p>
        </w:tc>
        <w:tc>
          <w:tcPr>
            <w:tcW w:w="760" w:type="dxa"/>
            <w:vAlign w:val="bottom"/>
          </w:tcPr>
          <w:p w:rsidR="002B1363" w:rsidRDefault="002B1363" w:rsidP="00D75995">
            <w:pPr>
              <w:ind w:right="-50"/>
              <w:rPr>
                <w:sz w:val="19"/>
                <w:szCs w:val="19"/>
              </w:rPr>
            </w:pPr>
          </w:p>
        </w:tc>
        <w:tc>
          <w:tcPr>
            <w:tcW w:w="120" w:type="dxa"/>
            <w:vAlign w:val="bottom"/>
          </w:tcPr>
          <w:p w:rsidR="002B1363" w:rsidRDefault="002B1363" w:rsidP="00D75995">
            <w:pPr>
              <w:ind w:right="-50"/>
              <w:rPr>
                <w:sz w:val="19"/>
                <w:szCs w:val="19"/>
              </w:rPr>
            </w:pPr>
          </w:p>
        </w:tc>
        <w:tc>
          <w:tcPr>
            <w:tcW w:w="300" w:type="dxa"/>
            <w:vAlign w:val="bottom"/>
          </w:tcPr>
          <w:p w:rsidR="002B1363" w:rsidRDefault="002B1363" w:rsidP="00D75995">
            <w:pPr>
              <w:ind w:right="-50"/>
              <w:rPr>
                <w:sz w:val="19"/>
                <w:szCs w:val="19"/>
              </w:rPr>
            </w:pPr>
          </w:p>
        </w:tc>
        <w:tc>
          <w:tcPr>
            <w:tcW w:w="360" w:type="dxa"/>
            <w:vAlign w:val="bottom"/>
          </w:tcPr>
          <w:p w:rsidR="002B1363" w:rsidRDefault="002B1363" w:rsidP="00D75995">
            <w:pPr>
              <w:ind w:right="-50"/>
              <w:rPr>
                <w:sz w:val="19"/>
                <w:szCs w:val="19"/>
              </w:rPr>
            </w:pPr>
          </w:p>
        </w:tc>
        <w:tc>
          <w:tcPr>
            <w:tcW w:w="200" w:type="dxa"/>
            <w:vAlign w:val="bottom"/>
          </w:tcPr>
          <w:p w:rsidR="002B1363" w:rsidRDefault="002B1363" w:rsidP="00D75995">
            <w:pPr>
              <w:ind w:right="-50"/>
              <w:rPr>
                <w:sz w:val="19"/>
                <w:szCs w:val="19"/>
              </w:rPr>
            </w:pPr>
          </w:p>
        </w:tc>
        <w:tc>
          <w:tcPr>
            <w:tcW w:w="600" w:type="dxa"/>
            <w:tcBorders>
              <w:right w:val="single" w:sz="8" w:space="0" w:color="auto"/>
            </w:tcBorders>
            <w:vAlign w:val="bottom"/>
          </w:tcPr>
          <w:p w:rsidR="002B1363" w:rsidRDefault="002B1363" w:rsidP="00D75995">
            <w:pPr>
              <w:ind w:right="-50"/>
              <w:rPr>
                <w:sz w:val="19"/>
                <w:szCs w:val="19"/>
              </w:rPr>
            </w:pPr>
          </w:p>
        </w:tc>
        <w:tc>
          <w:tcPr>
            <w:tcW w:w="6299" w:type="dxa"/>
            <w:tcBorders>
              <w:right w:val="single" w:sz="8" w:space="0" w:color="auto"/>
            </w:tcBorders>
            <w:vAlign w:val="bottom"/>
          </w:tcPr>
          <w:p w:rsidR="002B1363" w:rsidRDefault="00BD6A85" w:rsidP="00D75995">
            <w:pPr>
              <w:spacing w:line="219" w:lineRule="exact"/>
              <w:ind w:left="80" w:right="-50"/>
              <w:rPr>
                <w:sz w:val="20"/>
                <w:szCs w:val="20"/>
              </w:rPr>
            </w:pPr>
            <w:r>
              <w:rPr>
                <w:rFonts w:eastAsia="Times New Roman"/>
                <w:sz w:val="20"/>
                <w:szCs w:val="20"/>
              </w:rPr>
              <w:t>D’application</w:t>
            </w:r>
            <w:r w:rsidR="002B1363">
              <w:rPr>
                <w:rFonts w:eastAsia="Times New Roman"/>
                <w:sz w:val="20"/>
                <w:szCs w:val="20"/>
              </w:rPr>
              <w:t>)</w:t>
            </w:r>
          </w:p>
        </w:tc>
      </w:tr>
      <w:tr w:rsidR="002B1363" w:rsidTr="003204A0">
        <w:trPr>
          <w:trHeight w:val="230"/>
          <w:jc w:val="center"/>
        </w:trPr>
        <w:tc>
          <w:tcPr>
            <w:tcW w:w="1040" w:type="dxa"/>
            <w:vMerge/>
            <w:tcBorders>
              <w:left w:val="single" w:sz="8" w:space="0" w:color="auto"/>
            </w:tcBorders>
            <w:vAlign w:val="bottom"/>
          </w:tcPr>
          <w:p w:rsidR="002B1363" w:rsidRDefault="002B1363" w:rsidP="00D75995">
            <w:pPr>
              <w:ind w:right="-50"/>
              <w:rPr>
                <w:sz w:val="20"/>
                <w:szCs w:val="20"/>
              </w:rPr>
            </w:pPr>
          </w:p>
        </w:tc>
        <w:tc>
          <w:tcPr>
            <w:tcW w:w="360" w:type="dxa"/>
            <w:tcBorders>
              <w:right w:val="single" w:sz="8" w:space="0" w:color="auto"/>
            </w:tcBorders>
            <w:vAlign w:val="bottom"/>
          </w:tcPr>
          <w:p w:rsidR="002B1363" w:rsidRDefault="002B1363" w:rsidP="00D75995">
            <w:pPr>
              <w:ind w:right="-50"/>
              <w:rPr>
                <w:sz w:val="20"/>
                <w:szCs w:val="20"/>
              </w:rPr>
            </w:pPr>
          </w:p>
        </w:tc>
        <w:tc>
          <w:tcPr>
            <w:tcW w:w="760" w:type="dxa"/>
            <w:vAlign w:val="bottom"/>
          </w:tcPr>
          <w:p w:rsidR="002B1363" w:rsidRDefault="002B1363" w:rsidP="00D75995">
            <w:pPr>
              <w:ind w:right="-50"/>
              <w:rPr>
                <w:sz w:val="20"/>
                <w:szCs w:val="20"/>
              </w:rPr>
            </w:pPr>
          </w:p>
        </w:tc>
        <w:tc>
          <w:tcPr>
            <w:tcW w:w="120" w:type="dxa"/>
            <w:vAlign w:val="bottom"/>
          </w:tcPr>
          <w:p w:rsidR="002B1363" w:rsidRDefault="002B1363" w:rsidP="00D75995">
            <w:pPr>
              <w:ind w:right="-50"/>
              <w:rPr>
                <w:sz w:val="20"/>
                <w:szCs w:val="20"/>
              </w:rPr>
            </w:pPr>
          </w:p>
        </w:tc>
        <w:tc>
          <w:tcPr>
            <w:tcW w:w="300" w:type="dxa"/>
            <w:vAlign w:val="bottom"/>
          </w:tcPr>
          <w:p w:rsidR="002B1363" w:rsidRDefault="002B1363" w:rsidP="00D75995">
            <w:pPr>
              <w:ind w:right="-50"/>
              <w:rPr>
                <w:sz w:val="20"/>
                <w:szCs w:val="20"/>
              </w:rPr>
            </w:pPr>
          </w:p>
        </w:tc>
        <w:tc>
          <w:tcPr>
            <w:tcW w:w="360" w:type="dxa"/>
            <w:vAlign w:val="bottom"/>
          </w:tcPr>
          <w:p w:rsidR="002B1363" w:rsidRDefault="002B1363" w:rsidP="00D75995">
            <w:pPr>
              <w:ind w:right="-50"/>
              <w:rPr>
                <w:sz w:val="20"/>
                <w:szCs w:val="20"/>
              </w:rPr>
            </w:pPr>
          </w:p>
        </w:tc>
        <w:tc>
          <w:tcPr>
            <w:tcW w:w="200" w:type="dxa"/>
            <w:vAlign w:val="bottom"/>
          </w:tcPr>
          <w:p w:rsidR="002B1363" w:rsidRDefault="002B1363" w:rsidP="00D75995">
            <w:pPr>
              <w:ind w:right="-50"/>
              <w:rPr>
                <w:sz w:val="20"/>
                <w:szCs w:val="20"/>
              </w:rPr>
            </w:pPr>
          </w:p>
        </w:tc>
        <w:tc>
          <w:tcPr>
            <w:tcW w:w="600" w:type="dxa"/>
            <w:tcBorders>
              <w:right w:val="single" w:sz="8" w:space="0" w:color="auto"/>
            </w:tcBorders>
            <w:vAlign w:val="bottom"/>
          </w:tcPr>
          <w:p w:rsidR="002B1363" w:rsidRDefault="002B1363" w:rsidP="00D75995">
            <w:pPr>
              <w:ind w:right="-50"/>
              <w:rPr>
                <w:sz w:val="20"/>
                <w:szCs w:val="20"/>
              </w:rPr>
            </w:pPr>
          </w:p>
        </w:tc>
        <w:tc>
          <w:tcPr>
            <w:tcW w:w="6299" w:type="dxa"/>
            <w:tcBorders>
              <w:right w:val="single" w:sz="8" w:space="0" w:color="auto"/>
            </w:tcBorders>
            <w:vAlign w:val="bottom"/>
          </w:tcPr>
          <w:p w:rsidR="002B1363" w:rsidRDefault="002B1363" w:rsidP="00D75995">
            <w:pPr>
              <w:ind w:left="80" w:right="-50"/>
              <w:rPr>
                <w:sz w:val="20"/>
                <w:szCs w:val="20"/>
              </w:rPr>
            </w:pPr>
            <w:r>
              <w:rPr>
                <w:rFonts w:eastAsia="Times New Roman"/>
                <w:sz w:val="20"/>
                <w:szCs w:val="20"/>
              </w:rPr>
              <w:t>Lutte intégrée</w:t>
            </w:r>
          </w:p>
        </w:tc>
      </w:tr>
      <w:tr w:rsidR="002B1363" w:rsidTr="003204A0">
        <w:trPr>
          <w:trHeight w:val="232"/>
          <w:jc w:val="center"/>
        </w:trPr>
        <w:tc>
          <w:tcPr>
            <w:tcW w:w="1040" w:type="dxa"/>
            <w:vMerge/>
            <w:tcBorders>
              <w:left w:val="single" w:sz="8" w:space="0" w:color="auto"/>
              <w:bottom w:val="single" w:sz="8" w:space="0" w:color="auto"/>
            </w:tcBorders>
            <w:vAlign w:val="bottom"/>
          </w:tcPr>
          <w:p w:rsidR="002B1363" w:rsidRDefault="002B1363" w:rsidP="00D75995">
            <w:pPr>
              <w:ind w:right="-50"/>
              <w:rPr>
                <w:sz w:val="20"/>
                <w:szCs w:val="20"/>
              </w:rPr>
            </w:pPr>
          </w:p>
        </w:tc>
        <w:tc>
          <w:tcPr>
            <w:tcW w:w="360" w:type="dxa"/>
            <w:tcBorders>
              <w:bottom w:val="single" w:sz="8" w:space="0" w:color="auto"/>
              <w:right w:val="single" w:sz="8" w:space="0" w:color="auto"/>
            </w:tcBorders>
            <w:vAlign w:val="bottom"/>
          </w:tcPr>
          <w:p w:rsidR="002B1363" w:rsidRDefault="002B1363" w:rsidP="00D75995">
            <w:pPr>
              <w:ind w:right="-50"/>
              <w:rPr>
                <w:sz w:val="20"/>
                <w:szCs w:val="20"/>
              </w:rPr>
            </w:pPr>
          </w:p>
        </w:tc>
        <w:tc>
          <w:tcPr>
            <w:tcW w:w="760" w:type="dxa"/>
            <w:tcBorders>
              <w:bottom w:val="single" w:sz="8" w:space="0" w:color="auto"/>
            </w:tcBorders>
            <w:vAlign w:val="bottom"/>
          </w:tcPr>
          <w:p w:rsidR="002B1363" w:rsidRDefault="002B1363" w:rsidP="00D75995">
            <w:pPr>
              <w:ind w:right="-50"/>
              <w:rPr>
                <w:sz w:val="20"/>
                <w:szCs w:val="20"/>
              </w:rPr>
            </w:pPr>
          </w:p>
        </w:tc>
        <w:tc>
          <w:tcPr>
            <w:tcW w:w="120" w:type="dxa"/>
            <w:tcBorders>
              <w:bottom w:val="single" w:sz="8" w:space="0" w:color="auto"/>
            </w:tcBorders>
            <w:vAlign w:val="bottom"/>
          </w:tcPr>
          <w:p w:rsidR="002B1363" w:rsidRDefault="002B1363" w:rsidP="00D75995">
            <w:pPr>
              <w:ind w:right="-50"/>
              <w:rPr>
                <w:sz w:val="20"/>
                <w:szCs w:val="20"/>
              </w:rPr>
            </w:pPr>
          </w:p>
        </w:tc>
        <w:tc>
          <w:tcPr>
            <w:tcW w:w="300" w:type="dxa"/>
            <w:tcBorders>
              <w:bottom w:val="single" w:sz="8" w:space="0" w:color="auto"/>
            </w:tcBorders>
            <w:vAlign w:val="bottom"/>
          </w:tcPr>
          <w:p w:rsidR="002B1363" w:rsidRDefault="002B1363" w:rsidP="00D75995">
            <w:pPr>
              <w:ind w:right="-50"/>
              <w:rPr>
                <w:sz w:val="20"/>
                <w:szCs w:val="20"/>
              </w:rPr>
            </w:pPr>
          </w:p>
        </w:tc>
        <w:tc>
          <w:tcPr>
            <w:tcW w:w="360" w:type="dxa"/>
            <w:tcBorders>
              <w:bottom w:val="single" w:sz="8" w:space="0" w:color="auto"/>
            </w:tcBorders>
            <w:vAlign w:val="bottom"/>
          </w:tcPr>
          <w:p w:rsidR="002B1363" w:rsidRDefault="002B1363" w:rsidP="00D75995">
            <w:pPr>
              <w:ind w:right="-50"/>
              <w:rPr>
                <w:sz w:val="20"/>
                <w:szCs w:val="20"/>
              </w:rPr>
            </w:pPr>
          </w:p>
        </w:tc>
        <w:tc>
          <w:tcPr>
            <w:tcW w:w="200" w:type="dxa"/>
            <w:tcBorders>
              <w:bottom w:val="single" w:sz="8" w:space="0" w:color="auto"/>
            </w:tcBorders>
            <w:vAlign w:val="bottom"/>
          </w:tcPr>
          <w:p w:rsidR="002B1363" w:rsidRDefault="002B1363" w:rsidP="00D75995">
            <w:pPr>
              <w:ind w:right="-50"/>
              <w:rPr>
                <w:sz w:val="20"/>
                <w:szCs w:val="20"/>
              </w:rPr>
            </w:pPr>
          </w:p>
        </w:tc>
        <w:tc>
          <w:tcPr>
            <w:tcW w:w="600" w:type="dxa"/>
            <w:tcBorders>
              <w:bottom w:val="single" w:sz="8" w:space="0" w:color="auto"/>
              <w:right w:val="single" w:sz="8" w:space="0" w:color="auto"/>
            </w:tcBorders>
            <w:vAlign w:val="bottom"/>
          </w:tcPr>
          <w:p w:rsidR="002B1363" w:rsidRDefault="002B1363" w:rsidP="00D75995">
            <w:pPr>
              <w:ind w:right="-50"/>
              <w:rPr>
                <w:sz w:val="20"/>
                <w:szCs w:val="20"/>
              </w:rPr>
            </w:pPr>
          </w:p>
        </w:tc>
        <w:tc>
          <w:tcPr>
            <w:tcW w:w="6299" w:type="dxa"/>
            <w:tcBorders>
              <w:bottom w:val="single" w:sz="8" w:space="0" w:color="auto"/>
              <w:right w:val="single" w:sz="8" w:space="0" w:color="auto"/>
            </w:tcBorders>
            <w:vAlign w:val="bottom"/>
          </w:tcPr>
          <w:p w:rsidR="002B1363" w:rsidRDefault="002B1363" w:rsidP="00D75995">
            <w:pPr>
              <w:spacing w:line="228" w:lineRule="exact"/>
              <w:ind w:left="80" w:right="-50"/>
              <w:rPr>
                <w:sz w:val="20"/>
                <w:szCs w:val="20"/>
              </w:rPr>
            </w:pPr>
            <w:r>
              <w:rPr>
                <w:rFonts w:eastAsia="Times New Roman"/>
                <w:sz w:val="20"/>
                <w:szCs w:val="20"/>
              </w:rPr>
              <w:t>Meilleure gestion des contenants</w:t>
            </w:r>
          </w:p>
        </w:tc>
      </w:tr>
      <w:tr w:rsidR="00BD6A85" w:rsidTr="003204A0">
        <w:trPr>
          <w:trHeight w:val="216"/>
          <w:jc w:val="center"/>
        </w:trPr>
        <w:tc>
          <w:tcPr>
            <w:tcW w:w="1040" w:type="dxa"/>
            <w:tcBorders>
              <w:left w:val="single" w:sz="8" w:space="0" w:color="auto"/>
            </w:tcBorders>
            <w:vAlign w:val="bottom"/>
          </w:tcPr>
          <w:p w:rsidR="00223198" w:rsidRDefault="00223198" w:rsidP="00D75995">
            <w:pPr>
              <w:spacing w:line="216" w:lineRule="exact"/>
              <w:ind w:left="120" w:right="-50"/>
              <w:rPr>
                <w:sz w:val="20"/>
                <w:szCs w:val="20"/>
              </w:rPr>
            </w:pPr>
            <w:r>
              <w:rPr>
                <w:rFonts w:eastAsia="Times New Roman"/>
                <w:sz w:val="20"/>
                <w:szCs w:val="20"/>
              </w:rPr>
              <w:t>Eaux</w:t>
            </w:r>
          </w:p>
        </w:tc>
        <w:tc>
          <w:tcPr>
            <w:tcW w:w="360" w:type="dxa"/>
            <w:tcBorders>
              <w:right w:val="single" w:sz="8" w:space="0" w:color="auto"/>
            </w:tcBorders>
            <w:vAlign w:val="bottom"/>
          </w:tcPr>
          <w:p w:rsidR="00223198" w:rsidRDefault="00223198" w:rsidP="00D75995">
            <w:pPr>
              <w:spacing w:line="216" w:lineRule="exact"/>
              <w:ind w:right="-50"/>
              <w:jc w:val="right"/>
              <w:rPr>
                <w:sz w:val="20"/>
                <w:szCs w:val="20"/>
              </w:rPr>
            </w:pPr>
            <w:r>
              <w:rPr>
                <w:rFonts w:eastAsia="Times New Roman"/>
                <w:sz w:val="20"/>
                <w:szCs w:val="20"/>
              </w:rPr>
              <w:t>de</w:t>
            </w:r>
          </w:p>
        </w:tc>
        <w:tc>
          <w:tcPr>
            <w:tcW w:w="880" w:type="dxa"/>
            <w:gridSpan w:val="2"/>
            <w:vAlign w:val="bottom"/>
          </w:tcPr>
          <w:p w:rsidR="00223198" w:rsidRDefault="00223198" w:rsidP="00D75995">
            <w:pPr>
              <w:spacing w:line="216" w:lineRule="exact"/>
              <w:ind w:left="80" w:right="-50"/>
              <w:rPr>
                <w:sz w:val="20"/>
                <w:szCs w:val="20"/>
              </w:rPr>
            </w:pPr>
            <w:r>
              <w:rPr>
                <w:rFonts w:eastAsia="Times New Roman"/>
                <w:sz w:val="20"/>
                <w:szCs w:val="20"/>
              </w:rPr>
              <w:t>Pollution</w:t>
            </w:r>
          </w:p>
        </w:tc>
        <w:tc>
          <w:tcPr>
            <w:tcW w:w="300" w:type="dxa"/>
            <w:vAlign w:val="bottom"/>
          </w:tcPr>
          <w:p w:rsidR="00223198" w:rsidRDefault="00223198" w:rsidP="00D75995">
            <w:pPr>
              <w:spacing w:line="216" w:lineRule="exact"/>
              <w:ind w:left="20" w:right="-50"/>
              <w:rPr>
                <w:sz w:val="20"/>
                <w:szCs w:val="20"/>
              </w:rPr>
            </w:pPr>
            <w:r>
              <w:rPr>
                <w:rFonts w:eastAsia="Times New Roman"/>
                <w:sz w:val="20"/>
                <w:szCs w:val="20"/>
              </w:rPr>
              <w:t>par</w:t>
            </w:r>
          </w:p>
        </w:tc>
        <w:tc>
          <w:tcPr>
            <w:tcW w:w="360" w:type="dxa"/>
            <w:vAlign w:val="bottom"/>
          </w:tcPr>
          <w:p w:rsidR="00223198" w:rsidRDefault="00223198" w:rsidP="00D75995">
            <w:pPr>
              <w:spacing w:line="216" w:lineRule="exact"/>
              <w:ind w:left="80" w:right="-50"/>
              <w:rPr>
                <w:sz w:val="20"/>
                <w:szCs w:val="20"/>
              </w:rPr>
            </w:pPr>
            <w:r>
              <w:rPr>
                <w:rFonts w:eastAsia="Times New Roman"/>
                <w:sz w:val="20"/>
                <w:szCs w:val="20"/>
              </w:rPr>
              <w:t>les</w:t>
            </w:r>
          </w:p>
        </w:tc>
        <w:tc>
          <w:tcPr>
            <w:tcW w:w="800" w:type="dxa"/>
            <w:gridSpan w:val="2"/>
            <w:tcBorders>
              <w:right w:val="single" w:sz="8" w:space="0" w:color="auto"/>
            </w:tcBorders>
            <w:vAlign w:val="bottom"/>
          </w:tcPr>
          <w:p w:rsidR="00223198" w:rsidRDefault="00223198" w:rsidP="00D75995">
            <w:pPr>
              <w:spacing w:line="216" w:lineRule="exact"/>
              <w:ind w:right="-50"/>
              <w:jc w:val="right"/>
              <w:rPr>
                <w:sz w:val="20"/>
                <w:szCs w:val="20"/>
              </w:rPr>
            </w:pPr>
            <w:r>
              <w:rPr>
                <w:rFonts w:eastAsia="Times New Roman"/>
                <w:sz w:val="20"/>
                <w:szCs w:val="20"/>
              </w:rPr>
              <w:t>nitrates,</w:t>
            </w:r>
          </w:p>
        </w:tc>
        <w:tc>
          <w:tcPr>
            <w:tcW w:w="6299" w:type="dxa"/>
            <w:tcBorders>
              <w:right w:val="single" w:sz="8" w:space="0" w:color="auto"/>
            </w:tcBorders>
            <w:vAlign w:val="bottom"/>
          </w:tcPr>
          <w:p w:rsidR="00223198" w:rsidRDefault="00223198" w:rsidP="00D75995">
            <w:pPr>
              <w:spacing w:line="216" w:lineRule="exact"/>
              <w:ind w:left="80" w:right="-50"/>
              <w:rPr>
                <w:sz w:val="20"/>
                <w:szCs w:val="20"/>
              </w:rPr>
            </w:pPr>
            <w:r>
              <w:rPr>
                <w:rFonts w:eastAsia="Times New Roman"/>
                <w:sz w:val="20"/>
                <w:szCs w:val="20"/>
              </w:rPr>
              <w:t>Minimiser l’emploi d’engrais azotés</w:t>
            </w:r>
          </w:p>
        </w:tc>
      </w:tr>
      <w:tr w:rsidR="00BD6A85" w:rsidTr="003204A0">
        <w:trPr>
          <w:trHeight w:val="230"/>
          <w:jc w:val="center"/>
        </w:trPr>
        <w:tc>
          <w:tcPr>
            <w:tcW w:w="1040" w:type="dxa"/>
            <w:tcBorders>
              <w:left w:val="single" w:sz="8" w:space="0" w:color="auto"/>
            </w:tcBorders>
            <w:vAlign w:val="bottom"/>
          </w:tcPr>
          <w:p w:rsidR="00223198" w:rsidRDefault="00223198" w:rsidP="00D75995">
            <w:pPr>
              <w:ind w:left="120" w:right="-50"/>
              <w:rPr>
                <w:sz w:val="20"/>
                <w:szCs w:val="20"/>
              </w:rPr>
            </w:pPr>
            <w:r>
              <w:rPr>
                <w:rFonts w:eastAsia="Times New Roman"/>
                <w:sz w:val="20"/>
                <w:szCs w:val="20"/>
              </w:rPr>
              <w:t>surface</w:t>
            </w:r>
          </w:p>
        </w:tc>
        <w:tc>
          <w:tcPr>
            <w:tcW w:w="360" w:type="dxa"/>
            <w:tcBorders>
              <w:right w:val="single" w:sz="8" w:space="0" w:color="auto"/>
            </w:tcBorders>
            <w:vAlign w:val="bottom"/>
          </w:tcPr>
          <w:p w:rsidR="00223198" w:rsidRDefault="00223198" w:rsidP="00D75995">
            <w:pPr>
              <w:ind w:right="-50"/>
              <w:jc w:val="right"/>
              <w:rPr>
                <w:sz w:val="20"/>
                <w:szCs w:val="20"/>
              </w:rPr>
            </w:pPr>
            <w:r>
              <w:rPr>
                <w:rFonts w:eastAsia="Times New Roman"/>
                <w:sz w:val="20"/>
                <w:szCs w:val="20"/>
              </w:rPr>
              <w:t>et</w:t>
            </w:r>
          </w:p>
        </w:tc>
        <w:tc>
          <w:tcPr>
            <w:tcW w:w="1540" w:type="dxa"/>
            <w:gridSpan w:val="4"/>
            <w:vAlign w:val="bottom"/>
          </w:tcPr>
          <w:p w:rsidR="00223198" w:rsidRDefault="00223198" w:rsidP="00D75995">
            <w:pPr>
              <w:ind w:left="80" w:right="-50"/>
              <w:rPr>
                <w:sz w:val="20"/>
                <w:szCs w:val="20"/>
              </w:rPr>
            </w:pPr>
            <w:r>
              <w:rPr>
                <w:rFonts w:eastAsia="Times New Roman"/>
                <w:sz w:val="20"/>
                <w:szCs w:val="20"/>
              </w:rPr>
              <w:t>les métaux lourds</w:t>
            </w:r>
          </w:p>
        </w:tc>
        <w:tc>
          <w:tcPr>
            <w:tcW w:w="200" w:type="dxa"/>
            <w:vAlign w:val="bottom"/>
          </w:tcPr>
          <w:p w:rsidR="00223198" w:rsidRDefault="00223198" w:rsidP="00D75995">
            <w:pPr>
              <w:ind w:right="-50"/>
              <w:rPr>
                <w:sz w:val="20"/>
                <w:szCs w:val="20"/>
              </w:rPr>
            </w:pPr>
          </w:p>
        </w:tc>
        <w:tc>
          <w:tcPr>
            <w:tcW w:w="600" w:type="dxa"/>
            <w:tcBorders>
              <w:right w:val="single" w:sz="8" w:space="0" w:color="auto"/>
            </w:tcBorders>
            <w:vAlign w:val="bottom"/>
          </w:tcPr>
          <w:p w:rsidR="00223198" w:rsidRDefault="00223198" w:rsidP="00D75995">
            <w:pPr>
              <w:ind w:right="-50"/>
              <w:rPr>
                <w:sz w:val="20"/>
                <w:szCs w:val="20"/>
              </w:rPr>
            </w:pPr>
          </w:p>
        </w:tc>
        <w:tc>
          <w:tcPr>
            <w:tcW w:w="6299" w:type="dxa"/>
            <w:tcBorders>
              <w:right w:val="single" w:sz="8" w:space="0" w:color="auto"/>
            </w:tcBorders>
            <w:vAlign w:val="bottom"/>
          </w:tcPr>
          <w:p w:rsidR="00223198" w:rsidRDefault="00223198" w:rsidP="00D75995">
            <w:pPr>
              <w:ind w:left="80" w:right="-50"/>
              <w:rPr>
                <w:sz w:val="20"/>
                <w:szCs w:val="20"/>
              </w:rPr>
            </w:pPr>
            <w:r>
              <w:rPr>
                <w:rFonts w:eastAsia="Times New Roman"/>
                <w:sz w:val="20"/>
                <w:szCs w:val="20"/>
              </w:rPr>
              <w:t>Meilleure gestion des contenants</w:t>
            </w:r>
          </w:p>
        </w:tc>
      </w:tr>
      <w:tr w:rsidR="00BD6A85" w:rsidTr="003204A0">
        <w:trPr>
          <w:trHeight w:val="235"/>
          <w:jc w:val="center"/>
        </w:trPr>
        <w:tc>
          <w:tcPr>
            <w:tcW w:w="1040" w:type="dxa"/>
            <w:tcBorders>
              <w:left w:val="single" w:sz="8" w:space="0" w:color="auto"/>
              <w:bottom w:val="single" w:sz="8" w:space="0" w:color="auto"/>
            </w:tcBorders>
            <w:vAlign w:val="bottom"/>
          </w:tcPr>
          <w:p w:rsidR="00223198" w:rsidRDefault="00223198" w:rsidP="00D75995">
            <w:pPr>
              <w:ind w:left="120" w:right="-50"/>
              <w:rPr>
                <w:sz w:val="20"/>
                <w:szCs w:val="20"/>
              </w:rPr>
            </w:pPr>
            <w:r>
              <w:rPr>
                <w:rFonts w:eastAsia="Times New Roman"/>
                <w:sz w:val="20"/>
                <w:szCs w:val="20"/>
              </w:rPr>
              <w:t>souterraine</w:t>
            </w:r>
          </w:p>
        </w:tc>
        <w:tc>
          <w:tcPr>
            <w:tcW w:w="360" w:type="dxa"/>
            <w:tcBorders>
              <w:bottom w:val="single" w:sz="8" w:space="0" w:color="auto"/>
              <w:right w:val="single" w:sz="8" w:space="0" w:color="auto"/>
            </w:tcBorders>
            <w:vAlign w:val="bottom"/>
          </w:tcPr>
          <w:p w:rsidR="00223198" w:rsidRDefault="00223198" w:rsidP="00D75995">
            <w:pPr>
              <w:ind w:right="-50"/>
              <w:rPr>
                <w:sz w:val="20"/>
                <w:szCs w:val="20"/>
              </w:rPr>
            </w:pPr>
          </w:p>
        </w:tc>
        <w:tc>
          <w:tcPr>
            <w:tcW w:w="760" w:type="dxa"/>
            <w:tcBorders>
              <w:bottom w:val="single" w:sz="8" w:space="0" w:color="auto"/>
            </w:tcBorders>
            <w:vAlign w:val="bottom"/>
          </w:tcPr>
          <w:p w:rsidR="00223198" w:rsidRDefault="00223198" w:rsidP="00D75995">
            <w:pPr>
              <w:ind w:right="-50"/>
              <w:rPr>
                <w:sz w:val="20"/>
                <w:szCs w:val="20"/>
              </w:rPr>
            </w:pPr>
          </w:p>
        </w:tc>
        <w:tc>
          <w:tcPr>
            <w:tcW w:w="120" w:type="dxa"/>
            <w:tcBorders>
              <w:bottom w:val="single" w:sz="8" w:space="0" w:color="auto"/>
            </w:tcBorders>
            <w:vAlign w:val="bottom"/>
          </w:tcPr>
          <w:p w:rsidR="00223198" w:rsidRDefault="00223198" w:rsidP="00D75995">
            <w:pPr>
              <w:ind w:right="-50"/>
              <w:rPr>
                <w:sz w:val="20"/>
                <w:szCs w:val="20"/>
              </w:rPr>
            </w:pPr>
          </w:p>
        </w:tc>
        <w:tc>
          <w:tcPr>
            <w:tcW w:w="300" w:type="dxa"/>
            <w:tcBorders>
              <w:bottom w:val="single" w:sz="8" w:space="0" w:color="auto"/>
            </w:tcBorders>
            <w:vAlign w:val="bottom"/>
          </w:tcPr>
          <w:p w:rsidR="00223198" w:rsidRDefault="00223198" w:rsidP="00D75995">
            <w:pPr>
              <w:ind w:right="-50"/>
              <w:rPr>
                <w:sz w:val="20"/>
                <w:szCs w:val="20"/>
              </w:rPr>
            </w:pPr>
          </w:p>
        </w:tc>
        <w:tc>
          <w:tcPr>
            <w:tcW w:w="360" w:type="dxa"/>
            <w:tcBorders>
              <w:bottom w:val="single" w:sz="8" w:space="0" w:color="auto"/>
            </w:tcBorders>
            <w:vAlign w:val="bottom"/>
          </w:tcPr>
          <w:p w:rsidR="00223198" w:rsidRDefault="00223198" w:rsidP="00D75995">
            <w:pPr>
              <w:ind w:right="-50"/>
              <w:rPr>
                <w:sz w:val="20"/>
                <w:szCs w:val="20"/>
              </w:rPr>
            </w:pPr>
          </w:p>
        </w:tc>
        <w:tc>
          <w:tcPr>
            <w:tcW w:w="200" w:type="dxa"/>
            <w:tcBorders>
              <w:bottom w:val="single" w:sz="8" w:space="0" w:color="auto"/>
            </w:tcBorders>
            <w:vAlign w:val="bottom"/>
          </w:tcPr>
          <w:p w:rsidR="00223198" w:rsidRDefault="00223198" w:rsidP="00D75995">
            <w:pPr>
              <w:ind w:right="-50"/>
              <w:rPr>
                <w:sz w:val="20"/>
                <w:szCs w:val="20"/>
              </w:rPr>
            </w:pPr>
          </w:p>
        </w:tc>
        <w:tc>
          <w:tcPr>
            <w:tcW w:w="600" w:type="dxa"/>
            <w:tcBorders>
              <w:bottom w:val="single" w:sz="8" w:space="0" w:color="auto"/>
              <w:right w:val="single" w:sz="8" w:space="0" w:color="auto"/>
            </w:tcBorders>
            <w:vAlign w:val="bottom"/>
          </w:tcPr>
          <w:p w:rsidR="00223198" w:rsidRDefault="00223198" w:rsidP="00D75995">
            <w:pPr>
              <w:ind w:right="-50"/>
              <w:rPr>
                <w:sz w:val="20"/>
                <w:szCs w:val="20"/>
              </w:rPr>
            </w:pPr>
          </w:p>
        </w:tc>
        <w:tc>
          <w:tcPr>
            <w:tcW w:w="6299" w:type="dxa"/>
            <w:tcBorders>
              <w:bottom w:val="single" w:sz="8" w:space="0" w:color="auto"/>
              <w:right w:val="single" w:sz="8" w:space="0" w:color="auto"/>
            </w:tcBorders>
            <w:vAlign w:val="bottom"/>
          </w:tcPr>
          <w:p w:rsidR="00223198" w:rsidRDefault="00223198" w:rsidP="00D75995">
            <w:pPr>
              <w:ind w:right="-50"/>
              <w:rPr>
                <w:sz w:val="20"/>
                <w:szCs w:val="20"/>
              </w:rPr>
            </w:pPr>
          </w:p>
        </w:tc>
      </w:tr>
      <w:tr w:rsidR="00BD6A85" w:rsidTr="003204A0">
        <w:trPr>
          <w:trHeight w:val="216"/>
          <w:jc w:val="center"/>
        </w:trPr>
        <w:tc>
          <w:tcPr>
            <w:tcW w:w="1040" w:type="dxa"/>
            <w:tcBorders>
              <w:left w:val="single" w:sz="8" w:space="0" w:color="auto"/>
            </w:tcBorders>
            <w:vAlign w:val="bottom"/>
          </w:tcPr>
          <w:p w:rsidR="00223198" w:rsidRDefault="00223198" w:rsidP="00D75995">
            <w:pPr>
              <w:spacing w:line="216" w:lineRule="exact"/>
              <w:ind w:left="120" w:right="-50"/>
              <w:rPr>
                <w:sz w:val="20"/>
                <w:szCs w:val="20"/>
              </w:rPr>
            </w:pPr>
            <w:r>
              <w:rPr>
                <w:rFonts w:eastAsia="Times New Roman"/>
                <w:sz w:val="20"/>
                <w:szCs w:val="20"/>
              </w:rPr>
              <w:t>Flore</w:t>
            </w:r>
          </w:p>
        </w:tc>
        <w:tc>
          <w:tcPr>
            <w:tcW w:w="360" w:type="dxa"/>
            <w:tcBorders>
              <w:right w:val="single" w:sz="8" w:space="0" w:color="auto"/>
            </w:tcBorders>
            <w:vAlign w:val="bottom"/>
          </w:tcPr>
          <w:p w:rsidR="00223198" w:rsidRDefault="00223198" w:rsidP="00D75995">
            <w:pPr>
              <w:ind w:right="-50"/>
              <w:rPr>
                <w:sz w:val="18"/>
                <w:szCs w:val="18"/>
              </w:rPr>
            </w:pPr>
          </w:p>
        </w:tc>
        <w:tc>
          <w:tcPr>
            <w:tcW w:w="1180" w:type="dxa"/>
            <w:gridSpan w:val="3"/>
            <w:vAlign w:val="bottom"/>
          </w:tcPr>
          <w:p w:rsidR="00223198" w:rsidRDefault="00223198" w:rsidP="00D75995">
            <w:pPr>
              <w:spacing w:line="216" w:lineRule="exact"/>
              <w:ind w:left="80" w:right="-50"/>
              <w:rPr>
                <w:sz w:val="20"/>
                <w:szCs w:val="20"/>
              </w:rPr>
            </w:pPr>
            <w:r>
              <w:rPr>
                <w:rFonts w:eastAsia="Times New Roman"/>
                <w:w w:val="99"/>
                <w:sz w:val="20"/>
                <w:szCs w:val="20"/>
              </w:rPr>
              <w:t>Déforestation</w:t>
            </w:r>
          </w:p>
        </w:tc>
        <w:tc>
          <w:tcPr>
            <w:tcW w:w="360" w:type="dxa"/>
            <w:vAlign w:val="bottom"/>
          </w:tcPr>
          <w:p w:rsidR="00223198" w:rsidRDefault="00223198" w:rsidP="00D75995">
            <w:pPr>
              <w:ind w:right="-50"/>
              <w:rPr>
                <w:sz w:val="18"/>
                <w:szCs w:val="18"/>
              </w:rPr>
            </w:pPr>
          </w:p>
        </w:tc>
        <w:tc>
          <w:tcPr>
            <w:tcW w:w="200" w:type="dxa"/>
            <w:vAlign w:val="bottom"/>
          </w:tcPr>
          <w:p w:rsidR="00223198" w:rsidRDefault="00223198" w:rsidP="00D75995">
            <w:pPr>
              <w:ind w:right="-50"/>
              <w:rPr>
                <w:sz w:val="18"/>
                <w:szCs w:val="18"/>
              </w:rPr>
            </w:pPr>
          </w:p>
        </w:tc>
        <w:tc>
          <w:tcPr>
            <w:tcW w:w="600" w:type="dxa"/>
            <w:tcBorders>
              <w:right w:val="single" w:sz="8" w:space="0" w:color="auto"/>
            </w:tcBorders>
            <w:vAlign w:val="bottom"/>
          </w:tcPr>
          <w:p w:rsidR="00223198" w:rsidRDefault="00223198" w:rsidP="00D75995">
            <w:pPr>
              <w:ind w:right="-50"/>
              <w:rPr>
                <w:sz w:val="18"/>
                <w:szCs w:val="18"/>
              </w:rPr>
            </w:pPr>
          </w:p>
        </w:tc>
        <w:tc>
          <w:tcPr>
            <w:tcW w:w="6299" w:type="dxa"/>
            <w:tcBorders>
              <w:right w:val="single" w:sz="8" w:space="0" w:color="auto"/>
            </w:tcBorders>
            <w:vAlign w:val="bottom"/>
          </w:tcPr>
          <w:p w:rsidR="00223198" w:rsidRDefault="00223198" w:rsidP="00D75995">
            <w:pPr>
              <w:spacing w:line="216" w:lineRule="exact"/>
              <w:ind w:left="80" w:right="-50"/>
              <w:rPr>
                <w:sz w:val="20"/>
                <w:szCs w:val="20"/>
              </w:rPr>
            </w:pPr>
            <w:r>
              <w:rPr>
                <w:rFonts w:eastAsia="Times New Roman"/>
                <w:sz w:val="20"/>
                <w:szCs w:val="20"/>
              </w:rPr>
              <w:t>Lutte contre la déforestation et l’érosion</w:t>
            </w:r>
          </w:p>
        </w:tc>
      </w:tr>
      <w:tr w:rsidR="00BD6A85" w:rsidTr="003204A0">
        <w:trPr>
          <w:trHeight w:val="239"/>
          <w:jc w:val="center"/>
        </w:trPr>
        <w:tc>
          <w:tcPr>
            <w:tcW w:w="1400" w:type="dxa"/>
            <w:gridSpan w:val="2"/>
            <w:tcBorders>
              <w:left w:val="single" w:sz="8" w:space="0" w:color="auto"/>
              <w:bottom w:val="single" w:sz="8" w:space="0" w:color="auto"/>
              <w:right w:val="single" w:sz="8" w:space="0" w:color="auto"/>
            </w:tcBorders>
            <w:vAlign w:val="bottom"/>
          </w:tcPr>
          <w:p w:rsidR="00223198" w:rsidRDefault="00223198" w:rsidP="00D75995">
            <w:pPr>
              <w:ind w:right="-50"/>
              <w:rPr>
                <w:sz w:val="20"/>
                <w:szCs w:val="20"/>
              </w:rPr>
            </w:pPr>
          </w:p>
        </w:tc>
        <w:tc>
          <w:tcPr>
            <w:tcW w:w="1540" w:type="dxa"/>
            <w:gridSpan w:val="4"/>
            <w:tcBorders>
              <w:bottom w:val="single" w:sz="8" w:space="0" w:color="auto"/>
            </w:tcBorders>
            <w:vAlign w:val="bottom"/>
          </w:tcPr>
          <w:p w:rsidR="00223198" w:rsidRDefault="00223198" w:rsidP="00D75995">
            <w:pPr>
              <w:ind w:right="-50"/>
              <w:rPr>
                <w:sz w:val="20"/>
                <w:szCs w:val="20"/>
              </w:rPr>
            </w:pPr>
          </w:p>
        </w:tc>
        <w:tc>
          <w:tcPr>
            <w:tcW w:w="200" w:type="dxa"/>
            <w:tcBorders>
              <w:bottom w:val="single" w:sz="8" w:space="0" w:color="auto"/>
            </w:tcBorders>
            <w:vAlign w:val="bottom"/>
          </w:tcPr>
          <w:p w:rsidR="00223198" w:rsidRDefault="00223198" w:rsidP="00D75995">
            <w:pPr>
              <w:ind w:right="-50"/>
              <w:rPr>
                <w:sz w:val="20"/>
                <w:szCs w:val="20"/>
              </w:rPr>
            </w:pPr>
          </w:p>
        </w:tc>
        <w:tc>
          <w:tcPr>
            <w:tcW w:w="600" w:type="dxa"/>
            <w:tcBorders>
              <w:bottom w:val="single" w:sz="8" w:space="0" w:color="auto"/>
              <w:right w:val="single" w:sz="8" w:space="0" w:color="auto"/>
            </w:tcBorders>
            <w:vAlign w:val="bottom"/>
          </w:tcPr>
          <w:p w:rsidR="00223198" w:rsidRDefault="00223198" w:rsidP="00D75995">
            <w:pPr>
              <w:ind w:right="-50"/>
              <w:rPr>
                <w:sz w:val="20"/>
                <w:szCs w:val="20"/>
              </w:rPr>
            </w:pPr>
          </w:p>
        </w:tc>
        <w:tc>
          <w:tcPr>
            <w:tcW w:w="6299" w:type="dxa"/>
            <w:tcBorders>
              <w:bottom w:val="single" w:sz="8" w:space="0" w:color="auto"/>
              <w:right w:val="single" w:sz="8" w:space="0" w:color="auto"/>
            </w:tcBorders>
            <w:vAlign w:val="bottom"/>
          </w:tcPr>
          <w:p w:rsidR="00223198" w:rsidRDefault="00223198" w:rsidP="00D75995">
            <w:pPr>
              <w:ind w:right="-50"/>
              <w:rPr>
                <w:sz w:val="20"/>
                <w:szCs w:val="20"/>
              </w:rPr>
            </w:pPr>
          </w:p>
        </w:tc>
      </w:tr>
      <w:tr w:rsidR="00BD6A85" w:rsidTr="003204A0">
        <w:trPr>
          <w:trHeight w:val="212"/>
          <w:jc w:val="center"/>
        </w:trPr>
        <w:tc>
          <w:tcPr>
            <w:tcW w:w="1400" w:type="dxa"/>
            <w:gridSpan w:val="2"/>
            <w:tcBorders>
              <w:left w:val="single" w:sz="8" w:space="0" w:color="auto"/>
              <w:right w:val="single" w:sz="8" w:space="0" w:color="auto"/>
            </w:tcBorders>
            <w:vAlign w:val="bottom"/>
          </w:tcPr>
          <w:p w:rsidR="00223198" w:rsidRDefault="00223198" w:rsidP="00D75995">
            <w:pPr>
              <w:spacing w:line="211" w:lineRule="exact"/>
              <w:ind w:left="120" w:right="-50"/>
              <w:rPr>
                <w:sz w:val="20"/>
                <w:szCs w:val="20"/>
              </w:rPr>
            </w:pPr>
            <w:r>
              <w:rPr>
                <w:rFonts w:eastAsia="Times New Roman"/>
                <w:sz w:val="20"/>
                <w:szCs w:val="20"/>
              </w:rPr>
              <w:t>Biodiversité</w:t>
            </w:r>
          </w:p>
        </w:tc>
        <w:tc>
          <w:tcPr>
            <w:tcW w:w="1540" w:type="dxa"/>
            <w:gridSpan w:val="4"/>
            <w:vAlign w:val="bottom"/>
          </w:tcPr>
          <w:p w:rsidR="00223198" w:rsidRDefault="00223198" w:rsidP="00D75995">
            <w:pPr>
              <w:spacing w:line="211" w:lineRule="exact"/>
              <w:ind w:left="80" w:right="-50"/>
              <w:rPr>
                <w:sz w:val="20"/>
                <w:szCs w:val="20"/>
              </w:rPr>
            </w:pPr>
            <w:r>
              <w:rPr>
                <w:rFonts w:eastAsia="Times New Roman"/>
                <w:sz w:val="20"/>
                <w:szCs w:val="20"/>
              </w:rPr>
              <w:t>Chimiorésistance</w:t>
            </w:r>
          </w:p>
        </w:tc>
        <w:tc>
          <w:tcPr>
            <w:tcW w:w="200" w:type="dxa"/>
            <w:vAlign w:val="bottom"/>
          </w:tcPr>
          <w:p w:rsidR="00223198" w:rsidRDefault="00223198" w:rsidP="00D75995">
            <w:pPr>
              <w:ind w:right="-50"/>
              <w:rPr>
                <w:sz w:val="18"/>
                <w:szCs w:val="18"/>
              </w:rPr>
            </w:pPr>
          </w:p>
        </w:tc>
        <w:tc>
          <w:tcPr>
            <w:tcW w:w="600" w:type="dxa"/>
            <w:tcBorders>
              <w:right w:val="single" w:sz="8" w:space="0" w:color="auto"/>
            </w:tcBorders>
            <w:vAlign w:val="bottom"/>
          </w:tcPr>
          <w:p w:rsidR="00223198" w:rsidRDefault="00223198" w:rsidP="00D75995">
            <w:pPr>
              <w:spacing w:line="211" w:lineRule="exact"/>
              <w:ind w:right="-50"/>
              <w:jc w:val="right"/>
              <w:rPr>
                <w:sz w:val="20"/>
                <w:szCs w:val="20"/>
              </w:rPr>
            </w:pPr>
            <w:r>
              <w:rPr>
                <w:rFonts w:eastAsia="Times New Roman"/>
                <w:sz w:val="20"/>
                <w:szCs w:val="20"/>
              </w:rPr>
              <w:t>des</w:t>
            </w:r>
          </w:p>
        </w:tc>
        <w:tc>
          <w:tcPr>
            <w:tcW w:w="6299" w:type="dxa"/>
            <w:tcBorders>
              <w:right w:val="single" w:sz="8" w:space="0" w:color="auto"/>
            </w:tcBorders>
            <w:vAlign w:val="bottom"/>
          </w:tcPr>
          <w:p w:rsidR="00223198" w:rsidRDefault="00223198" w:rsidP="00D75995">
            <w:pPr>
              <w:spacing w:line="211" w:lineRule="exact"/>
              <w:ind w:left="80" w:right="-50"/>
              <w:rPr>
                <w:sz w:val="20"/>
                <w:szCs w:val="20"/>
              </w:rPr>
            </w:pPr>
            <w:r>
              <w:rPr>
                <w:rFonts w:eastAsia="Times New Roman"/>
                <w:sz w:val="20"/>
                <w:szCs w:val="20"/>
              </w:rPr>
              <w:t>Bonne identification des ravageurs et des pesticides qui leurs sont</w:t>
            </w:r>
          </w:p>
        </w:tc>
      </w:tr>
      <w:tr w:rsidR="00BD6A85" w:rsidTr="003204A0">
        <w:trPr>
          <w:trHeight w:val="230"/>
          <w:jc w:val="center"/>
        </w:trPr>
        <w:tc>
          <w:tcPr>
            <w:tcW w:w="1040" w:type="dxa"/>
            <w:tcBorders>
              <w:left w:val="single" w:sz="8" w:space="0" w:color="auto"/>
            </w:tcBorders>
            <w:vAlign w:val="bottom"/>
          </w:tcPr>
          <w:p w:rsidR="00223198" w:rsidRDefault="00223198" w:rsidP="00D75995">
            <w:pPr>
              <w:ind w:right="-50"/>
              <w:rPr>
                <w:sz w:val="20"/>
                <w:szCs w:val="20"/>
              </w:rPr>
            </w:pPr>
          </w:p>
        </w:tc>
        <w:tc>
          <w:tcPr>
            <w:tcW w:w="360" w:type="dxa"/>
            <w:tcBorders>
              <w:right w:val="single" w:sz="8" w:space="0" w:color="auto"/>
            </w:tcBorders>
            <w:vAlign w:val="bottom"/>
          </w:tcPr>
          <w:p w:rsidR="00223198" w:rsidRDefault="00223198" w:rsidP="00D75995">
            <w:pPr>
              <w:ind w:right="-50"/>
              <w:rPr>
                <w:sz w:val="20"/>
                <w:szCs w:val="20"/>
              </w:rPr>
            </w:pPr>
          </w:p>
        </w:tc>
        <w:tc>
          <w:tcPr>
            <w:tcW w:w="880" w:type="dxa"/>
            <w:gridSpan w:val="2"/>
            <w:vAlign w:val="bottom"/>
          </w:tcPr>
          <w:p w:rsidR="00223198" w:rsidRDefault="00223198" w:rsidP="00D75995">
            <w:pPr>
              <w:ind w:left="80" w:right="-50"/>
              <w:rPr>
                <w:sz w:val="20"/>
                <w:szCs w:val="20"/>
              </w:rPr>
            </w:pPr>
            <w:r>
              <w:rPr>
                <w:rFonts w:eastAsia="Times New Roman"/>
                <w:sz w:val="20"/>
                <w:szCs w:val="20"/>
              </w:rPr>
              <w:t>ravageurs</w:t>
            </w:r>
          </w:p>
        </w:tc>
        <w:tc>
          <w:tcPr>
            <w:tcW w:w="300" w:type="dxa"/>
            <w:vAlign w:val="bottom"/>
          </w:tcPr>
          <w:p w:rsidR="00223198" w:rsidRDefault="00223198" w:rsidP="00D75995">
            <w:pPr>
              <w:ind w:right="-50"/>
              <w:rPr>
                <w:sz w:val="20"/>
                <w:szCs w:val="20"/>
              </w:rPr>
            </w:pPr>
          </w:p>
        </w:tc>
        <w:tc>
          <w:tcPr>
            <w:tcW w:w="360" w:type="dxa"/>
            <w:vAlign w:val="bottom"/>
          </w:tcPr>
          <w:p w:rsidR="00223198" w:rsidRDefault="00223198" w:rsidP="00D75995">
            <w:pPr>
              <w:ind w:right="-50"/>
              <w:rPr>
                <w:sz w:val="20"/>
                <w:szCs w:val="20"/>
              </w:rPr>
            </w:pPr>
          </w:p>
        </w:tc>
        <w:tc>
          <w:tcPr>
            <w:tcW w:w="200" w:type="dxa"/>
            <w:vAlign w:val="bottom"/>
          </w:tcPr>
          <w:p w:rsidR="00223198" w:rsidRDefault="00223198" w:rsidP="00D75995">
            <w:pPr>
              <w:ind w:right="-50"/>
              <w:rPr>
                <w:sz w:val="20"/>
                <w:szCs w:val="20"/>
              </w:rPr>
            </w:pPr>
          </w:p>
        </w:tc>
        <w:tc>
          <w:tcPr>
            <w:tcW w:w="600" w:type="dxa"/>
            <w:tcBorders>
              <w:right w:val="single" w:sz="8" w:space="0" w:color="auto"/>
            </w:tcBorders>
            <w:vAlign w:val="bottom"/>
          </w:tcPr>
          <w:p w:rsidR="00223198" w:rsidRDefault="00223198" w:rsidP="00D75995">
            <w:pPr>
              <w:ind w:right="-50"/>
              <w:rPr>
                <w:sz w:val="20"/>
                <w:szCs w:val="20"/>
              </w:rPr>
            </w:pPr>
          </w:p>
        </w:tc>
        <w:tc>
          <w:tcPr>
            <w:tcW w:w="6299" w:type="dxa"/>
            <w:tcBorders>
              <w:right w:val="single" w:sz="8" w:space="0" w:color="auto"/>
            </w:tcBorders>
            <w:vAlign w:val="bottom"/>
          </w:tcPr>
          <w:p w:rsidR="00223198" w:rsidRDefault="00223198" w:rsidP="00D75995">
            <w:pPr>
              <w:ind w:left="80" w:right="-50"/>
              <w:rPr>
                <w:sz w:val="20"/>
                <w:szCs w:val="20"/>
              </w:rPr>
            </w:pPr>
            <w:r>
              <w:rPr>
                <w:rFonts w:eastAsia="Times New Roman"/>
                <w:sz w:val="20"/>
                <w:szCs w:val="20"/>
              </w:rPr>
              <w:t>spécifiques</w:t>
            </w:r>
          </w:p>
        </w:tc>
      </w:tr>
      <w:tr w:rsidR="00BD6A85" w:rsidTr="003204A0">
        <w:trPr>
          <w:trHeight w:val="230"/>
          <w:jc w:val="center"/>
        </w:trPr>
        <w:tc>
          <w:tcPr>
            <w:tcW w:w="1040" w:type="dxa"/>
            <w:tcBorders>
              <w:left w:val="single" w:sz="8" w:space="0" w:color="auto"/>
            </w:tcBorders>
            <w:vAlign w:val="bottom"/>
          </w:tcPr>
          <w:p w:rsidR="00223198" w:rsidRDefault="00223198" w:rsidP="00D75995">
            <w:pPr>
              <w:ind w:right="-50"/>
              <w:rPr>
                <w:sz w:val="20"/>
                <w:szCs w:val="20"/>
              </w:rPr>
            </w:pPr>
          </w:p>
        </w:tc>
        <w:tc>
          <w:tcPr>
            <w:tcW w:w="360" w:type="dxa"/>
            <w:tcBorders>
              <w:right w:val="single" w:sz="8" w:space="0" w:color="auto"/>
            </w:tcBorders>
            <w:vAlign w:val="bottom"/>
          </w:tcPr>
          <w:p w:rsidR="00223198" w:rsidRDefault="00223198" w:rsidP="00D75995">
            <w:pPr>
              <w:ind w:right="-50"/>
              <w:rPr>
                <w:sz w:val="20"/>
                <w:szCs w:val="20"/>
              </w:rPr>
            </w:pPr>
          </w:p>
        </w:tc>
        <w:tc>
          <w:tcPr>
            <w:tcW w:w="760" w:type="dxa"/>
            <w:vAlign w:val="bottom"/>
          </w:tcPr>
          <w:p w:rsidR="00223198" w:rsidRDefault="00223198" w:rsidP="00D75995">
            <w:pPr>
              <w:ind w:right="-50"/>
              <w:rPr>
                <w:sz w:val="20"/>
                <w:szCs w:val="20"/>
              </w:rPr>
            </w:pPr>
          </w:p>
        </w:tc>
        <w:tc>
          <w:tcPr>
            <w:tcW w:w="120" w:type="dxa"/>
            <w:vAlign w:val="bottom"/>
          </w:tcPr>
          <w:p w:rsidR="00223198" w:rsidRDefault="00223198" w:rsidP="00D75995">
            <w:pPr>
              <w:ind w:right="-50"/>
              <w:rPr>
                <w:sz w:val="20"/>
                <w:szCs w:val="20"/>
              </w:rPr>
            </w:pPr>
          </w:p>
        </w:tc>
        <w:tc>
          <w:tcPr>
            <w:tcW w:w="300" w:type="dxa"/>
            <w:vAlign w:val="bottom"/>
          </w:tcPr>
          <w:p w:rsidR="00223198" w:rsidRDefault="00223198" w:rsidP="00D75995">
            <w:pPr>
              <w:ind w:right="-50"/>
              <w:rPr>
                <w:sz w:val="20"/>
                <w:szCs w:val="20"/>
              </w:rPr>
            </w:pPr>
          </w:p>
        </w:tc>
        <w:tc>
          <w:tcPr>
            <w:tcW w:w="360" w:type="dxa"/>
            <w:vAlign w:val="bottom"/>
          </w:tcPr>
          <w:p w:rsidR="00223198" w:rsidRDefault="00223198" w:rsidP="00D75995">
            <w:pPr>
              <w:ind w:right="-50"/>
              <w:rPr>
                <w:sz w:val="20"/>
                <w:szCs w:val="20"/>
              </w:rPr>
            </w:pPr>
          </w:p>
        </w:tc>
        <w:tc>
          <w:tcPr>
            <w:tcW w:w="200" w:type="dxa"/>
            <w:vAlign w:val="bottom"/>
          </w:tcPr>
          <w:p w:rsidR="00223198" w:rsidRDefault="00223198" w:rsidP="00D75995">
            <w:pPr>
              <w:ind w:right="-50"/>
              <w:rPr>
                <w:sz w:val="20"/>
                <w:szCs w:val="20"/>
              </w:rPr>
            </w:pPr>
          </w:p>
        </w:tc>
        <w:tc>
          <w:tcPr>
            <w:tcW w:w="600" w:type="dxa"/>
            <w:tcBorders>
              <w:right w:val="single" w:sz="8" w:space="0" w:color="auto"/>
            </w:tcBorders>
            <w:vAlign w:val="bottom"/>
          </w:tcPr>
          <w:p w:rsidR="00223198" w:rsidRDefault="00223198" w:rsidP="00D75995">
            <w:pPr>
              <w:ind w:right="-50"/>
              <w:rPr>
                <w:sz w:val="20"/>
                <w:szCs w:val="20"/>
              </w:rPr>
            </w:pPr>
          </w:p>
        </w:tc>
        <w:tc>
          <w:tcPr>
            <w:tcW w:w="6299" w:type="dxa"/>
            <w:tcBorders>
              <w:right w:val="single" w:sz="8" w:space="0" w:color="auto"/>
            </w:tcBorders>
            <w:vAlign w:val="bottom"/>
          </w:tcPr>
          <w:p w:rsidR="00223198" w:rsidRDefault="00223198" w:rsidP="00D75995">
            <w:pPr>
              <w:ind w:left="80" w:right="-50"/>
              <w:rPr>
                <w:sz w:val="20"/>
                <w:szCs w:val="20"/>
              </w:rPr>
            </w:pPr>
            <w:r>
              <w:rPr>
                <w:rFonts w:eastAsia="Times New Roman"/>
                <w:sz w:val="20"/>
                <w:szCs w:val="20"/>
              </w:rPr>
              <w:t>application rationnelle des pesticides</w:t>
            </w:r>
          </w:p>
        </w:tc>
      </w:tr>
      <w:tr w:rsidR="00BD6A85" w:rsidTr="003204A0">
        <w:trPr>
          <w:trHeight w:val="232"/>
          <w:jc w:val="center"/>
        </w:trPr>
        <w:tc>
          <w:tcPr>
            <w:tcW w:w="1040" w:type="dxa"/>
            <w:tcBorders>
              <w:left w:val="single" w:sz="8" w:space="0" w:color="auto"/>
            </w:tcBorders>
            <w:vAlign w:val="bottom"/>
          </w:tcPr>
          <w:p w:rsidR="00223198" w:rsidRDefault="00223198" w:rsidP="00D75995">
            <w:pPr>
              <w:ind w:right="-50"/>
              <w:rPr>
                <w:sz w:val="20"/>
                <w:szCs w:val="20"/>
              </w:rPr>
            </w:pPr>
          </w:p>
        </w:tc>
        <w:tc>
          <w:tcPr>
            <w:tcW w:w="360" w:type="dxa"/>
            <w:tcBorders>
              <w:right w:val="single" w:sz="8" w:space="0" w:color="auto"/>
            </w:tcBorders>
            <w:vAlign w:val="bottom"/>
          </w:tcPr>
          <w:p w:rsidR="00223198" w:rsidRDefault="00223198" w:rsidP="00D75995">
            <w:pPr>
              <w:ind w:right="-50"/>
              <w:rPr>
                <w:sz w:val="20"/>
                <w:szCs w:val="20"/>
              </w:rPr>
            </w:pPr>
          </w:p>
        </w:tc>
        <w:tc>
          <w:tcPr>
            <w:tcW w:w="760" w:type="dxa"/>
            <w:tcBorders>
              <w:bottom w:val="single" w:sz="8" w:space="0" w:color="auto"/>
            </w:tcBorders>
            <w:vAlign w:val="bottom"/>
          </w:tcPr>
          <w:p w:rsidR="00223198" w:rsidRDefault="00223198" w:rsidP="00D75995">
            <w:pPr>
              <w:ind w:right="-50"/>
              <w:rPr>
                <w:sz w:val="20"/>
                <w:szCs w:val="20"/>
              </w:rPr>
            </w:pPr>
          </w:p>
        </w:tc>
        <w:tc>
          <w:tcPr>
            <w:tcW w:w="120" w:type="dxa"/>
            <w:tcBorders>
              <w:bottom w:val="single" w:sz="8" w:space="0" w:color="auto"/>
            </w:tcBorders>
            <w:vAlign w:val="bottom"/>
          </w:tcPr>
          <w:p w:rsidR="00223198" w:rsidRDefault="00223198" w:rsidP="00D75995">
            <w:pPr>
              <w:ind w:right="-50"/>
              <w:rPr>
                <w:sz w:val="20"/>
                <w:szCs w:val="20"/>
              </w:rPr>
            </w:pPr>
          </w:p>
        </w:tc>
        <w:tc>
          <w:tcPr>
            <w:tcW w:w="300" w:type="dxa"/>
            <w:tcBorders>
              <w:bottom w:val="single" w:sz="8" w:space="0" w:color="auto"/>
            </w:tcBorders>
            <w:vAlign w:val="bottom"/>
          </w:tcPr>
          <w:p w:rsidR="00223198" w:rsidRDefault="00223198" w:rsidP="00D75995">
            <w:pPr>
              <w:ind w:right="-50"/>
              <w:rPr>
                <w:sz w:val="20"/>
                <w:szCs w:val="20"/>
              </w:rPr>
            </w:pPr>
          </w:p>
        </w:tc>
        <w:tc>
          <w:tcPr>
            <w:tcW w:w="360" w:type="dxa"/>
            <w:tcBorders>
              <w:bottom w:val="single" w:sz="8" w:space="0" w:color="auto"/>
            </w:tcBorders>
            <w:vAlign w:val="bottom"/>
          </w:tcPr>
          <w:p w:rsidR="00223198" w:rsidRDefault="00223198" w:rsidP="00D75995">
            <w:pPr>
              <w:ind w:right="-50"/>
              <w:rPr>
                <w:sz w:val="20"/>
                <w:szCs w:val="20"/>
              </w:rPr>
            </w:pPr>
          </w:p>
        </w:tc>
        <w:tc>
          <w:tcPr>
            <w:tcW w:w="200" w:type="dxa"/>
            <w:tcBorders>
              <w:bottom w:val="single" w:sz="8" w:space="0" w:color="auto"/>
            </w:tcBorders>
            <w:vAlign w:val="bottom"/>
          </w:tcPr>
          <w:p w:rsidR="00223198" w:rsidRDefault="00223198" w:rsidP="00D75995">
            <w:pPr>
              <w:ind w:right="-50"/>
              <w:rPr>
                <w:sz w:val="20"/>
                <w:szCs w:val="20"/>
              </w:rPr>
            </w:pPr>
          </w:p>
        </w:tc>
        <w:tc>
          <w:tcPr>
            <w:tcW w:w="600" w:type="dxa"/>
            <w:tcBorders>
              <w:bottom w:val="single" w:sz="8" w:space="0" w:color="auto"/>
              <w:right w:val="single" w:sz="8" w:space="0" w:color="auto"/>
            </w:tcBorders>
            <w:vAlign w:val="bottom"/>
          </w:tcPr>
          <w:p w:rsidR="00223198" w:rsidRDefault="00223198" w:rsidP="00D75995">
            <w:pPr>
              <w:ind w:right="-50"/>
              <w:rPr>
                <w:sz w:val="20"/>
                <w:szCs w:val="20"/>
              </w:rPr>
            </w:pPr>
          </w:p>
        </w:tc>
        <w:tc>
          <w:tcPr>
            <w:tcW w:w="6299" w:type="dxa"/>
            <w:tcBorders>
              <w:bottom w:val="single" w:sz="8" w:space="0" w:color="auto"/>
              <w:right w:val="single" w:sz="8" w:space="0" w:color="auto"/>
            </w:tcBorders>
            <w:vAlign w:val="bottom"/>
          </w:tcPr>
          <w:p w:rsidR="00223198" w:rsidRDefault="00223198" w:rsidP="00D75995">
            <w:pPr>
              <w:spacing w:line="228" w:lineRule="exact"/>
              <w:ind w:left="80" w:right="-50"/>
              <w:rPr>
                <w:sz w:val="20"/>
                <w:szCs w:val="20"/>
              </w:rPr>
            </w:pPr>
            <w:r>
              <w:rPr>
                <w:rFonts w:eastAsia="Times New Roman"/>
                <w:sz w:val="20"/>
                <w:szCs w:val="20"/>
              </w:rPr>
              <w:t>Diversification des pesticides utilisés</w:t>
            </w:r>
          </w:p>
        </w:tc>
      </w:tr>
      <w:tr w:rsidR="00BD6A85" w:rsidTr="003204A0">
        <w:trPr>
          <w:trHeight w:val="216"/>
          <w:jc w:val="center"/>
        </w:trPr>
        <w:tc>
          <w:tcPr>
            <w:tcW w:w="1040" w:type="dxa"/>
            <w:tcBorders>
              <w:left w:val="single" w:sz="8" w:space="0" w:color="auto"/>
            </w:tcBorders>
            <w:vAlign w:val="bottom"/>
          </w:tcPr>
          <w:p w:rsidR="00223198" w:rsidRDefault="00223198" w:rsidP="00D75995">
            <w:pPr>
              <w:ind w:right="-50"/>
              <w:rPr>
                <w:sz w:val="18"/>
                <w:szCs w:val="18"/>
              </w:rPr>
            </w:pPr>
          </w:p>
        </w:tc>
        <w:tc>
          <w:tcPr>
            <w:tcW w:w="360" w:type="dxa"/>
            <w:tcBorders>
              <w:right w:val="single" w:sz="8" w:space="0" w:color="auto"/>
            </w:tcBorders>
            <w:vAlign w:val="bottom"/>
          </w:tcPr>
          <w:p w:rsidR="00223198" w:rsidRDefault="00223198" w:rsidP="00D75995">
            <w:pPr>
              <w:ind w:right="-50"/>
              <w:rPr>
                <w:sz w:val="18"/>
                <w:szCs w:val="18"/>
              </w:rPr>
            </w:pPr>
          </w:p>
        </w:tc>
        <w:tc>
          <w:tcPr>
            <w:tcW w:w="1180" w:type="dxa"/>
            <w:gridSpan w:val="3"/>
            <w:vAlign w:val="bottom"/>
          </w:tcPr>
          <w:p w:rsidR="00223198" w:rsidRDefault="00223198" w:rsidP="00D75995">
            <w:pPr>
              <w:spacing w:line="216" w:lineRule="exact"/>
              <w:ind w:left="80" w:right="-50"/>
              <w:rPr>
                <w:sz w:val="20"/>
                <w:szCs w:val="20"/>
              </w:rPr>
            </w:pPr>
            <w:r>
              <w:rPr>
                <w:rFonts w:eastAsia="Times New Roman"/>
                <w:sz w:val="20"/>
                <w:szCs w:val="20"/>
              </w:rPr>
              <w:t>Intoxication</w:t>
            </w:r>
          </w:p>
        </w:tc>
        <w:tc>
          <w:tcPr>
            <w:tcW w:w="560" w:type="dxa"/>
            <w:gridSpan w:val="2"/>
            <w:vAlign w:val="bottom"/>
          </w:tcPr>
          <w:p w:rsidR="00223198" w:rsidRDefault="00223198" w:rsidP="00D75995">
            <w:pPr>
              <w:spacing w:line="216" w:lineRule="exact"/>
              <w:ind w:right="-50"/>
              <w:rPr>
                <w:sz w:val="20"/>
                <w:szCs w:val="20"/>
              </w:rPr>
            </w:pPr>
            <w:r>
              <w:rPr>
                <w:rFonts w:eastAsia="Times New Roman"/>
                <w:sz w:val="20"/>
                <w:szCs w:val="20"/>
              </w:rPr>
              <w:t>de  la</w:t>
            </w:r>
          </w:p>
        </w:tc>
        <w:tc>
          <w:tcPr>
            <w:tcW w:w="600" w:type="dxa"/>
            <w:tcBorders>
              <w:right w:val="single" w:sz="8" w:space="0" w:color="auto"/>
            </w:tcBorders>
            <w:vAlign w:val="bottom"/>
          </w:tcPr>
          <w:p w:rsidR="00223198" w:rsidRDefault="00223198" w:rsidP="00D75995">
            <w:pPr>
              <w:spacing w:line="216" w:lineRule="exact"/>
              <w:ind w:right="-50"/>
              <w:jc w:val="right"/>
              <w:rPr>
                <w:sz w:val="20"/>
                <w:szCs w:val="20"/>
              </w:rPr>
            </w:pPr>
            <w:r>
              <w:rPr>
                <w:rFonts w:eastAsia="Times New Roman"/>
                <w:w w:val="98"/>
                <w:sz w:val="20"/>
                <w:szCs w:val="20"/>
              </w:rPr>
              <w:t>faune</w:t>
            </w:r>
          </w:p>
        </w:tc>
        <w:tc>
          <w:tcPr>
            <w:tcW w:w="6299" w:type="dxa"/>
            <w:tcBorders>
              <w:right w:val="single" w:sz="8" w:space="0" w:color="auto"/>
            </w:tcBorders>
            <w:vAlign w:val="bottom"/>
          </w:tcPr>
          <w:p w:rsidR="00223198" w:rsidRDefault="00223198" w:rsidP="00D75995">
            <w:pPr>
              <w:spacing w:line="216" w:lineRule="exact"/>
              <w:ind w:left="80" w:right="-50"/>
              <w:rPr>
                <w:sz w:val="20"/>
                <w:szCs w:val="20"/>
              </w:rPr>
            </w:pPr>
            <w:r>
              <w:rPr>
                <w:rFonts w:eastAsia="Times New Roman"/>
                <w:sz w:val="20"/>
                <w:szCs w:val="20"/>
              </w:rPr>
              <w:t>Sensibiliser les utilisateurs sur les risques d’intoxication</w:t>
            </w:r>
          </w:p>
        </w:tc>
      </w:tr>
      <w:tr w:rsidR="00BD6A85" w:rsidTr="003204A0">
        <w:trPr>
          <w:trHeight w:val="230"/>
          <w:jc w:val="center"/>
        </w:trPr>
        <w:tc>
          <w:tcPr>
            <w:tcW w:w="1040" w:type="dxa"/>
            <w:tcBorders>
              <w:left w:val="single" w:sz="8" w:space="0" w:color="auto"/>
            </w:tcBorders>
            <w:vAlign w:val="bottom"/>
          </w:tcPr>
          <w:p w:rsidR="00223198" w:rsidRDefault="00223198" w:rsidP="00D75995">
            <w:pPr>
              <w:ind w:right="-50"/>
              <w:rPr>
                <w:sz w:val="20"/>
                <w:szCs w:val="20"/>
              </w:rPr>
            </w:pPr>
          </w:p>
        </w:tc>
        <w:tc>
          <w:tcPr>
            <w:tcW w:w="360" w:type="dxa"/>
            <w:tcBorders>
              <w:right w:val="single" w:sz="8" w:space="0" w:color="auto"/>
            </w:tcBorders>
            <w:vAlign w:val="bottom"/>
          </w:tcPr>
          <w:p w:rsidR="00223198" w:rsidRDefault="00223198" w:rsidP="00D75995">
            <w:pPr>
              <w:ind w:right="-50"/>
              <w:rPr>
                <w:sz w:val="20"/>
                <w:szCs w:val="20"/>
              </w:rPr>
            </w:pPr>
          </w:p>
        </w:tc>
        <w:tc>
          <w:tcPr>
            <w:tcW w:w="1740" w:type="dxa"/>
            <w:gridSpan w:val="5"/>
            <w:vAlign w:val="bottom"/>
          </w:tcPr>
          <w:p w:rsidR="00223198" w:rsidRDefault="00223198" w:rsidP="00D75995">
            <w:pPr>
              <w:ind w:left="80" w:right="-50"/>
              <w:rPr>
                <w:sz w:val="20"/>
                <w:szCs w:val="20"/>
              </w:rPr>
            </w:pPr>
            <w:r>
              <w:rPr>
                <w:rFonts w:eastAsia="Times New Roman"/>
                <w:sz w:val="20"/>
                <w:szCs w:val="20"/>
              </w:rPr>
              <w:t>aquatique, terrestre</w:t>
            </w:r>
          </w:p>
        </w:tc>
        <w:tc>
          <w:tcPr>
            <w:tcW w:w="600" w:type="dxa"/>
            <w:tcBorders>
              <w:right w:val="single" w:sz="8" w:space="0" w:color="auto"/>
            </w:tcBorders>
            <w:vAlign w:val="bottom"/>
          </w:tcPr>
          <w:p w:rsidR="00223198" w:rsidRDefault="00223198" w:rsidP="00D75995">
            <w:pPr>
              <w:ind w:right="-50"/>
              <w:rPr>
                <w:sz w:val="20"/>
                <w:szCs w:val="20"/>
              </w:rPr>
            </w:pPr>
          </w:p>
        </w:tc>
        <w:tc>
          <w:tcPr>
            <w:tcW w:w="6299" w:type="dxa"/>
            <w:tcBorders>
              <w:right w:val="single" w:sz="8" w:space="0" w:color="auto"/>
            </w:tcBorders>
            <w:vAlign w:val="bottom"/>
          </w:tcPr>
          <w:p w:rsidR="00223198" w:rsidRDefault="00223198" w:rsidP="00D75995">
            <w:pPr>
              <w:ind w:left="80" w:right="-50"/>
              <w:rPr>
                <w:sz w:val="20"/>
                <w:szCs w:val="20"/>
              </w:rPr>
            </w:pPr>
            <w:r>
              <w:rPr>
                <w:rFonts w:eastAsia="Times New Roman"/>
                <w:sz w:val="20"/>
                <w:szCs w:val="20"/>
              </w:rPr>
              <w:t>Sensibiliser les éleveurs sur l’abreuvage aux points d’eau sans</w:t>
            </w:r>
          </w:p>
        </w:tc>
      </w:tr>
      <w:tr w:rsidR="00BD6A85" w:rsidTr="003204A0">
        <w:trPr>
          <w:trHeight w:val="235"/>
          <w:jc w:val="center"/>
        </w:trPr>
        <w:tc>
          <w:tcPr>
            <w:tcW w:w="1040" w:type="dxa"/>
            <w:tcBorders>
              <w:left w:val="single" w:sz="8" w:space="0" w:color="auto"/>
            </w:tcBorders>
            <w:vAlign w:val="bottom"/>
          </w:tcPr>
          <w:p w:rsidR="00223198" w:rsidRDefault="00223198" w:rsidP="00D75995">
            <w:pPr>
              <w:ind w:right="-50"/>
              <w:rPr>
                <w:sz w:val="20"/>
                <w:szCs w:val="20"/>
              </w:rPr>
            </w:pPr>
          </w:p>
        </w:tc>
        <w:tc>
          <w:tcPr>
            <w:tcW w:w="360" w:type="dxa"/>
            <w:tcBorders>
              <w:right w:val="single" w:sz="8" w:space="0" w:color="auto"/>
            </w:tcBorders>
            <w:vAlign w:val="bottom"/>
          </w:tcPr>
          <w:p w:rsidR="00223198" w:rsidRDefault="00223198" w:rsidP="00D75995">
            <w:pPr>
              <w:ind w:right="-50"/>
              <w:rPr>
                <w:sz w:val="20"/>
                <w:szCs w:val="20"/>
              </w:rPr>
            </w:pPr>
          </w:p>
        </w:tc>
        <w:tc>
          <w:tcPr>
            <w:tcW w:w="760" w:type="dxa"/>
            <w:tcBorders>
              <w:bottom w:val="single" w:sz="8" w:space="0" w:color="auto"/>
            </w:tcBorders>
            <w:vAlign w:val="bottom"/>
          </w:tcPr>
          <w:p w:rsidR="00223198" w:rsidRDefault="00223198" w:rsidP="00D75995">
            <w:pPr>
              <w:ind w:right="-50"/>
              <w:rPr>
                <w:sz w:val="20"/>
                <w:szCs w:val="20"/>
              </w:rPr>
            </w:pPr>
          </w:p>
        </w:tc>
        <w:tc>
          <w:tcPr>
            <w:tcW w:w="120" w:type="dxa"/>
            <w:tcBorders>
              <w:bottom w:val="single" w:sz="8" w:space="0" w:color="auto"/>
            </w:tcBorders>
            <w:vAlign w:val="bottom"/>
          </w:tcPr>
          <w:p w:rsidR="00223198" w:rsidRDefault="00223198" w:rsidP="00D75995">
            <w:pPr>
              <w:ind w:right="-50"/>
              <w:rPr>
                <w:sz w:val="20"/>
                <w:szCs w:val="20"/>
              </w:rPr>
            </w:pPr>
          </w:p>
        </w:tc>
        <w:tc>
          <w:tcPr>
            <w:tcW w:w="300" w:type="dxa"/>
            <w:tcBorders>
              <w:bottom w:val="single" w:sz="8" w:space="0" w:color="auto"/>
            </w:tcBorders>
            <w:vAlign w:val="bottom"/>
          </w:tcPr>
          <w:p w:rsidR="00223198" w:rsidRDefault="00223198" w:rsidP="00D75995">
            <w:pPr>
              <w:ind w:right="-50"/>
              <w:rPr>
                <w:sz w:val="20"/>
                <w:szCs w:val="20"/>
              </w:rPr>
            </w:pPr>
          </w:p>
        </w:tc>
        <w:tc>
          <w:tcPr>
            <w:tcW w:w="360" w:type="dxa"/>
            <w:tcBorders>
              <w:bottom w:val="single" w:sz="8" w:space="0" w:color="auto"/>
            </w:tcBorders>
            <w:vAlign w:val="bottom"/>
          </w:tcPr>
          <w:p w:rsidR="00223198" w:rsidRDefault="00223198" w:rsidP="00D75995">
            <w:pPr>
              <w:ind w:right="-50"/>
              <w:rPr>
                <w:sz w:val="20"/>
                <w:szCs w:val="20"/>
              </w:rPr>
            </w:pPr>
          </w:p>
        </w:tc>
        <w:tc>
          <w:tcPr>
            <w:tcW w:w="200" w:type="dxa"/>
            <w:tcBorders>
              <w:bottom w:val="single" w:sz="8" w:space="0" w:color="auto"/>
            </w:tcBorders>
            <w:vAlign w:val="bottom"/>
          </w:tcPr>
          <w:p w:rsidR="00223198" w:rsidRDefault="00223198" w:rsidP="00D75995">
            <w:pPr>
              <w:ind w:right="-50"/>
              <w:rPr>
                <w:sz w:val="20"/>
                <w:szCs w:val="20"/>
              </w:rPr>
            </w:pPr>
          </w:p>
        </w:tc>
        <w:tc>
          <w:tcPr>
            <w:tcW w:w="600" w:type="dxa"/>
            <w:tcBorders>
              <w:bottom w:val="single" w:sz="8" w:space="0" w:color="auto"/>
              <w:right w:val="single" w:sz="8" w:space="0" w:color="auto"/>
            </w:tcBorders>
            <w:vAlign w:val="bottom"/>
          </w:tcPr>
          <w:p w:rsidR="00223198" w:rsidRDefault="00223198" w:rsidP="00D75995">
            <w:pPr>
              <w:ind w:right="-50"/>
              <w:rPr>
                <w:sz w:val="20"/>
                <w:szCs w:val="20"/>
              </w:rPr>
            </w:pPr>
          </w:p>
        </w:tc>
        <w:tc>
          <w:tcPr>
            <w:tcW w:w="6299" w:type="dxa"/>
            <w:tcBorders>
              <w:bottom w:val="single" w:sz="8" w:space="0" w:color="auto"/>
              <w:right w:val="single" w:sz="8" w:space="0" w:color="auto"/>
            </w:tcBorders>
            <w:vAlign w:val="bottom"/>
          </w:tcPr>
          <w:p w:rsidR="00223198" w:rsidRDefault="00223198" w:rsidP="00D75995">
            <w:pPr>
              <w:ind w:left="80" w:right="-50"/>
              <w:rPr>
                <w:sz w:val="20"/>
                <w:szCs w:val="20"/>
              </w:rPr>
            </w:pPr>
            <w:r>
              <w:rPr>
                <w:rFonts w:eastAsia="Times New Roman"/>
                <w:sz w:val="20"/>
                <w:szCs w:val="20"/>
              </w:rPr>
              <w:t>risque</w:t>
            </w:r>
          </w:p>
        </w:tc>
      </w:tr>
      <w:tr w:rsidR="00BD6A85" w:rsidTr="003204A0">
        <w:trPr>
          <w:trHeight w:val="216"/>
          <w:jc w:val="center"/>
        </w:trPr>
        <w:tc>
          <w:tcPr>
            <w:tcW w:w="1040" w:type="dxa"/>
            <w:tcBorders>
              <w:left w:val="single" w:sz="8" w:space="0" w:color="auto"/>
            </w:tcBorders>
            <w:vAlign w:val="bottom"/>
          </w:tcPr>
          <w:p w:rsidR="00223198" w:rsidRDefault="00223198" w:rsidP="00D75995">
            <w:pPr>
              <w:ind w:right="-50"/>
              <w:rPr>
                <w:sz w:val="18"/>
                <w:szCs w:val="18"/>
              </w:rPr>
            </w:pPr>
          </w:p>
        </w:tc>
        <w:tc>
          <w:tcPr>
            <w:tcW w:w="360" w:type="dxa"/>
            <w:tcBorders>
              <w:right w:val="single" w:sz="8" w:space="0" w:color="auto"/>
            </w:tcBorders>
            <w:vAlign w:val="bottom"/>
          </w:tcPr>
          <w:p w:rsidR="00223198" w:rsidRDefault="00223198" w:rsidP="00D75995">
            <w:pPr>
              <w:ind w:right="-50"/>
              <w:rPr>
                <w:sz w:val="18"/>
                <w:szCs w:val="18"/>
              </w:rPr>
            </w:pPr>
          </w:p>
        </w:tc>
        <w:tc>
          <w:tcPr>
            <w:tcW w:w="760" w:type="dxa"/>
            <w:vAlign w:val="bottom"/>
          </w:tcPr>
          <w:p w:rsidR="00223198" w:rsidRDefault="00223198" w:rsidP="00D75995">
            <w:pPr>
              <w:spacing w:line="216" w:lineRule="exact"/>
              <w:ind w:left="80" w:right="-50"/>
              <w:rPr>
                <w:sz w:val="20"/>
                <w:szCs w:val="20"/>
              </w:rPr>
            </w:pPr>
            <w:r>
              <w:rPr>
                <w:rFonts w:eastAsia="Times New Roman"/>
                <w:sz w:val="20"/>
                <w:szCs w:val="20"/>
              </w:rPr>
              <w:t>Perte</w:t>
            </w:r>
          </w:p>
        </w:tc>
        <w:tc>
          <w:tcPr>
            <w:tcW w:w="420" w:type="dxa"/>
            <w:gridSpan w:val="2"/>
            <w:vAlign w:val="bottom"/>
          </w:tcPr>
          <w:p w:rsidR="00223198" w:rsidRDefault="00223198" w:rsidP="00D75995">
            <w:pPr>
              <w:spacing w:line="216" w:lineRule="exact"/>
              <w:ind w:left="20" w:right="-50"/>
              <w:rPr>
                <w:sz w:val="20"/>
                <w:szCs w:val="20"/>
              </w:rPr>
            </w:pPr>
            <w:r>
              <w:rPr>
                <w:rFonts w:eastAsia="Times New Roman"/>
                <w:sz w:val="20"/>
                <w:szCs w:val="20"/>
              </w:rPr>
              <w:t>de</w:t>
            </w:r>
          </w:p>
        </w:tc>
        <w:tc>
          <w:tcPr>
            <w:tcW w:w="1160" w:type="dxa"/>
            <w:gridSpan w:val="3"/>
            <w:tcBorders>
              <w:right w:val="single" w:sz="8" w:space="0" w:color="auto"/>
            </w:tcBorders>
            <w:vAlign w:val="bottom"/>
          </w:tcPr>
          <w:p w:rsidR="00223198" w:rsidRDefault="00223198" w:rsidP="00D75995">
            <w:pPr>
              <w:spacing w:line="216" w:lineRule="exact"/>
              <w:ind w:right="-50"/>
              <w:jc w:val="right"/>
              <w:rPr>
                <w:sz w:val="20"/>
                <w:szCs w:val="20"/>
              </w:rPr>
            </w:pPr>
            <w:r>
              <w:rPr>
                <w:rFonts w:eastAsia="Times New Roman"/>
                <w:sz w:val="20"/>
                <w:szCs w:val="20"/>
              </w:rPr>
              <w:t>biodiversité</w:t>
            </w:r>
          </w:p>
        </w:tc>
        <w:tc>
          <w:tcPr>
            <w:tcW w:w="6299" w:type="dxa"/>
            <w:tcBorders>
              <w:right w:val="single" w:sz="8" w:space="0" w:color="auto"/>
            </w:tcBorders>
            <w:vAlign w:val="bottom"/>
          </w:tcPr>
          <w:p w:rsidR="00223198" w:rsidRDefault="00223198" w:rsidP="00D75995">
            <w:pPr>
              <w:spacing w:line="216" w:lineRule="exact"/>
              <w:ind w:left="80" w:right="-50"/>
              <w:rPr>
                <w:sz w:val="20"/>
                <w:szCs w:val="20"/>
              </w:rPr>
            </w:pPr>
            <w:r>
              <w:rPr>
                <w:rFonts w:eastAsia="Times New Roman"/>
                <w:sz w:val="20"/>
                <w:szCs w:val="20"/>
              </w:rPr>
              <w:t>Application  de  la  lutte  intégrée  (lutte  biologique,  génétique,</w:t>
            </w:r>
          </w:p>
        </w:tc>
      </w:tr>
      <w:tr w:rsidR="00BD6A85" w:rsidTr="003204A0">
        <w:trPr>
          <w:trHeight w:val="230"/>
          <w:jc w:val="center"/>
        </w:trPr>
        <w:tc>
          <w:tcPr>
            <w:tcW w:w="1040" w:type="dxa"/>
            <w:tcBorders>
              <w:left w:val="single" w:sz="8" w:space="0" w:color="auto"/>
            </w:tcBorders>
            <w:vAlign w:val="bottom"/>
          </w:tcPr>
          <w:p w:rsidR="00223198" w:rsidRDefault="00223198" w:rsidP="00D75995">
            <w:pPr>
              <w:ind w:right="-50"/>
              <w:rPr>
                <w:sz w:val="20"/>
                <w:szCs w:val="20"/>
              </w:rPr>
            </w:pPr>
          </w:p>
        </w:tc>
        <w:tc>
          <w:tcPr>
            <w:tcW w:w="360" w:type="dxa"/>
            <w:tcBorders>
              <w:right w:val="single" w:sz="8" w:space="0" w:color="auto"/>
            </w:tcBorders>
            <w:vAlign w:val="bottom"/>
          </w:tcPr>
          <w:p w:rsidR="00223198" w:rsidRDefault="00223198" w:rsidP="00D75995">
            <w:pPr>
              <w:ind w:right="-50"/>
              <w:rPr>
                <w:sz w:val="20"/>
                <w:szCs w:val="20"/>
              </w:rPr>
            </w:pPr>
          </w:p>
        </w:tc>
        <w:tc>
          <w:tcPr>
            <w:tcW w:w="760" w:type="dxa"/>
            <w:vAlign w:val="bottom"/>
          </w:tcPr>
          <w:p w:rsidR="00223198" w:rsidRDefault="00223198" w:rsidP="00D75995">
            <w:pPr>
              <w:ind w:left="80" w:right="-50"/>
              <w:rPr>
                <w:sz w:val="20"/>
                <w:szCs w:val="20"/>
              </w:rPr>
            </w:pPr>
            <w:r>
              <w:rPr>
                <w:rFonts w:eastAsia="Times New Roman"/>
                <w:sz w:val="20"/>
                <w:szCs w:val="20"/>
              </w:rPr>
              <w:t>terrestre</w:t>
            </w:r>
          </w:p>
        </w:tc>
        <w:tc>
          <w:tcPr>
            <w:tcW w:w="120" w:type="dxa"/>
            <w:vAlign w:val="bottom"/>
          </w:tcPr>
          <w:p w:rsidR="00223198" w:rsidRDefault="00223198" w:rsidP="00D75995">
            <w:pPr>
              <w:ind w:right="-50"/>
              <w:rPr>
                <w:sz w:val="20"/>
                <w:szCs w:val="20"/>
              </w:rPr>
            </w:pPr>
          </w:p>
        </w:tc>
        <w:tc>
          <w:tcPr>
            <w:tcW w:w="660" w:type="dxa"/>
            <w:gridSpan w:val="2"/>
            <w:vAlign w:val="bottom"/>
          </w:tcPr>
          <w:p w:rsidR="00223198" w:rsidRDefault="00223198" w:rsidP="00D75995">
            <w:pPr>
              <w:ind w:left="240" w:right="-50"/>
              <w:rPr>
                <w:sz w:val="20"/>
                <w:szCs w:val="20"/>
              </w:rPr>
            </w:pPr>
            <w:r>
              <w:rPr>
                <w:rFonts w:eastAsia="Times New Roman"/>
                <w:sz w:val="20"/>
                <w:szCs w:val="20"/>
              </w:rPr>
              <w:t>au</w:t>
            </w:r>
          </w:p>
        </w:tc>
        <w:tc>
          <w:tcPr>
            <w:tcW w:w="800" w:type="dxa"/>
            <w:gridSpan w:val="2"/>
            <w:tcBorders>
              <w:right w:val="single" w:sz="8" w:space="0" w:color="auto"/>
            </w:tcBorders>
            <w:vAlign w:val="bottom"/>
          </w:tcPr>
          <w:p w:rsidR="00223198" w:rsidRDefault="00223198" w:rsidP="00D75995">
            <w:pPr>
              <w:ind w:right="-50"/>
              <w:jc w:val="right"/>
              <w:rPr>
                <w:sz w:val="20"/>
                <w:szCs w:val="20"/>
              </w:rPr>
            </w:pPr>
            <w:r>
              <w:rPr>
                <w:rFonts w:eastAsia="Times New Roman"/>
                <w:sz w:val="20"/>
                <w:szCs w:val="20"/>
              </w:rPr>
              <w:t>niveau</w:t>
            </w:r>
          </w:p>
        </w:tc>
        <w:tc>
          <w:tcPr>
            <w:tcW w:w="6299" w:type="dxa"/>
            <w:tcBorders>
              <w:right w:val="single" w:sz="8" w:space="0" w:color="auto"/>
            </w:tcBorders>
            <w:vAlign w:val="bottom"/>
          </w:tcPr>
          <w:p w:rsidR="00223198" w:rsidRDefault="00223198" w:rsidP="00D75995">
            <w:pPr>
              <w:ind w:left="80" w:right="-50"/>
              <w:rPr>
                <w:sz w:val="20"/>
                <w:szCs w:val="20"/>
              </w:rPr>
            </w:pPr>
            <w:r>
              <w:rPr>
                <w:rFonts w:eastAsia="Times New Roman"/>
                <w:sz w:val="20"/>
                <w:szCs w:val="20"/>
              </w:rPr>
              <w:t>utilisation d’attractifs, répulsifs, hormones etc.)</w:t>
            </w:r>
          </w:p>
        </w:tc>
      </w:tr>
      <w:tr w:rsidR="00223198" w:rsidTr="003204A0">
        <w:trPr>
          <w:trHeight w:val="233"/>
          <w:jc w:val="center"/>
        </w:trPr>
        <w:tc>
          <w:tcPr>
            <w:tcW w:w="1040" w:type="dxa"/>
            <w:tcBorders>
              <w:left w:val="single" w:sz="8" w:space="0" w:color="auto"/>
              <w:bottom w:val="single" w:sz="8" w:space="0" w:color="auto"/>
            </w:tcBorders>
            <w:vAlign w:val="bottom"/>
          </w:tcPr>
          <w:p w:rsidR="00223198" w:rsidRDefault="00223198" w:rsidP="00D75995">
            <w:pPr>
              <w:ind w:right="-50"/>
              <w:rPr>
                <w:sz w:val="20"/>
                <w:szCs w:val="20"/>
              </w:rPr>
            </w:pPr>
          </w:p>
        </w:tc>
        <w:tc>
          <w:tcPr>
            <w:tcW w:w="360" w:type="dxa"/>
            <w:tcBorders>
              <w:bottom w:val="single" w:sz="8" w:space="0" w:color="auto"/>
              <w:right w:val="single" w:sz="8" w:space="0" w:color="auto"/>
            </w:tcBorders>
            <w:vAlign w:val="bottom"/>
          </w:tcPr>
          <w:p w:rsidR="00223198" w:rsidRDefault="00223198" w:rsidP="00D75995">
            <w:pPr>
              <w:ind w:right="-50"/>
              <w:rPr>
                <w:sz w:val="20"/>
                <w:szCs w:val="20"/>
              </w:rPr>
            </w:pPr>
          </w:p>
        </w:tc>
        <w:tc>
          <w:tcPr>
            <w:tcW w:w="2340" w:type="dxa"/>
            <w:gridSpan w:val="6"/>
            <w:tcBorders>
              <w:bottom w:val="single" w:sz="8" w:space="0" w:color="auto"/>
              <w:right w:val="single" w:sz="8" w:space="0" w:color="auto"/>
            </w:tcBorders>
            <w:vAlign w:val="bottom"/>
          </w:tcPr>
          <w:p w:rsidR="00223198" w:rsidRDefault="00223198" w:rsidP="00D75995">
            <w:pPr>
              <w:ind w:left="80" w:right="-50"/>
              <w:rPr>
                <w:sz w:val="20"/>
                <w:szCs w:val="20"/>
              </w:rPr>
            </w:pPr>
            <w:r>
              <w:rPr>
                <w:rFonts w:eastAsia="Times New Roman"/>
                <w:sz w:val="20"/>
                <w:szCs w:val="20"/>
              </w:rPr>
              <w:t>individu et communauté</w:t>
            </w:r>
          </w:p>
        </w:tc>
        <w:tc>
          <w:tcPr>
            <w:tcW w:w="6299" w:type="dxa"/>
            <w:tcBorders>
              <w:bottom w:val="single" w:sz="8" w:space="0" w:color="auto"/>
              <w:right w:val="single" w:sz="8" w:space="0" w:color="auto"/>
            </w:tcBorders>
            <w:vAlign w:val="bottom"/>
          </w:tcPr>
          <w:p w:rsidR="00223198" w:rsidRDefault="00223198" w:rsidP="00D75995">
            <w:pPr>
              <w:ind w:right="-50"/>
              <w:rPr>
                <w:sz w:val="20"/>
                <w:szCs w:val="20"/>
              </w:rPr>
            </w:pPr>
          </w:p>
        </w:tc>
      </w:tr>
      <w:tr w:rsidR="00BD6A85" w:rsidTr="003204A0">
        <w:trPr>
          <w:trHeight w:val="217"/>
          <w:jc w:val="center"/>
        </w:trPr>
        <w:tc>
          <w:tcPr>
            <w:tcW w:w="1040" w:type="dxa"/>
            <w:tcBorders>
              <w:left w:val="single" w:sz="8" w:space="0" w:color="auto"/>
            </w:tcBorders>
            <w:vAlign w:val="bottom"/>
          </w:tcPr>
          <w:p w:rsidR="00223198" w:rsidRDefault="00223198" w:rsidP="00D75995">
            <w:pPr>
              <w:spacing w:line="217" w:lineRule="exact"/>
              <w:ind w:left="120" w:right="-50"/>
              <w:rPr>
                <w:sz w:val="20"/>
                <w:szCs w:val="20"/>
              </w:rPr>
            </w:pPr>
            <w:r>
              <w:rPr>
                <w:rFonts w:eastAsia="Times New Roman"/>
                <w:sz w:val="20"/>
                <w:szCs w:val="20"/>
              </w:rPr>
              <w:t>santé</w:t>
            </w:r>
          </w:p>
        </w:tc>
        <w:tc>
          <w:tcPr>
            <w:tcW w:w="360" w:type="dxa"/>
            <w:tcBorders>
              <w:right w:val="single" w:sz="8" w:space="0" w:color="auto"/>
            </w:tcBorders>
            <w:vAlign w:val="bottom"/>
          </w:tcPr>
          <w:p w:rsidR="00223198" w:rsidRDefault="00223198" w:rsidP="00D75995">
            <w:pPr>
              <w:ind w:right="-50"/>
              <w:rPr>
                <w:sz w:val="18"/>
                <w:szCs w:val="18"/>
              </w:rPr>
            </w:pPr>
          </w:p>
        </w:tc>
        <w:tc>
          <w:tcPr>
            <w:tcW w:w="1180" w:type="dxa"/>
            <w:gridSpan w:val="3"/>
            <w:vAlign w:val="bottom"/>
          </w:tcPr>
          <w:p w:rsidR="00223198" w:rsidRDefault="00223198" w:rsidP="00D75995">
            <w:pPr>
              <w:spacing w:line="217" w:lineRule="exact"/>
              <w:ind w:left="80" w:right="-50"/>
              <w:rPr>
                <w:sz w:val="20"/>
                <w:szCs w:val="20"/>
              </w:rPr>
            </w:pPr>
            <w:r>
              <w:rPr>
                <w:rFonts w:eastAsia="Times New Roman"/>
                <w:sz w:val="20"/>
                <w:szCs w:val="20"/>
              </w:rPr>
              <w:t>Intoxication</w:t>
            </w:r>
          </w:p>
        </w:tc>
        <w:tc>
          <w:tcPr>
            <w:tcW w:w="360" w:type="dxa"/>
            <w:vAlign w:val="bottom"/>
          </w:tcPr>
          <w:p w:rsidR="00223198" w:rsidRDefault="00223198" w:rsidP="00D75995">
            <w:pPr>
              <w:ind w:right="-50"/>
              <w:rPr>
                <w:sz w:val="18"/>
                <w:szCs w:val="18"/>
              </w:rPr>
            </w:pPr>
          </w:p>
        </w:tc>
        <w:tc>
          <w:tcPr>
            <w:tcW w:w="200" w:type="dxa"/>
            <w:vAlign w:val="bottom"/>
          </w:tcPr>
          <w:p w:rsidR="00223198" w:rsidRDefault="00223198" w:rsidP="00D75995">
            <w:pPr>
              <w:ind w:right="-50"/>
              <w:rPr>
                <w:sz w:val="18"/>
                <w:szCs w:val="18"/>
              </w:rPr>
            </w:pPr>
          </w:p>
        </w:tc>
        <w:tc>
          <w:tcPr>
            <w:tcW w:w="600" w:type="dxa"/>
            <w:tcBorders>
              <w:right w:val="single" w:sz="8" w:space="0" w:color="auto"/>
            </w:tcBorders>
            <w:vAlign w:val="bottom"/>
          </w:tcPr>
          <w:p w:rsidR="00223198" w:rsidRDefault="00223198" w:rsidP="00D75995">
            <w:pPr>
              <w:ind w:right="-50"/>
              <w:rPr>
                <w:sz w:val="18"/>
                <w:szCs w:val="18"/>
              </w:rPr>
            </w:pPr>
          </w:p>
        </w:tc>
        <w:tc>
          <w:tcPr>
            <w:tcW w:w="6299" w:type="dxa"/>
            <w:tcBorders>
              <w:right w:val="single" w:sz="8" w:space="0" w:color="auto"/>
            </w:tcBorders>
            <w:vAlign w:val="bottom"/>
          </w:tcPr>
          <w:p w:rsidR="00223198" w:rsidRDefault="00223198" w:rsidP="00D75995">
            <w:pPr>
              <w:spacing w:line="217" w:lineRule="exact"/>
              <w:ind w:left="80" w:right="-50"/>
              <w:rPr>
                <w:sz w:val="20"/>
                <w:szCs w:val="20"/>
              </w:rPr>
            </w:pPr>
            <w:r>
              <w:rPr>
                <w:rFonts w:eastAsia="Times New Roman"/>
                <w:sz w:val="20"/>
                <w:szCs w:val="20"/>
              </w:rPr>
              <w:t>Respect des conditions de stockage, d’entrepose des pesticides</w:t>
            </w:r>
          </w:p>
        </w:tc>
      </w:tr>
      <w:tr w:rsidR="00BD6A85" w:rsidTr="003204A0">
        <w:trPr>
          <w:trHeight w:val="228"/>
          <w:jc w:val="center"/>
        </w:trPr>
        <w:tc>
          <w:tcPr>
            <w:tcW w:w="1040" w:type="dxa"/>
            <w:tcBorders>
              <w:left w:val="single" w:sz="8" w:space="0" w:color="auto"/>
            </w:tcBorders>
            <w:vAlign w:val="bottom"/>
          </w:tcPr>
          <w:p w:rsidR="00223198" w:rsidRDefault="00223198" w:rsidP="00D75995">
            <w:pPr>
              <w:ind w:right="-50"/>
              <w:rPr>
                <w:sz w:val="19"/>
                <w:szCs w:val="19"/>
              </w:rPr>
            </w:pPr>
          </w:p>
        </w:tc>
        <w:tc>
          <w:tcPr>
            <w:tcW w:w="360" w:type="dxa"/>
            <w:tcBorders>
              <w:right w:val="single" w:sz="8" w:space="0" w:color="auto"/>
            </w:tcBorders>
            <w:vAlign w:val="bottom"/>
          </w:tcPr>
          <w:p w:rsidR="00223198" w:rsidRDefault="00223198" w:rsidP="00D75995">
            <w:pPr>
              <w:ind w:right="-50"/>
              <w:rPr>
                <w:sz w:val="19"/>
                <w:szCs w:val="19"/>
              </w:rPr>
            </w:pPr>
          </w:p>
        </w:tc>
        <w:tc>
          <w:tcPr>
            <w:tcW w:w="1540" w:type="dxa"/>
            <w:gridSpan w:val="4"/>
            <w:vAlign w:val="bottom"/>
          </w:tcPr>
          <w:p w:rsidR="00223198" w:rsidRDefault="00223198" w:rsidP="00D75995">
            <w:pPr>
              <w:spacing w:line="228" w:lineRule="exact"/>
              <w:ind w:left="80" w:right="-50"/>
              <w:rPr>
                <w:sz w:val="20"/>
                <w:szCs w:val="20"/>
              </w:rPr>
            </w:pPr>
            <w:r>
              <w:rPr>
                <w:rFonts w:eastAsia="Times New Roman"/>
                <w:sz w:val="20"/>
                <w:szCs w:val="20"/>
              </w:rPr>
              <w:t>Empoisonnement</w:t>
            </w:r>
          </w:p>
        </w:tc>
        <w:tc>
          <w:tcPr>
            <w:tcW w:w="200" w:type="dxa"/>
            <w:vAlign w:val="bottom"/>
          </w:tcPr>
          <w:p w:rsidR="00223198" w:rsidRDefault="00223198" w:rsidP="00D75995">
            <w:pPr>
              <w:ind w:right="-50"/>
              <w:rPr>
                <w:sz w:val="19"/>
                <w:szCs w:val="19"/>
              </w:rPr>
            </w:pPr>
          </w:p>
        </w:tc>
        <w:tc>
          <w:tcPr>
            <w:tcW w:w="600" w:type="dxa"/>
            <w:tcBorders>
              <w:right w:val="single" w:sz="8" w:space="0" w:color="auto"/>
            </w:tcBorders>
            <w:vAlign w:val="bottom"/>
          </w:tcPr>
          <w:p w:rsidR="00223198" w:rsidRDefault="00223198" w:rsidP="00D75995">
            <w:pPr>
              <w:ind w:right="-50"/>
              <w:rPr>
                <w:sz w:val="19"/>
                <w:szCs w:val="19"/>
              </w:rPr>
            </w:pPr>
          </w:p>
        </w:tc>
        <w:tc>
          <w:tcPr>
            <w:tcW w:w="6299" w:type="dxa"/>
            <w:tcBorders>
              <w:right w:val="single" w:sz="8" w:space="0" w:color="auto"/>
            </w:tcBorders>
            <w:vAlign w:val="bottom"/>
          </w:tcPr>
          <w:p w:rsidR="00223198" w:rsidRDefault="00BD6A85" w:rsidP="00D75995">
            <w:pPr>
              <w:spacing w:line="228" w:lineRule="exact"/>
              <w:ind w:left="80" w:right="-50"/>
              <w:rPr>
                <w:sz w:val="20"/>
                <w:szCs w:val="20"/>
              </w:rPr>
            </w:pPr>
            <w:r>
              <w:rPr>
                <w:rFonts w:eastAsia="Times New Roman"/>
                <w:sz w:val="20"/>
                <w:szCs w:val="20"/>
              </w:rPr>
              <w:t>Sensibilisation des</w:t>
            </w:r>
            <w:r w:rsidR="00223198">
              <w:rPr>
                <w:rFonts w:eastAsia="Times New Roman"/>
                <w:sz w:val="20"/>
                <w:szCs w:val="20"/>
              </w:rPr>
              <w:t xml:space="preserve">  populations  sur  les  risques  d’intoxication</w:t>
            </w:r>
          </w:p>
        </w:tc>
      </w:tr>
      <w:tr w:rsidR="00BD6A85" w:rsidTr="003204A0">
        <w:trPr>
          <w:trHeight w:val="230"/>
          <w:jc w:val="center"/>
        </w:trPr>
        <w:tc>
          <w:tcPr>
            <w:tcW w:w="1040" w:type="dxa"/>
            <w:tcBorders>
              <w:left w:val="single" w:sz="8" w:space="0" w:color="auto"/>
            </w:tcBorders>
            <w:vAlign w:val="bottom"/>
          </w:tcPr>
          <w:p w:rsidR="00223198" w:rsidRDefault="00223198" w:rsidP="00D75995">
            <w:pPr>
              <w:ind w:right="-50"/>
              <w:rPr>
                <w:sz w:val="20"/>
                <w:szCs w:val="20"/>
              </w:rPr>
            </w:pPr>
          </w:p>
        </w:tc>
        <w:tc>
          <w:tcPr>
            <w:tcW w:w="360" w:type="dxa"/>
            <w:tcBorders>
              <w:right w:val="single" w:sz="8" w:space="0" w:color="auto"/>
            </w:tcBorders>
            <w:vAlign w:val="bottom"/>
          </w:tcPr>
          <w:p w:rsidR="00223198" w:rsidRDefault="00223198" w:rsidP="00D75995">
            <w:pPr>
              <w:ind w:right="-50"/>
              <w:rPr>
                <w:sz w:val="20"/>
                <w:szCs w:val="20"/>
              </w:rPr>
            </w:pPr>
          </w:p>
        </w:tc>
        <w:tc>
          <w:tcPr>
            <w:tcW w:w="760" w:type="dxa"/>
            <w:vAlign w:val="bottom"/>
          </w:tcPr>
          <w:p w:rsidR="00223198" w:rsidRDefault="00223198" w:rsidP="00D75995">
            <w:pPr>
              <w:ind w:left="80" w:right="-50"/>
              <w:rPr>
                <w:sz w:val="20"/>
                <w:szCs w:val="20"/>
              </w:rPr>
            </w:pPr>
            <w:r>
              <w:rPr>
                <w:rFonts w:eastAsia="Times New Roman"/>
                <w:sz w:val="20"/>
                <w:szCs w:val="20"/>
              </w:rPr>
              <w:t>Décès</w:t>
            </w:r>
          </w:p>
        </w:tc>
        <w:tc>
          <w:tcPr>
            <w:tcW w:w="120" w:type="dxa"/>
            <w:vAlign w:val="bottom"/>
          </w:tcPr>
          <w:p w:rsidR="00223198" w:rsidRDefault="00223198" w:rsidP="00D75995">
            <w:pPr>
              <w:ind w:right="-50"/>
              <w:rPr>
                <w:sz w:val="20"/>
                <w:szCs w:val="20"/>
              </w:rPr>
            </w:pPr>
          </w:p>
        </w:tc>
        <w:tc>
          <w:tcPr>
            <w:tcW w:w="300" w:type="dxa"/>
            <w:vAlign w:val="bottom"/>
          </w:tcPr>
          <w:p w:rsidR="00223198" w:rsidRDefault="00223198" w:rsidP="00D75995">
            <w:pPr>
              <w:ind w:right="-50"/>
              <w:rPr>
                <w:sz w:val="20"/>
                <w:szCs w:val="20"/>
              </w:rPr>
            </w:pPr>
          </w:p>
        </w:tc>
        <w:tc>
          <w:tcPr>
            <w:tcW w:w="360" w:type="dxa"/>
            <w:vAlign w:val="bottom"/>
          </w:tcPr>
          <w:p w:rsidR="00223198" w:rsidRDefault="00223198" w:rsidP="00D75995">
            <w:pPr>
              <w:ind w:right="-50"/>
              <w:rPr>
                <w:sz w:val="20"/>
                <w:szCs w:val="20"/>
              </w:rPr>
            </w:pPr>
          </w:p>
        </w:tc>
        <w:tc>
          <w:tcPr>
            <w:tcW w:w="200" w:type="dxa"/>
            <w:vAlign w:val="bottom"/>
          </w:tcPr>
          <w:p w:rsidR="00223198" w:rsidRDefault="00223198" w:rsidP="00D75995">
            <w:pPr>
              <w:ind w:right="-50"/>
              <w:rPr>
                <w:sz w:val="20"/>
                <w:szCs w:val="20"/>
              </w:rPr>
            </w:pPr>
          </w:p>
        </w:tc>
        <w:tc>
          <w:tcPr>
            <w:tcW w:w="600" w:type="dxa"/>
            <w:tcBorders>
              <w:right w:val="single" w:sz="8" w:space="0" w:color="auto"/>
            </w:tcBorders>
            <w:vAlign w:val="bottom"/>
          </w:tcPr>
          <w:p w:rsidR="00223198" w:rsidRDefault="00223198" w:rsidP="00D75995">
            <w:pPr>
              <w:ind w:right="-50"/>
              <w:rPr>
                <w:sz w:val="20"/>
                <w:szCs w:val="20"/>
              </w:rPr>
            </w:pPr>
          </w:p>
        </w:tc>
        <w:tc>
          <w:tcPr>
            <w:tcW w:w="6299" w:type="dxa"/>
            <w:tcBorders>
              <w:right w:val="single" w:sz="8" w:space="0" w:color="auto"/>
            </w:tcBorders>
            <w:vAlign w:val="bottom"/>
          </w:tcPr>
          <w:p w:rsidR="00223198" w:rsidRDefault="00223198" w:rsidP="00D75995">
            <w:pPr>
              <w:ind w:left="80" w:right="-50"/>
              <w:rPr>
                <w:sz w:val="20"/>
                <w:szCs w:val="20"/>
              </w:rPr>
            </w:pPr>
            <w:r>
              <w:rPr>
                <w:rFonts w:eastAsia="Times New Roman"/>
                <w:sz w:val="20"/>
                <w:szCs w:val="20"/>
              </w:rPr>
              <w:t>alimentaire</w:t>
            </w:r>
          </w:p>
        </w:tc>
      </w:tr>
      <w:tr w:rsidR="00BD6A85" w:rsidTr="003204A0">
        <w:trPr>
          <w:trHeight w:val="230"/>
          <w:jc w:val="center"/>
        </w:trPr>
        <w:tc>
          <w:tcPr>
            <w:tcW w:w="1040" w:type="dxa"/>
            <w:tcBorders>
              <w:left w:val="single" w:sz="8" w:space="0" w:color="auto"/>
            </w:tcBorders>
            <w:vAlign w:val="bottom"/>
          </w:tcPr>
          <w:p w:rsidR="00223198" w:rsidRDefault="00223198" w:rsidP="00D75995">
            <w:pPr>
              <w:ind w:right="-50"/>
              <w:rPr>
                <w:sz w:val="20"/>
                <w:szCs w:val="20"/>
              </w:rPr>
            </w:pPr>
          </w:p>
        </w:tc>
        <w:tc>
          <w:tcPr>
            <w:tcW w:w="360" w:type="dxa"/>
            <w:tcBorders>
              <w:right w:val="single" w:sz="8" w:space="0" w:color="auto"/>
            </w:tcBorders>
            <w:vAlign w:val="bottom"/>
          </w:tcPr>
          <w:p w:rsidR="00223198" w:rsidRDefault="00223198" w:rsidP="00D75995">
            <w:pPr>
              <w:ind w:right="-50"/>
              <w:rPr>
                <w:sz w:val="20"/>
                <w:szCs w:val="20"/>
              </w:rPr>
            </w:pPr>
          </w:p>
        </w:tc>
        <w:tc>
          <w:tcPr>
            <w:tcW w:w="760" w:type="dxa"/>
            <w:vAlign w:val="bottom"/>
          </w:tcPr>
          <w:p w:rsidR="00223198" w:rsidRDefault="00223198" w:rsidP="00D75995">
            <w:pPr>
              <w:ind w:left="80" w:right="-50"/>
              <w:rPr>
                <w:sz w:val="20"/>
                <w:szCs w:val="20"/>
              </w:rPr>
            </w:pPr>
            <w:r>
              <w:rPr>
                <w:rFonts w:eastAsia="Times New Roman"/>
                <w:sz w:val="20"/>
                <w:szCs w:val="20"/>
              </w:rPr>
              <w:t>Baisse</w:t>
            </w:r>
          </w:p>
        </w:tc>
        <w:tc>
          <w:tcPr>
            <w:tcW w:w="120" w:type="dxa"/>
            <w:vAlign w:val="bottom"/>
          </w:tcPr>
          <w:p w:rsidR="00223198" w:rsidRDefault="00223198" w:rsidP="00D75995">
            <w:pPr>
              <w:ind w:right="-50"/>
              <w:rPr>
                <w:sz w:val="20"/>
                <w:szCs w:val="20"/>
              </w:rPr>
            </w:pPr>
          </w:p>
        </w:tc>
        <w:tc>
          <w:tcPr>
            <w:tcW w:w="300" w:type="dxa"/>
            <w:vAlign w:val="bottom"/>
          </w:tcPr>
          <w:p w:rsidR="00223198" w:rsidRDefault="00223198" w:rsidP="00D75995">
            <w:pPr>
              <w:ind w:left="20" w:right="-50"/>
              <w:rPr>
                <w:sz w:val="20"/>
                <w:szCs w:val="20"/>
              </w:rPr>
            </w:pPr>
            <w:r>
              <w:rPr>
                <w:rFonts w:eastAsia="Times New Roman"/>
                <w:sz w:val="20"/>
                <w:szCs w:val="20"/>
              </w:rPr>
              <w:t>du</w:t>
            </w:r>
          </w:p>
        </w:tc>
        <w:tc>
          <w:tcPr>
            <w:tcW w:w="560" w:type="dxa"/>
            <w:gridSpan w:val="2"/>
            <w:vAlign w:val="bottom"/>
          </w:tcPr>
          <w:p w:rsidR="00223198" w:rsidRDefault="00223198" w:rsidP="00D75995">
            <w:pPr>
              <w:ind w:left="200" w:right="-50"/>
              <w:rPr>
                <w:sz w:val="20"/>
                <w:szCs w:val="20"/>
              </w:rPr>
            </w:pPr>
            <w:r>
              <w:rPr>
                <w:rFonts w:eastAsia="Times New Roman"/>
                <w:w w:val="98"/>
                <w:sz w:val="20"/>
                <w:szCs w:val="20"/>
              </w:rPr>
              <w:t>taux</w:t>
            </w:r>
          </w:p>
        </w:tc>
        <w:tc>
          <w:tcPr>
            <w:tcW w:w="600" w:type="dxa"/>
            <w:tcBorders>
              <w:right w:val="single" w:sz="8" w:space="0" w:color="auto"/>
            </w:tcBorders>
            <w:vAlign w:val="bottom"/>
          </w:tcPr>
          <w:p w:rsidR="00223198" w:rsidRDefault="00223198" w:rsidP="00D75995">
            <w:pPr>
              <w:ind w:right="-50"/>
              <w:jc w:val="right"/>
              <w:rPr>
                <w:sz w:val="20"/>
                <w:szCs w:val="20"/>
              </w:rPr>
            </w:pPr>
            <w:r>
              <w:rPr>
                <w:rFonts w:eastAsia="Times New Roman"/>
                <w:sz w:val="20"/>
                <w:szCs w:val="20"/>
              </w:rPr>
              <w:t>de</w:t>
            </w:r>
          </w:p>
        </w:tc>
        <w:tc>
          <w:tcPr>
            <w:tcW w:w="6299" w:type="dxa"/>
            <w:tcBorders>
              <w:right w:val="single" w:sz="8" w:space="0" w:color="auto"/>
            </w:tcBorders>
            <w:vAlign w:val="bottom"/>
          </w:tcPr>
          <w:p w:rsidR="00223198" w:rsidRDefault="00223198" w:rsidP="00D75995">
            <w:pPr>
              <w:ind w:left="80" w:right="-50"/>
              <w:rPr>
                <w:sz w:val="20"/>
                <w:szCs w:val="20"/>
              </w:rPr>
            </w:pPr>
            <w:r>
              <w:rPr>
                <w:rFonts w:eastAsia="Times New Roman"/>
                <w:sz w:val="20"/>
                <w:szCs w:val="20"/>
              </w:rPr>
              <w:t>Application stricte des mesures rationnelles d’utilisation</w:t>
            </w:r>
          </w:p>
        </w:tc>
      </w:tr>
      <w:tr w:rsidR="00BD6A85" w:rsidTr="003204A0">
        <w:trPr>
          <w:trHeight w:val="235"/>
          <w:jc w:val="center"/>
        </w:trPr>
        <w:tc>
          <w:tcPr>
            <w:tcW w:w="1040" w:type="dxa"/>
            <w:tcBorders>
              <w:left w:val="single" w:sz="8" w:space="0" w:color="auto"/>
              <w:bottom w:val="single" w:sz="8" w:space="0" w:color="auto"/>
            </w:tcBorders>
            <w:vAlign w:val="bottom"/>
          </w:tcPr>
          <w:p w:rsidR="00223198" w:rsidRDefault="00223198" w:rsidP="00D75995">
            <w:pPr>
              <w:ind w:right="-50"/>
              <w:rPr>
                <w:sz w:val="20"/>
                <w:szCs w:val="20"/>
              </w:rPr>
            </w:pPr>
          </w:p>
        </w:tc>
        <w:tc>
          <w:tcPr>
            <w:tcW w:w="360" w:type="dxa"/>
            <w:tcBorders>
              <w:bottom w:val="single" w:sz="8" w:space="0" w:color="auto"/>
              <w:right w:val="single" w:sz="8" w:space="0" w:color="auto"/>
            </w:tcBorders>
            <w:vAlign w:val="bottom"/>
          </w:tcPr>
          <w:p w:rsidR="00223198" w:rsidRDefault="00223198" w:rsidP="00D75995">
            <w:pPr>
              <w:ind w:right="-50"/>
              <w:rPr>
                <w:sz w:val="20"/>
                <w:szCs w:val="20"/>
              </w:rPr>
            </w:pPr>
          </w:p>
        </w:tc>
        <w:tc>
          <w:tcPr>
            <w:tcW w:w="1540" w:type="dxa"/>
            <w:gridSpan w:val="4"/>
            <w:tcBorders>
              <w:bottom w:val="single" w:sz="8" w:space="0" w:color="auto"/>
            </w:tcBorders>
            <w:vAlign w:val="bottom"/>
          </w:tcPr>
          <w:p w:rsidR="00223198" w:rsidRDefault="00223198" w:rsidP="00D75995">
            <w:pPr>
              <w:ind w:left="80" w:right="-50"/>
              <w:rPr>
                <w:sz w:val="20"/>
                <w:szCs w:val="20"/>
              </w:rPr>
            </w:pPr>
            <w:r>
              <w:rPr>
                <w:rFonts w:eastAsia="Times New Roman"/>
                <w:sz w:val="20"/>
                <w:szCs w:val="20"/>
              </w:rPr>
              <w:t>cholinestérase</w:t>
            </w:r>
          </w:p>
        </w:tc>
        <w:tc>
          <w:tcPr>
            <w:tcW w:w="200" w:type="dxa"/>
            <w:tcBorders>
              <w:bottom w:val="single" w:sz="8" w:space="0" w:color="auto"/>
            </w:tcBorders>
            <w:vAlign w:val="bottom"/>
          </w:tcPr>
          <w:p w:rsidR="00223198" w:rsidRDefault="00223198" w:rsidP="00D75995">
            <w:pPr>
              <w:ind w:right="-50"/>
              <w:rPr>
                <w:sz w:val="20"/>
                <w:szCs w:val="20"/>
              </w:rPr>
            </w:pPr>
          </w:p>
        </w:tc>
        <w:tc>
          <w:tcPr>
            <w:tcW w:w="600" w:type="dxa"/>
            <w:tcBorders>
              <w:bottom w:val="single" w:sz="8" w:space="0" w:color="auto"/>
              <w:right w:val="single" w:sz="8" w:space="0" w:color="auto"/>
            </w:tcBorders>
            <w:vAlign w:val="bottom"/>
          </w:tcPr>
          <w:p w:rsidR="00223198" w:rsidRDefault="00223198" w:rsidP="00D75995">
            <w:pPr>
              <w:ind w:right="-50"/>
              <w:rPr>
                <w:sz w:val="20"/>
                <w:szCs w:val="20"/>
              </w:rPr>
            </w:pPr>
          </w:p>
        </w:tc>
        <w:tc>
          <w:tcPr>
            <w:tcW w:w="6299" w:type="dxa"/>
            <w:tcBorders>
              <w:bottom w:val="single" w:sz="8" w:space="0" w:color="auto"/>
              <w:right w:val="single" w:sz="8" w:space="0" w:color="auto"/>
            </w:tcBorders>
            <w:vAlign w:val="bottom"/>
          </w:tcPr>
          <w:p w:rsidR="00223198" w:rsidRDefault="00223198" w:rsidP="00D75995">
            <w:pPr>
              <w:ind w:left="80" w:right="-50"/>
              <w:rPr>
                <w:sz w:val="20"/>
                <w:szCs w:val="20"/>
              </w:rPr>
            </w:pPr>
            <w:r>
              <w:rPr>
                <w:rFonts w:eastAsia="Times New Roman"/>
                <w:sz w:val="20"/>
                <w:szCs w:val="20"/>
              </w:rPr>
              <w:t>Utilisation des équipements de protection</w:t>
            </w:r>
          </w:p>
        </w:tc>
      </w:tr>
    </w:tbl>
    <w:p w:rsidR="00C96645" w:rsidRPr="00D3585B" w:rsidRDefault="00C96645" w:rsidP="00D75995">
      <w:pPr>
        <w:ind w:left="426" w:right="-50"/>
        <w:jc w:val="both"/>
        <w:rPr>
          <w:rFonts w:eastAsia="Calibri"/>
          <w:sz w:val="21"/>
          <w:szCs w:val="21"/>
        </w:rPr>
      </w:pPr>
    </w:p>
    <w:p w:rsidR="003A39C7" w:rsidRPr="00D3585B" w:rsidRDefault="003A39C7" w:rsidP="00D75995">
      <w:pPr>
        <w:ind w:right="-50"/>
        <w:rPr>
          <w:sz w:val="22"/>
          <w:szCs w:val="22"/>
        </w:rPr>
      </w:pPr>
    </w:p>
    <w:p w:rsidR="003C76AE" w:rsidRPr="00D3585B" w:rsidRDefault="003C76AE" w:rsidP="005E613E">
      <w:pPr>
        <w:keepNext/>
        <w:spacing w:line="276" w:lineRule="auto"/>
        <w:ind w:left="284" w:right="-851"/>
        <w:jc w:val="both"/>
        <w:outlineLvl w:val="1"/>
        <w:rPr>
          <w:rFonts w:eastAsia="Calibri"/>
          <w:b/>
          <w:sz w:val="28"/>
          <w:szCs w:val="28"/>
        </w:rPr>
      </w:pPr>
      <w:bookmarkStart w:id="492" w:name="_Toc69918784"/>
      <w:bookmarkStart w:id="493" w:name="_Toc73459830"/>
      <w:r w:rsidRPr="00D3585B">
        <w:rPr>
          <w:rFonts w:eastAsia="Calibri"/>
          <w:b/>
          <w:sz w:val="28"/>
          <w:szCs w:val="28"/>
        </w:rPr>
        <w:t>Maîtrise des pesticides utilisés en protection des cultures</w:t>
      </w:r>
      <w:bookmarkEnd w:id="492"/>
      <w:bookmarkEnd w:id="493"/>
    </w:p>
    <w:p w:rsidR="007418E7" w:rsidRPr="003F5F8A" w:rsidRDefault="007B7194" w:rsidP="005E613E">
      <w:pPr>
        <w:ind w:left="284" w:right="-851"/>
        <w:jc w:val="both"/>
        <w:rPr>
          <w:sz w:val="21"/>
          <w:szCs w:val="21"/>
        </w:rPr>
      </w:pPr>
      <w:r w:rsidRPr="003F5F8A">
        <w:rPr>
          <w:sz w:val="21"/>
          <w:szCs w:val="21"/>
        </w:rPr>
        <w:t>Le PGPP est conçu pour minimiser les effets potentiels négatifs</w:t>
      </w:r>
      <w:r w:rsidR="007418E7" w:rsidRPr="003F5F8A">
        <w:rPr>
          <w:sz w:val="21"/>
          <w:szCs w:val="21"/>
        </w:rPr>
        <w:t xml:space="preserve"> </w:t>
      </w:r>
      <w:r w:rsidRPr="003F5F8A">
        <w:rPr>
          <w:sz w:val="21"/>
          <w:szCs w:val="21"/>
        </w:rPr>
        <w:t>sur la santé humaine, animale et</w:t>
      </w:r>
      <w:r w:rsidR="007418E7" w:rsidRPr="003F5F8A">
        <w:rPr>
          <w:sz w:val="21"/>
          <w:szCs w:val="21"/>
        </w:rPr>
        <w:t xml:space="preserve"> l’environnement. </w:t>
      </w:r>
      <w:r w:rsidRPr="003F5F8A">
        <w:rPr>
          <w:sz w:val="21"/>
          <w:szCs w:val="21"/>
        </w:rPr>
        <w:t>Le présent PGPP</w:t>
      </w:r>
      <w:r w:rsidR="007418E7" w:rsidRPr="003F5F8A">
        <w:rPr>
          <w:sz w:val="21"/>
          <w:szCs w:val="21"/>
        </w:rPr>
        <w:t xml:space="preserve"> </w:t>
      </w:r>
      <w:r w:rsidRPr="003F5F8A">
        <w:rPr>
          <w:sz w:val="21"/>
          <w:szCs w:val="21"/>
        </w:rPr>
        <w:t>appui les initiatives nationales et locales en</w:t>
      </w:r>
      <w:r w:rsidR="007418E7" w:rsidRPr="003F5F8A">
        <w:rPr>
          <w:sz w:val="21"/>
          <w:szCs w:val="21"/>
        </w:rPr>
        <w:t xml:space="preserve"> </w:t>
      </w:r>
      <w:r w:rsidRPr="003F5F8A">
        <w:rPr>
          <w:sz w:val="21"/>
          <w:szCs w:val="21"/>
        </w:rPr>
        <w:t>cours ou en perspective dans</w:t>
      </w:r>
      <w:r w:rsidR="007418E7" w:rsidRPr="003F5F8A">
        <w:rPr>
          <w:sz w:val="21"/>
          <w:szCs w:val="21"/>
        </w:rPr>
        <w:t xml:space="preserve"> </w:t>
      </w:r>
      <w:r w:rsidRPr="003F5F8A">
        <w:rPr>
          <w:sz w:val="21"/>
          <w:szCs w:val="21"/>
        </w:rPr>
        <w:t>la zone</w:t>
      </w:r>
      <w:r w:rsidR="007418E7" w:rsidRPr="003F5F8A">
        <w:rPr>
          <w:sz w:val="21"/>
          <w:szCs w:val="21"/>
        </w:rPr>
        <w:t xml:space="preserve"> d’intervention </w:t>
      </w:r>
      <w:r w:rsidRPr="003F5F8A">
        <w:rPr>
          <w:sz w:val="21"/>
          <w:szCs w:val="21"/>
        </w:rPr>
        <w:t>du projet</w:t>
      </w:r>
      <w:r w:rsidR="007418E7" w:rsidRPr="003F5F8A">
        <w:rPr>
          <w:sz w:val="21"/>
          <w:szCs w:val="21"/>
        </w:rPr>
        <w:t xml:space="preserve">, et s’inscrit dans le cadre des stratégies nationales existantes, renforçant ainsi les synergies et les </w:t>
      </w:r>
      <w:r w:rsidRPr="003F5F8A">
        <w:rPr>
          <w:sz w:val="21"/>
          <w:szCs w:val="21"/>
        </w:rPr>
        <w:t>complémentarités tout</w:t>
      </w:r>
      <w:r w:rsidR="007418E7" w:rsidRPr="003F5F8A">
        <w:rPr>
          <w:sz w:val="21"/>
          <w:szCs w:val="21"/>
        </w:rPr>
        <w:t xml:space="preserve"> en évitant les duplications.</w:t>
      </w:r>
    </w:p>
    <w:p w:rsidR="003C76AE" w:rsidRPr="003F5F8A" w:rsidRDefault="003C76AE" w:rsidP="005E613E">
      <w:pPr>
        <w:ind w:right="-851"/>
        <w:jc w:val="both"/>
        <w:rPr>
          <w:sz w:val="21"/>
          <w:szCs w:val="21"/>
        </w:rPr>
      </w:pPr>
    </w:p>
    <w:p w:rsidR="007418E7" w:rsidRPr="003F5F8A" w:rsidRDefault="007418E7" w:rsidP="005E613E">
      <w:pPr>
        <w:pStyle w:val="PargrafodaLista"/>
        <w:keepNext/>
        <w:numPr>
          <w:ilvl w:val="0"/>
          <w:numId w:val="142"/>
        </w:numPr>
        <w:ind w:right="-851"/>
        <w:jc w:val="both"/>
        <w:outlineLvl w:val="1"/>
        <w:rPr>
          <w:rFonts w:ascii="Times New Roman" w:hAnsi="Times New Roman"/>
          <w:b/>
          <w:sz w:val="21"/>
          <w:szCs w:val="21"/>
        </w:rPr>
      </w:pPr>
      <w:bookmarkStart w:id="494" w:name="_Toc73459831"/>
      <w:bookmarkStart w:id="495" w:name="_Toc521939535"/>
      <w:bookmarkStart w:id="496" w:name="_Toc62927862"/>
      <w:bookmarkStart w:id="497" w:name="_Toc63695104"/>
      <w:bookmarkStart w:id="498" w:name="_Toc67508595"/>
      <w:bookmarkStart w:id="499" w:name="_Toc69918785"/>
      <w:r w:rsidRPr="003F5F8A">
        <w:rPr>
          <w:rFonts w:ascii="Times New Roman" w:hAnsi="Times New Roman"/>
          <w:b/>
          <w:sz w:val="21"/>
          <w:szCs w:val="21"/>
        </w:rPr>
        <w:t>Pestes en agriculture</w:t>
      </w:r>
      <w:bookmarkEnd w:id="494"/>
      <w:r w:rsidRPr="003F5F8A">
        <w:rPr>
          <w:rFonts w:ascii="Times New Roman" w:hAnsi="Times New Roman"/>
          <w:b/>
          <w:sz w:val="21"/>
          <w:szCs w:val="21"/>
        </w:rPr>
        <w:t xml:space="preserve"> </w:t>
      </w:r>
      <w:bookmarkEnd w:id="495"/>
      <w:bookmarkEnd w:id="496"/>
      <w:bookmarkEnd w:id="497"/>
      <w:bookmarkEnd w:id="498"/>
      <w:bookmarkEnd w:id="499"/>
    </w:p>
    <w:p w:rsidR="007418E7" w:rsidRPr="003F5F8A" w:rsidRDefault="00513A6A" w:rsidP="005E613E">
      <w:pPr>
        <w:ind w:left="284" w:right="-851"/>
        <w:jc w:val="both"/>
        <w:rPr>
          <w:sz w:val="21"/>
          <w:szCs w:val="21"/>
        </w:rPr>
      </w:pPr>
      <w:r w:rsidRPr="003F5F8A">
        <w:rPr>
          <w:sz w:val="21"/>
          <w:szCs w:val="21"/>
        </w:rPr>
        <w:t>Les principaux nuisibles sont composés d’insectes, d’oiseaux granivores, de mauvaises herbes, de</w:t>
      </w:r>
      <w:r w:rsidR="007418E7" w:rsidRPr="003F5F8A">
        <w:rPr>
          <w:sz w:val="21"/>
          <w:szCs w:val="21"/>
        </w:rPr>
        <w:t xml:space="preserve"> </w:t>
      </w:r>
      <w:r w:rsidRPr="003F5F8A">
        <w:rPr>
          <w:sz w:val="21"/>
          <w:szCs w:val="21"/>
        </w:rPr>
        <w:t>champignons et de</w:t>
      </w:r>
      <w:r w:rsidR="007418E7" w:rsidRPr="003F5F8A">
        <w:rPr>
          <w:sz w:val="21"/>
          <w:szCs w:val="21"/>
        </w:rPr>
        <w:t xml:space="preserve">   </w:t>
      </w:r>
      <w:r w:rsidRPr="003F5F8A">
        <w:rPr>
          <w:sz w:val="21"/>
          <w:szCs w:val="21"/>
        </w:rPr>
        <w:t xml:space="preserve">nombreuses maladies dont la non prise en charge en protection </w:t>
      </w:r>
      <w:r w:rsidR="005053E2" w:rsidRPr="003F5F8A">
        <w:rPr>
          <w:sz w:val="21"/>
          <w:szCs w:val="21"/>
        </w:rPr>
        <w:t>des végétaux</w:t>
      </w:r>
      <w:r w:rsidR="007418E7" w:rsidRPr="003F5F8A">
        <w:rPr>
          <w:sz w:val="21"/>
          <w:szCs w:val="21"/>
        </w:rPr>
        <w:t xml:space="preserve"> provient de la méconnaissance de leurs méfaits dans les systèmes de production. </w:t>
      </w:r>
      <w:r w:rsidR="004865FA" w:rsidRPr="003F5F8A">
        <w:rPr>
          <w:sz w:val="21"/>
          <w:szCs w:val="21"/>
        </w:rPr>
        <w:t>En guinée Bissau</w:t>
      </w:r>
      <w:r w:rsidR="007418E7" w:rsidRPr="003F5F8A">
        <w:rPr>
          <w:sz w:val="21"/>
          <w:szCs w:val="21"/>
        </w:rPr>
        <w:t xml:space="preserve">, il est noté </w:t>
      </w:r>
      <w:r w:rsidRPr="003F5F8A">
        <w:rPr>
          <w:sz w:val="21"/>
          <w:szCs w:val="21"/>
        </w:rPr>
        <w:t>que les dégâts causés par les insectes sont les plus remarquables</w:t>
      </w:r>
      <w:r w:rsidR="007418E7" w:rsidRPr="003F5F8A">
        <w:rPr>
          <w:sz w:val="21"/>
          <w:szCs w:val="21"/>
        </w:rPr>
        <w:t xml:space="preserve"> au niveau des cultures et des stocks imprimant ainsi une orientation lors des choix des produits de traitement et des méthodes de lutte.</w:t>
      </w:r>
    </w:p>
    <w:p w:rsidR="007418E7" w:rsidRPr="003F5F8A" w:rsidRDefault="003C76AE" w:rsidP="005E613E">
      <w:pPr>
        <w:ind w:left="284" w:right="-851"/>
        <w:jc w:val="both"/>
        <w:rPr>
          <w:sz w:val="21"/>
          <w:szCs w:val="21"/>
        </w:rPr>
      </w:pPr>
      <w:r w:rsidRPr="003F5F8A">
        <w:rPr>
          <w:sz w:val="21"/>
          <w:szCs w:val="21"/>
        </w:rPr>
        <w:t xml:space="preserve">La Guinée </w:t>
      </w:r>
      <w:r w:rsidR="00513A6A" w:rsidRPr="003F5F8A">
        <w:rPr>
          <w:sz w:val="21"/>
          <w:szCs w:val="21"/>
        </w:rPr>
        <w:t>Bissau</w:t>
      </w:r>
      <w:r w:rsidRPr="003F5F8A">
        <w:rPr>
          <w:sz w:val="21"/>
          <w:szCs w:val="21"/>
        </w:rPr>
        <w:t xml:space="preserve"> est </w:t>
      </w:r>
      <w:r w:rsidR="005053E2" w:rsidRPr="003F5F8A">
        <w:rPr>
          <w:sz w:val="21"/>
          <w:szCs w:val="21"/>
        </w:rPr>
        <w:t>soumise</w:t>
      </w:r>
      <w:r w:rsidR="007418E7" w:rsidRPr="003F5F8A">
        <w:rPr>
          <w:sz w:val="21"/>
          <w:szCs w:val="21"/>
        </w:rPr>
        <w:t xml:space="preserve"> à divers facteurs perturbant notamment les effets climatiques notamment, les retards de pluies ou pluies précoces qui sont exacerbés par l’impact important des pestes comme le criquet pèlerin en grande envergure et d’autres déprédateurs plus insidieux. Les pertes avant et après récolte représentent une contrainte majeure.</w:t>
      </w:r>
    </w:p>
    <w:p w:rsidR="00B600CF" w:rsidRPr="003F5F8A" w:rsidRDefault="00B600CF" w:rsidP="005E613E">
      <w:pPr>
        <w:ind w:left="284" w:right="-851"/>
        <w:jc w:val="both"/>
        <w:rPr>
          <w:sz w:val="21"/>
          <w:szCs w:val="21"/>
        </w:rPr>
      </w:pPr>
    </w:p>
    <w:p w:rsidR="00B600CF" w:rsidRPr="003F5F8A" w:rsidRDefault="00B600CF" w:rsidP="005E613E">
      <w:pPr>
        <w:ind w:left="284" w:right="-851"/>
        <w:jc w:val="both"/>
        <w:rPr>
          <w:sz w:val="21"/>
          <w:szCs w:val="21"/>
        </w:rPr>
      </w:pPr>
      <w:r w:rsidRPr="003F5F8A">
        <w:rPr>
          <w:sz w:val="21"/>
          <w:szCs w:val="21"/>
        </w:rPr>
        <w:t xml:space="preserve">Pour toutes les cultures prises globalement, de nombreux ennemis sont connus aux différents des taxons dont les dégâts sont susceptibles d’atteindre des seuils économiques. </w:t>
      </w:r>
    </w:p>
    <w:p w:rsidR="00B600CF" w:rsidRPr="003F5F8A" w:rsidRDefault="00B600CF" w:rsidP="005E613E">
      <w:pPr>
        <w:ind w:left="284" w:right="-851"/>
        <w:jc w:val="both"/>
        <w:rPr>
          <w:sz w:val="21"/>
          <w:szCs w:val="21"/>
        </w:rPr>
      </w:pPr>
      <w:r w:rsidRPr="003F5F8A">
        <w:rPr>
          <w:sz w:val="21"/>
          <w:szCs w:val="21"/>
        </w:rPr>
        <w:t xml:space="preserve">Nombreux phytophages qui s'attaquent principalement </w:t>
      </w:r>
      <w:r w:rsidR="002F3DC8" w:rsidRPr="003F5F8A">
        <w:rPr>
          <w:sz w:val="21"/>
          <w:szCs w:val="21"/>
        </w:rPr>
        <w:t>à la culture</w:t>
      </w:r>
      <w:r w:rsidR="00643DA4">
        <w:rPr>
          <w:sz w:val="21"/>
          <w:szCs w:val="21"/>
        </w:rPr>
        <w:t xml:space="preserve"> de</w:t>
      </w:r>
      <w:r w:rsidR="002F3DC8">
        <w:rPr>
          <w:sz w:val="21"/>
          <w:szCs w:val="21"/>
        </w:rPr>
        <w:t xml:space="preserve"> rente</w:t>
      </w:r>
      <w:r w:rsidR="00643DA4">
        <w:rPr>
          <w:sz w:val="21"/>
          <w:szCs w:val="21"/>
        </w:rPr>
        <w:t xml:space="preserve"> s</w:t>
      </w:r>
      <w:r w:rsidRPr="003F5F8A">
        <w:rPr>
          <w:sz w:val="21"/>
          <w:szCs w:val="21"/>
        </w:rPr>
        <w:t xml:space="preserve">ont : </w:t>
      </w:r>
    </w:p>
    <w:p w:rsidR="00B600CF" w:rsidRPr="003F5F8A" w:rsidRDefault="00B600CF" w:rsidP="005E613E">
      <w:pPr>
        <w:pStyle w:val="PargrafodaLista"/>
        <w:numPr>
          <w:ilvl w:val="0"/>
          <w:numId w:val="147"/>
        </w:numPr>
        <w:spacing w:after="0" w:line="240" w:lineRule="auto"/>
        <w:ind w:right="-851"/>
        <w:jc w:val="both"/>
        <w:rPr>
          <w:sz w:val="21"/>
          <w:szCs w:val="21"/>
        </w:rPr>
      </w:pPr>
      <w:r w:rsidRPr="003F5F8A">
        <w:rPr>
          <w:rFonts w:ascii="Times New Roman" w:hAnsi="Times New Roman"/>
          <w:sz w:val="21"/>
          <w:szCs w:val="21"/>
        </w:rPr>
        <w:t xml:space="preserve">Les Insectes et acariens : </w:t>
      </w:r>
    </w:p>
    <w:p w:rsidR="00B600CF" w:rsidRPr="008506DF" w:rsidRDefault="00B600CF" w:rsidP="005E613E">
      <w:pPr>
        <w:ind w:left="993" w:right="-851"/>
        <w:jc w:val="both"/>
        <w:rPr>
          <w:sz w:val="21"/>
          <w:szCs w:val="21"/>
          <w:lang w:val="sv-SE"/>
        </w:rPr>
      </w:pPr>
      <w:r w:rsidRPr="003F5F8A">
        <w:rPr>
          <w:rFonts w:ascii="Symbol" w:eastAsia="Symbol" w:hAnsi="Symbol" w:cs="Symbol"/>
          <w:sz w:val="21"/>
          <w:szCs w:val="21"/>
        </w:rPr>
        <w:sym w:font="Symbol" w:char="F0B7"/>
      </w:r>
      <w:r w:rsidRPr="008506DF">
        <w:rPr>
          <w:sz w:val="21"/>
          <w:szCs w:val="21"/>
          <w:lang w:val="sv-SE"/>
        </w:rPr>
        <w:t xml:space="preserve"> Nymphula Spp; </w:t>
      </w:r>
    </w:p>
    <w:p w:rsidR="00B600CF" w:rsidRPr="008506DF" w:rsidRDefault="00B600CF" w:rsidP="005E613E">
      <w:pPr>
        <w:ind w:left="993" w:right="-851"/>
        <w:jc w:val="both"/>
        <w:rPr>
          <w:sz w:val="21"/>
          <w:szCs w:val="21"/>
          <w:lang w:val="sv-SE"/>
        </w:rPr>
      </w:pPr>
      <w:r w:rsidRPr="003F5F8A">
        <w:rPr>
          <w:rFonts w:ascii="Symbol" w:eastAsia="Symbol" w:hAnsi="Symbol" w:cs="Symbol"/>
          <w:sz w:val="21"/>
          <w:szCs w:val="21"/>
        </w:rPr>
        <w:sym w:font="Symbol" w:char="F0B7"/>
      </w:r>
      <w:r w:rsidRPr="008506DF">
        <w:rPr>
          <w:sz w:val="21"/>
          <w:szCs w:val="21"/>
          <w:lang w:val="sv-SE"/>
        </w:rPr>
        <w:t xml:space="preserve"> Diopsis; </w:t>
      </w:r>
    </w:p>
    <w:p w:rsidR="00B600CF" w:rsidRPr="008506DF" w:rsidRDefault="00B600CF" w:rsidP="005E613E">
      <w:pPr>
        <w:ind w:left="993" w:right="-851"/>
        <w:jc w:val="both"/>
        <w:rPr>
          <w:sz w:val="21"/>
          <w:szCs w:val="21"/>
          <w:lang w:val="sv-SE"/>
        </w:rPr>
      </w:pPr>
      <w:r w:rsidRPr="003F5F8A">
        <w:rPr>
          <w:rFonts w:ascii="Symbol" w:eastAsia="Symbol" w:hAnsi="Symbol" w:cs="Symbol"/>
          <w:sz w:val="21"/>
          <w:szCs w:val="21"/>
        </w:rPr>
        <w:sym w:font="Symbol" w:char="F0B7"/>
      </w:r>
      <w:r w:rsidRPr="008506DF">
        <w:rPr>
          <w:sz w:val="21"/>
          <w:szCs w:val="21"/>
          <w:lang w:val="sv-SE"/>
        </w:rPr>
        <w:t xml:space="preserve"> Heteroninchus oryzae;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Les ravageurs polyphages (pucerons-mouches blanches-criquets-termites)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Sauteriaux;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spodotera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Les ravageurs avec plantes hôtes spécifiques (cochenilles farineuses (manguiers et Agrumes)</w:t>
      </w:r>
    </w:p>
    <w:p w:rsidR="00B600CF" w:rsidRPr="003F5F8A" w:rsidRDefault="00B600CF" w:rsidP="005E613E">
      <w:pPr>
        <w:pStyle w:val="PargrafodaLista"/>
        <w:numPr>
          <w:ilvl w:val="0"/>
          <w:numId w:val="147"/>
        </w:numPr>
        <w:spacing w:after="0"/>
        <w:ind w:right="-851"/>
        <w:jc w:val="both"/>
        <w:rPr>
          <w:sz w:val="21"/>
          <w:szCs w:val="21"/>
        </w:rPr>
      </w:pPr>
      <w:r w:rsidRPr="003F5F8A">
        <w:rPr>
          <w:rFonts w:ascii="Times New Roman" w:hAnsi="Times New Roman"/>
          <w:sz w:val="21"/>
          <w:szCs w:val="21"/>
        </w:rPr>
        <w:t xml:space="preserve"> Les rongeurs</w:t>
      </w:r>
      <w:r w:rsidR="00BB6017">
        <w:rPr>
          <w:rFonts w:ascii="Times New Roman" w:hAnsi="Times New Roman"/>
          <w:sz w:val="21"/>
          <w:szCs w:val="21"/>
        </w:rPr>
        <w:t>, ravageurs</w:t>
      </w:r>
      <w:r w:rsidRPr="003F5F8A">
        <w:rPr>
          <w:rFonts w:ascii="Times New Roman" w:hAnsi="Times New Roman"/>
          <w:sz w:val="21"/>
          <w:szCs w:val="21"/>
        </w:rPr>
        <w:t xml:space="preserve"> et oiseaux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Les rats au semis (arachide, niébé, maïs, riz) ; </w:t>
      </w:r>
    </w:p>
    <w:p w:rsidR="00BB6017"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Les oiseaux au semis et à la maturité (riz). </w:t>
      </w:r>
    </w:p>
    <w:p w:rsidR="005E0D10" w:rsidRPr="008371D1" w:rsidRDefault="00600DA4" w:rsidP="005E613E">
      <w:pPr>
        <w:ind w:left="993" w:right="-851"/>
        <w:jc w:val="both"/>
        <w:rPr>
          <w:sz w:val="21"/>
          <w:szCs w:val="21"/>
        </w:rPr>
      </w:pPr>
      <w:r>
        <w:rPr>
          <w:sz w:val="21"/>
          <w:szCs w:val="21"/>
        </w:rPr>
        <w:t xml:space="preserve">   </w:t>
      </w:r>
      <w:r w:rsidR="005E0D10" w:rsidRPr="008371D1">
        <w:rPr>
          <w:sz w:val="21"/>
          <w:szCs w:val="21"/>
        </w:rPr>
        <w:t>Foreur de tige Mineuse de l’épi</w:t>
      </w:r>
      <w:r w:rsidR="00BB6017" w:rsidRPr="008371D1">
        <w:rPr>
          <w:sz w:val="21"/>
          <w:szCs w:val="21"/>
        </w:rPr>
        <w:t xml:space="preserve"> (mil)</w:t>
      </w:r>
    </w:p>
    <w:p w:rsidR="005E0D10" w:rsidRPr="003F5F8A" w:rsidRDefault="005E0D10" w:rsidP="005E613E">
      <w:pPr>
        <w:ind w:left="993" w:right="-851"/>
        <w:jc w:val="both"/>
        <w:rPr>
          <w:sz w:val="21"/>
          <w:szCs w:val="21"/>
        </w:rPr>
      </w:pPr>
    </w:p>
    <w:p w:rsidR="00B600CF" w:rsidRPr="003F5F8A" w:rsidRDefault="00B600CF" w:rsidP="005E613E">
      <w:pPr>
        <w:pStyle w:val="PargrafodaLista"/>
        <w:numPr>
          <w:ilvl w:val="0"/>
          <w:numId w:val="147"/>
        </w:numPr>
        <w:spacing w:after="0" w:line="240" w:lineRule="auto"/>
        <w:ind w:right="-851"/>
        <w:jc w:val="both"/>
        <w:rPr>
          <w:sz w:val="21"/>
          <w:szCs w:val="21"/>
        </w:rPr>
      </w:pPr>
      <w:r w:rsidRPr="003F5F8A">
        <w:rPr>
          <w:rFonts w:ascii="Times New Roman" w:hAnsi="Times New Roman"/>
          <w:sz w:val="21"/>
          <w:szCs w:val="21"/>
        </w:rPr>
        <w:t xml:space="preserve"> Les mauvaises herbes :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L’herbe de Laos (chromolena odérata)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Les cypéracées ;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Les euphorbiacées ;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Les astéracées. </w:t>
      </w:r>
    </w:p>
    <w:p w:rsidR="00B600CF" w:rsidRPr="003F5F8A" w:rsidRDefault="00B600CF" w:rsidP="005E613E">
      <w:pPr>
        <w:pStyle w:val="PargrafodaLista"/>
        <w:numPr>
          <w:ilvl w:val="0"/>
          <w:numId w:val="147"/>
        </w:numPr>
        <w:spacing w:after="0"/>
        <w:ind w:right="-851"/>
        <w:jc w:val="both"/>
        <w:rPr>
          <w:sz w:val="21"/>
          <w:szCs w:val="21"/>
        </w:rPr>
      </w:pPr>
      <w:r w:rsidRPr="003F5F8A">
        <w:rPr>
          <w:rFonts w:ascii="Times New Roman" w:hAnsi="Times New Roman"/>
          <w:sz w:val="21"/>
          <w:szCs w:val="21"/>
        </w:rPr>
        <w:t xml:space="preserve">Les maladies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Pyriculaiae aryzae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Helmithosporium oryzae </w:t>
      </w:r>
    </w:p>
    <w:p w:rsidR="00B600CF" w:rsidRPr="003F5F8A" w:rsidRDefault="00B600CF" w:rsidP="005E613E">
      <w:pPr>
        <w:ind w:left="993" w:right="-851"/>
        <w:jc w:val="both"/>
        <w:rPr>
          <w:sz w:val="21"/>
          <w:szCs w:val="21"/>
        </w:rPr>
      </w:pPr>
      <w:r w:rsidRPr="003F5F8A">
        <w:rPr>
          <w:rFonts w:ascii="Symbol" w:eastAsia="Symbol" w:hAnsi="Symbol" w:cs="Symbol"/>
          <w:sz w:val="21"/>
          <w:szCs w:val="21"/>
        </w:rPr>
        <w:sym w:font="Symbol" w:char="F0B7"/>
      </w:r>
      <w:r w:rsidRPr="003F5F8A">
        <w:rPr>
          <w:sz w:val="21"/>
          <w:szCs w:val="21"/>
        </w:rPr>
        <w:t>Rhinchosporium oryzae</w:t>
      </w:r>
    </w:p>
    <w:p w:rsidR="00600DA4" w:rsidRDefault="00B600CF" w:rsidP="005E613E">
      <w:pPr>
        <w:ind w:left="993" w:right="-851"/>
        <w:rPr>
          <w:sz w:val="21"/>
          <w:szCs w:val="21"/>
        </w:rPr>
      </w:pPr>
      <w:r w:rsidRPr="003F5F8A">
        <w:rPr>
          <w:rFonts w:ascii="Symbol" w:eastAsia="Symbol" w:hAnsi="Symbol" w:cs="Symbol"/>
          <w:sz w:val="21"/>
          <w:szCs w:val="21"/>
        </w:rPr>
        <w:sym w:font="Symbol" w:char="F0B7"/>
      </w:r>
      <w:r w:rsidRPr="003F5F8A">
        <w:rPr>
          <w:sz w:val="21"/>
          <w:szCs w:val="21"/>
        </w:rPr>
        <w:t>Fausse charbon</w:t>
      </w:r>
    </w:p>
    <w:p w:rsidR="003C76AE" w:rsidRDefault="00600DA4" w:rsidP="005E613E">
      <w:pPr>
        <w:pStyle w:val="PargrafodaLista"/>
        <w:numPr>
          <w:ilvl w:val="0"/>
          <w:numId w:val="173"/>
        </w:numPr>
        <w:ind w:left="1134" w:right="-851" w:hanging="141"/>
        <w:rPr>
          <w:rFonts w:ascii="Times" w:eastAsia="Times New Roman" w:hAnsi="Times"/>
          <w:sz w:val="21"/>
          <w:szCs w:val="21"/>
        </w:rPr>
      </w:pPr>
      <w:r w:rsidRPr="008371D1">
        <w:rPr>
          <w:rFonts w:ascii="Times" w:eastAsia="Times New Roman" w:hAnsi="Times"/>
          <w:sz w:val="21"/>
          <w:szCs w:val="21"/>
        </w:rPr>
        <w:t>Lépidoptères (lema planifronsWs, sesamia sp, etc.) (mil)</w:t>
      </w:r>
    </w:p>
    <w:p w:rsidR="0020294E" w:rsidRPr="0020294E" w:rsidRDefault="0020294E" w:rsidP="005E613E">
      <w:pPr>
        <w:pStyle w:val="PargrafodaLista"/>
        <w:ind w:left="1134" w:right="-851"/>
        <w:rPr>
          <w:rFonts w:ascii="Times" w:eastAsia="Times New Roman" w:hAnsi="Times"/>
          <w:sz w:val="21"/>
          <w:szCs w:val="21"/>
        </w:rPr>
      </w:pPr>
    </w:p>
    <w:p w:rsidR="007418E7" w:rsidRPr="003F5F8A" w:rsidRDefault="007418E7" w:rsidP="005E613E">
      <w:pPr>
        <w:pStyle w:val="PargrafodaLista"/>
        <w:keepNext/>
        <w:numPr>
          <w:ilvl w:val="0"/>
          <w:numId w:val="142"/>
        </w:numPr>
        <w:ind w:right="-851"/>
        <w:jc w:val="both"/>
        <w:outlineLvl w:val="1"/>
        <w:rPr>
          <w:rFonts w:ascii="Times New Roman" w:hAnsi="Times New Roman"/>
          <w:b/>
          <w:sz w:val="21"/>
          <w:szCs w:val="21"/>
        </w:rPr>
      </w:pPr>
      <w:bookmarkStart w:id="500" w:name="_Toc73459832"/>
      <w:bookmarkStart w:id="501" w:name="_Toc521939538"/>
      <w:bookmarkStart w:id="502" w:name="_Toc62927863"/>
      <w:bookmarkStart w:id="503" w:name="_Toc63695105"/>
      <w:bookmarkStart w:id="504" w:name="_Toc67508596"/>
      <w:bookmarkStart w:id="505" w:name="_Toc69918786"/>
      <w:r w:rsidRPr="003F5F8A">
        <w:rPr>
          <w:rFonts w:ascii="Times New Roman" w:hAnsi="Times New Roman"/>
          <w:b/>
          <w:sz w:val="21"/>
          <w:szCs w:val="21"/>
        </w:rPr>
        <w:t>Approches de gestion des pestes et des pesticides</w:t>
      </w:r>
      <w:bookmarkEnd w:id="500"/>
      <w:r w:rsidRPr="003F5F8A">
        <w:rPr>
          <w:rFonts w:ascii="Times New Roman" w:hAnsi="Times New Roman"/>
          <w:b/>
          <w:sz w:val="21"/>
          <w:szCs w:val="21"/>
        </w:rPr>
        <w:t xml:space="preserve"> </w:t>
      </w:r>
      <w:bookmarkEnd w:id="501"/>
      <w:bookmarkEnd w:id="502"/>
      <w:bookmarkEnd w:id="503"/>
      <w:bookmarkEnd w:id="504"/>
      <w:bookmarkEnd w:id="505"/>
    </w:p>
    <w:p w:rsidR="007418E7" w:rsidRPr="003F5F8A" w:rsidRDefault="00CE03CE" w:rsidP="005E613E">
      <w:pPr>
        <w:ind w:left="567" w:right="-851"/>
        <w:jc w:val="both"/>
        <w:rPr>
          <w:sz w:val="21"/>
          <w:szCs w:val="21"/>
        </w:rPr>
      </w:pPr>
      <w:r w:rsidRPr="003F5F8A">
        <w:rPr>
          <w:sz w:val="21"/>
          <w:szCs w:val="21"/>
        </w:rPr>
        <w:t xml:space="preserve">Une </w:t>
      </w:r>
      <w:r w:rsidR="00513A6A" w:rsidRPr="003F5F8A">
        <w:rPr>
          <w:sz w:val="21"/>
          <w:szCs w:val="21"/>
        </w:rPr>
        <w:t>vaste panoplie de textes est en vigueur</w:t>
      </w:r>
      <w:r w:rsidR="007418E7" w:rsidRPr="003F5F8A">
        <w:rPr>
          <w:sz w:val="21"/>
          <w:szCs w:val="21"/>
        </w:rPr>
        <w:t xml:space="preserve"> </w:t>
      </w:r>
      <w:r w:rsidR="001F0779" w:rsidRPr="003F5F8A">
        <w:rPr>
          <w:sz w:val="21"/>
          <w:szCs w:val="21"/>
        </w:rPr>
        <w:t>(</w:t>
      </w:r>
      <w:r w:rsidR="001F0779" w:rsidRPr="003F5F8A">
        <w:rPr>
          <w:spacing w:val="-2"/>
          <w:sz w:val="21"/>
          <w:szCs w:val="21"/>
        </w:rPr>
        <w:t xml:space="preserve">loi </w:t>
      </w:r>
      <w:r w:rsidR="001F0779" w:rsidRPr="003F5F8A">
        <w:rPr>
          <w:b/>
          <w:spacing w:val="-2"/>
          <w:sz w:val="21"/>
          <w:szCs w:val="21"/>
        </w:rPr>
        <w:t>N° 7/2000 DU 24 AOUT</w:t>
      </w:r>
      <w:r w:rsidR="00524ECB" w:rsidRPr="003F5F8A">
        <w:rPr>
          <w:sz w:val="21"/>
          <w:szCs w:val="21"/>
        </w:rPr>
        <w:t xml:space="preserve">) et la norme NES N°3 </w:t>
      </w:r>
      <w:r w:rsidR="00513A6A" w:rsidRPr="003F5F8A">
        <w:rPr>
          <w:sz w:val="21"/>
          <w:szCs w:val="21"/>
        </w:rPr>
        <w:t>concernant la gestion des pesticides, ce qui dénote</w:t>
      </w:r>
      <w:r w:rsidR="007418E7" w:rsidRPr="003F5F8A">
        <w:rPr>
          <w:sz w:val="21"/>
          <w:szCs w:val="21"/>
        </w:rPr>
        <w:t xml:space="preserve"> </w:t>
      </w:r>
      <w:r w:rsidR="00513A6A" w:rsidRPr="003F5F8A">
        <w:rPr>
          <w:sz w:val="21"/>
          <w:szCs w:val="21"/>
        </w:rPr>
        <w:t>d’une réelle volonté de maîtrise des circuits</w:t>
      </w:r>
      <w:r w:rsidR="007418E7" w:rsidRPr="003F5F8A">
        <w:rPr>
          <w:sz w:val="21"/>
          <w:szCs w:val="21"/>
        </w:rPr>
        <w:t xml:space="preserve"> d’utilisation des pesticides.  Ainsi, tout produit utiliser dans le pays doit faire l’objet d’homologation notamment pour son importation. A cet effet une liste des produits autorisés est disponible et toute importation doit s’en référer.  Ceci constitue </w:t>
      </w:r>
      <w:r w:rsidRPr="003F5F8A">
        <w:rPr>
          <w:sz w:val="21"/>
          <w:szCs w:val="21"/>
        </w:rPr>
        <w:t xml:space="preserve">la première </w:t>
      </w:r>
      <w:r w:rsidR="00513A6A" w:rsidRPr="003F5F8A">
        <w:rPr>
          <w:sz w:val="21"/>
          <w:szCs w:val="21"/>
        </w:rPr>
        <w:t>barrière permettant de filtrer les produits</w:t>
      </w:r>
      <w:r w:rsidR="007418E7" w:rsidRPr="003F5F8A">
        <w:rPr>
          <w:sz w:val="21"/>
          <w:szCs w:val="21"/>
        </w:rPr>
        <w:t xml:space="preserve"> </w:t>
      </w:r>
      <w:r w:rsidR="00513A6A" w:rsidRPr="003F5F8A">
        <w:rPr>
          <w:sz w:val="21"/>
          <w:szCs w:val="21"/>
        </w:rPr>
        <w:t>entrant dans le pays</w:t>
      </w:r>
      <w:r w:rsidR="007418E7" w:rsidRPr="003F5F8A">
        <w:rPr>
          <w:sz w:val="21"/>
          <w:szCs w:val="21"/>
        </w:rPr>
        <w:t xml:space="preserve">.  La surveillance des produits s’effectue aussi </w:t>
      </w:r>
      <w:r w:rsidR="00513A6A" w:rsidRPr="003F5F8A">
        <w:rPr>
          <w:sz w:val="21"/>
          <w:szCs w:val="21"/>
        </w:rPr>
        <w:t>en principe au niveau de la</w:t>
      </w:r>
      <w:r w:rsidR="007418E7" w:rsidRPr="003F5F8A">
        <w:rPr>
          <w:sz w:val="21"/>
          <w:szCs w:val="21"/>
        </w:rPr>
        <w:t xml:space="preserve"> distribution à l’échelon locale par les Services décentralisés qui ont le rôle de contrôle de la conformité des distributeurs en rapport avec les textes établis (autorisation de vente). </w:t>
      </w:r>
    </w:p>
    <w:p w:rsidR="007418E7" w:rsidRPr="003F5F8A" w:rsidRDefault="007418E7" w:rsidP="005E613E">
      <w:pPr>
        <w:ind w:left="567" w:right="-851"/>
        <w:jc w:val="both"/>
        <w:rPr>
          <w:sz w:val="21"/>
          <w:szCs w:val="21"/>
        </w:rPr>
      </w:pPr>
      <w:r w:rsidRPr="003F5F8A">
        <w:rPr>
          <w:sz w:val="21"/>
          <w:szCs w:val="21"/>
        </w:rPr>
        <w:t xml:space="preserve">Par ailleurs, afin de s’assurer de l’utilisation efficiente des produits de lutte contre les ravageurs, des limites maximales </w:t>
      </w:r>
      <w:r w:rsidR="00513A6A" w:rsidRPr="003F5F8A">
        <w:rPr>
          <w:sz w:val="21"/>
          <w:szCs w:val="21"/>
        </w:rPr>
        <w:t xml:space="preserve">de résidus (LMR) sont imposées via des normes </w:t>
      </w:r>
      <w:r w:rsidR="0016730F" w:rsidRPr="003F5F8A">
        <w:rPr>
          <w:sz w:val="21"/>
          <w:szCs w:val="21"/>
        </w:rPr>
        <w:t>sous régionales</w:t>
      </w:r>
      <w:r w:rsidR="00513A6A" w:rsidRPr="003F5F8A">
        <w:rPr>
          <w:sz w:val="21"/>
          <w:szCs w:val="21"/>
        </w:rPr>
        <w:t>, nationales ou</w:t>
      </w:r>
      <w:r w:rsidRPr="003F5F8A">
        <w:rPr>
          <w:sz w:val="21"/>
          <w:szCs w:val="21"/>
        </w:rPr>
        <w:t xml:space="preserve"> internationales </w:t>
      </w:r>
      <w:r w:rsidR="00513A6A" w:rsidRPr="003F5F8A">
        <w:rPr>
          <w:sz w:val="21"/>
          <w:szCs w:val="21"/>
        </w:rPr>
        <w:t>notamment le codex</w:t>
      </w:r>
      <w:r w:rsidRPr="003F5F8A">
        <w:rPr>
          <w:sz w:val="21"/>
          <w:szCs w:val="21"/>
        </w:rPr>
        <w:t xml:space="preserve">  </w:t>
      </w:r>
      <w:r w:rsidR="00513A6A" w:rsidRPr="003F5F8A">
        <w:rPr>
          <w:sz w:val="21"/>
          <w:szCs w:val="21"/>
        </w:rPr>
        <w:t>Alimentarius, les normes de</w:t>
      </w:r>
      <w:r w:rsidR="00BF7676" w:rsidRPr="003F5F8A">
        <w:rPr>
          <w:sz w:val="21"/>
          <w:szCs w:val="21"/>
        </w:rPr>
        <w:t xml:space="preserve"> </w:t>
      </w:r>
      <w:r w:rsidR="001B5F61" w:rsidRPr="003F5F8A">
        <w:rPr>
          <w:sz w:val="21"/>
          <w:szCs w:val="21"/>
        </w:rPr>
        <w:t>la FAO et DE OMS</w:t>
      </w:r>
      <w:r w:rsidRPr="003F5F8A">
        <w:rPr>
          <w:sz w:val="21"/>
          <w:szCs w:val="21"/>
        </w:rPr>
        <w:t>.  La Fondation CERES Locustox est qualifiée pour analyser les LMR.  Il est important tant du point de vue économique (exportations) que sanitaire que le suivi des LMR soit effectué de manière systématique.</w:t>
      </w:r>
    </w:p>
    <w:p w:rsidR="007418E7" w:rsidRPr="003F5F8A" w:rsidRDefault="007418E7" w:rsidP="005E613E">
      <w:pPr>
        <w:ind w:left="567" w:right="-851"/>
        <w:jc w:val="both"/>
        <w:rPr>
          <w:sz w:val="21"/>
          <w:szCs w:val="21"/>
        </w:rPr>
      </w:pPr>
    </w:p>
    <w:p w:rsidR="007418E7" w:rsidRPr="003F5F8A" w:rsidRDefault="007418E7" w:rsidP="005E613E">
      <w:pPr>
        <w:ind w:left="567" w:right="-851"/>
        <w:jc w:val="both"/>
        <w:rPr>
          <w:sz w:val="21"/>
          <w:szCs w:val="21"/>
        </w:rPr>
      </w:pPr>
      <w:r w:rsidRPr="003F5F8A">
        <w:rPr>
          <w:sz w:val="21"/>
          <w:szCs w:val="21"/>
        </w:rPr>
        <w:t xml:space="preserve">S’agissant des pesticides utilisés en protection des cultures, les stratégies mises en œuvre dans les pays pour </w:t>
      </w:r>
      <w:r w:rsidR="00034AF3" w:rsidRPr="003F5F8A">
        <w:rPr>
          <w:sz w:val="21"/>
          <w:szCs w:val="21"/>
        </w:rPr>
        <w:t xml:space="preserve">lutter </w:t>
      </w:r>
      <w:r w:rsidR="00513A6A" w:rsidRPr="003F5F8A">
        <w:rPr>
          <w:sz w:val="21"/>
          <w:szCs w:val="21"/>
        </w:rPr>
        <w:t>contre les pestes reposent essentiellement sur la lutte chimique (lutte préventive et</w:t>
      </w:r>
      <w:r w:rsidRPr="003F5F8A">
        <w:rPr>
          <w:sz w:val="21"/>
          <w:szCs w:val="21"/>
        </w:rPr>
        <w:t xml:space="preserve"> curative).  Les autres </w:t>
      </w:r>
      <w:r w:rsidR="00034AF3" w:rsidRPr="003F5F8A">
        <w:rPr>
          <w:sz w:val="21"/>
          <w:szCs w:val="21"/>
        </w:rPr>
        <w:t xml:space="preserve">alternatives </w:t>
      </w:r>
      <w:r w:rsidR="00513A6A" w:rsidRPr="003F5F8A">
        <w:rPr>
          <w:sz w:val="21"/>
          <w:szCs w:val="21"/>
        </w:rPr>
        <w:t>à la lutte chimique, sont entre autres</w:t>
      </w:r>
      <w:r w:rsidRPr="003F5F8A">
        <w:rPr>
          <w:sz w:val="21"/>
          <w:szCs w:val="21"/>
        </w:rPr>
        <w:t xml:space="preserve"> :  </w:t>
      </w:r>
      <w:r w:rsidR="00513A6A" w:rsidRPr="003F5F8A">
        <w:rPr>
          <w:sz w:val="21"/>
          <w:szCs w:val="21"/>
        </w:rPr>
        <w:t>la lutte biologique</w:t>
      </w:r>
      <w:r w:rsidRPr="003F5F8A">
        <w:rPr>
          <w:sz w:val="21"/>
          <w:szCs w:val="21"/>
        </w:rPr>
        <w:t xml:space="preserve"> </w:t>
      </w:r>
      <w:r w:rsidR="00513A6A" w:rsidRPr="003F5F8A">
        <w:rPr>
          <w:sz w:val="21"/>
          <w:szCs w:val="21"/>
        </w:rPr>
        <w:t>; les</w:t>
      </w:r>
      <w:r w:rsidRPr="003F5F8A">
        <w:rPr>
          <w:sz w:val="21"/>
          <w:szCs w:val="21"/>
        </w:rPr>
        <w:t xml:space="preserve"> pratiques culturales </w:t>
      </w:r>
      <w:r w:rsidR="00513A6A" w:rsidRPr="003F5F8A">
        <w:rPr>
          <w:sz w:val="21"/>
          <w:szCs w:val="21"/>
        </w:rPr>
        <w:t>; l’utilisation</w:t>
      </w:r>
      <w:r w:rsidRPr="003F5F8A">
        <w:rPr>
          <w:sz w:val="21"/>
          <w:szCs w:val="21"/>
        </w:rPr>
        <w:t xml:space="preserve"> de ressources phyto-génétiques </w:t>
      </w:r>
      <w:r w:rsidR="00513A6A" w:rsidRPr="003F5F8A">
        <w:rPr>
          <w:sz w:val="21"/>
          <w:szCs w:val="21"/>
        </w:rPr>
        <w:t>; l’utilisation</w:t>
      </w:r>
      <w:r w:rsidRPr="003F5F8A">
        <w:rPr>
          <w:sz w:val="21"/>
          <w:szCs w:val="21"/>
        </w:rPr>
        <w:t xml:space="preserve"> des bio-pesticides </w:t>
      </w:r>
      <w:r w:rsidR="00513A6A" w:rsidRPr="003F5F8A">
        <w:rPr>
          <w:sz w:val="21"/>
          <w:szCs w:val="21"/>
        </w:rPr>
        <w:t>; la</w:t>
      </w:r>
      <w:r w:rsidRPr="003F5F8A">
        <w:rPr>
          <w:sz w:val="21"/>
          <w:szCs w:val="21"/>
        </w:rPr>
        <w:t xml:space="preserve"> lutte </w:t>
      </w:r>
      <w:r w:rsidR="00513A6A" w:rsidRPr="003F5F8A">
        <w:rPr>
          <w:sz w:val="21"/>
          <w:szCs w:val="21"/>
        </w:rPr>
        <w:t>physique ; les</w:t>
      </w:r>
      <w:r w:rsidRPr="003F5F8A">
        <w:rPr>
          <w:sz w:val="21"/>
          <w:szCs w:val="21"/>
        </w:rPr>
        <w:t xml:space="preserve"> mesures </w:t>
      </w:r>
      <w:r w:rsidR="00513A6A" w:rsidRPr="003F5F8A">
        <w:rPr>
          <w:sz w:val="21"/>
          <w:szCs w:val="21"/>
        </w:rPr>
        <w:t>prophylactiques ; la</w:t>
      </w:r>
      <w:r w:rsidRPr="003F5F8A">
        <w:rPr>
          <w:sz w:val="21"/>
          <w:szCs w:val="21"/>
        </w:rPr>
        <w:t xml:space="preserve"> lutte intégrée </w:t>
      </w:r>
      <w:r w:rsidR="00513A6A" w:rsidRPr="003F5F8A">
        <w:rPr>
          <w:sz w:val="21"/>
          <w:szCs w:val="21"/>
        </w:rPr>
        <w:t>; la</w:t>
      </w:r>
      <w:r w:rsidRPr="003F5F8A">
        <w:rPr>
          <w:sz w:val="21"/>
          <w:szCs w:val="21"/>
        </w:rPr>
        <w:t xml:space="preserve"> gestion intégrée de la production et des déprédateurs (GIPD).</w:t>
      </w:r>
    </w:p>
    <w:p w:rsidR="00034AF3" w:rsidRPr="003F5F8A" w:rsidRDefault="00034AF3" w:rsidP="00D75995">
      <w:pPr>
        <w:ind w:right="-50"/>
        <w:jc w:val="both"/>
        <w:rPr>
          <w:sz w:val="21"/>
          <w:szCs w:val="21"/>
        </w:rPr>
      </w:pPr>
    </w:p>
    <w:p w:rsidR="007418E7" w:rsidRPr="003F5F8A" w:rsidRDefault="00513A6A" w:rsidP="00157035">
      <w:pPr>
        <w:pStyle w:val="PargrafodaLista"/>
        <w:numPr>
          <w:ilvl w:val="0"/>
          <w:numId w:val="140"/>
        </w:numPr>
        <w:spacing w:after="0"/>
        <w:ind w:right="-50"/>
        <w:jc w:val="both"/>
        <w:rPr>
          <w:rFonts w:ascii="Times New Roman" w:hAnsi="Times New Roman"/>
          <w:sz w:val="21"/>
          <w:szCs w:val="21"/>
        </w:rPr>
      </w:pPr>
      <w:r w:rsidRPr="003F5F8A">
        <w:rPr>
          <w:rFonts w:ascii="Times New Roman" w:hAnsi="Times New Roman"/>
          <w:sz w:val="21"/>
          <w:szCs w:val="21"/>
        </w:rPr>
        <w:t>Lutte chimique</w:t>
      </w:r>
      <w:r w:rsidR="007418E7" w:rsidRPr="003F5F8A">
        <w:rPr>
          <w:rFonts w:ascii="Times New Roman" w:hAnsi="Times New Roman"/>
          <w:sz w:val="21"/>
          <w:szCs w:val="21"/>
        </w:rPr>
        <w:t xml:space="preserve"> </w:t>
      </w:r>
    </w:p>
    <w:p w:rsidR="007418E7" w:rsidRPr="003F5F8A" w:rsidRDefault="007418E7" w:rsidP="0020294E">
      <w:pPr>
        <w:ind w:left="567" w:right="-50"/>
        <w:jc w:val="both"/>
        <w:rPr>
          <w:sz w:val="21"/>
          <w:szCs w:val="21"/>
        </w:rPr>
      </w:pPr>
      <w:r w:rsidRPr="003F5F8A">
        <w:rPr>
          <w:sz w:val="21"/>
          <w:szCs w:val="21"/>
        </w:rPr>
        <w:t>La lutte chimique consiste à l’utilisation raisonnée des Pesticides en champ. Il s’agit de :</w:t>
      </w:r>
    </w:p>
    <w:tbl>
      <w:tblPr>
        <w:tblStyle w:val="Tabelacomgrelha"/>
        <w:tblW w:w="0" w:type="auto"/>
        <w:tblInd w:w="720" w:type="dxa"/>
        <w:tblLook w:val="04A0" w:firstRow="1" w:lastRow="0" w:firstColumn="1" w:lastColumn="0" w:noHBand="0" w:noVBand="1"/>
      </w:tblPr>
      <w:tblGrid>
        <w:gridCol w:w="3103"/>
        <w:gridCol w:w="5029"/>
      </w:tblGrid>
      <w:tr w:rsidR="007418E7" w:rsidRPr="003F5F8A" w:rsidTr="00064F08">
        <w:tc>
          <w:tcPr>
            <w:tcW w:w="3103" w:type="dxa"/>
          </w:tcPr>
          <w:p w:rsidR="007418E7" w:rsidRPr="003F5F8A" w:rsidRDefault="007418E7" w:rsidP="00D75995">
            <w:pPr>
              <w:ind w:right="-50"/>
              <w:jc w:val="both"/>
              <w:rPr>
                <w:sz w:val="21"/>
                <w:szCs w:val="21"/>
              </w:rPr>
            </w:pPr>
            <w:r w:rsidRPr="003F5F8A">
              <w:rPr>
                <w:sz w:val="21"/>
                <w:szCs w:val="21"/>
              </w:rPr>
              <w:t>Produits homologués</w:t>
            </w:r>
          </w:p>
        </w:tc>
        <w:tc>
          <w:tcPr>
            <w:tcW w:w="5029" w:type="dxa"/>
          </w:tcPr>
          <w:p w:rsidR="007418E7" w:rsidRPr="003F5F8A" w:rsidRDefault="007418E7" w:rsidP="00D75995">
            <w:pPr>
              <w:pStyle w:val="PargrafodaLista"/>
              <w:spacing w:after="0" w:line="240" w:lineRule="auto"/>
              <w:ind w:right="-50"/>
              <w:jc w:val="both"/>
              <w:rPr>
                <w:rFonts w:ascii="Times New Roman" w:hAnsi="Times New Roman"/>
                <w:sz w:val="21"/>
                <w:szCs w:val="21"/>
              </w:rPr>
            </w:pPr>
            <w:r w:rsidRPr="003F5F8A">
              <w:rPr>
                <w:rFonts w:ascii="Times New Roman" w:hAnsi="Times New Roman"/>
                <w:sz w:val="21"/>
                <w:szCs w:val="21"/>
              </w:rPr>
              <w:t>Définitions et remarques</w:t>
            </w:r>
          </w:p>
        </w:tc>
      </w:tr>
      <w:tr w:rsidR="007418E7" w:rsidRPr="003F5F8A" w:rsidTr="00064F08">
        <w:tc>
          <w:tcPr>
            <w:tcW w:w="3103" w:type="dxa"/>
          </w:tcPr>
          <w:p w:rsidR="007418E7" w:rsidRPr="003F5F8A" w:rsidRDefault="007418E7" w:rsidP="00157035">
            <w:pPr>
              <w:pStyle w:val="PargrafodaLista"/>
              <w:numPr>
                <w:ilvl w:val="0"/>
                <w:numId w:val="136"/>
              </w:numPr>
              <w:spacing w:after="0" w:line="240" w:lineRule="auto"/>
              <w:ind w:right="-50"/>
              <w:jc w:val="both"/>
              <w:rPr>
                <w:rFonts w:ascii="Times New Roman" w:hAnsi="Times New Roman"/>
                <w:sz w:val="21"/>
                <w:szCs w:val="21"/>
              </w:rPr>
            </w:pPr>
            <w:r w:rsidRPr="003F5F8A">
              <w:rPr>
                <w:rFonts w:ascii="Times New Roman" w:hAnsi="Times New Roman"/>
                <w:sz w:val="21"/>
                <w:szCs w:val="21"/>
              </w:rPr>
              <w:t xml:space="preserve">Fongicides </w:t>
            </w:r>
          </w:p>
        </w:tc>
        <w:tc>
          <w:tcPr>
            <w:tcW w:w="5029" w:type="dxa"/>
          </w:tcPr>
          <w:p w:rsidR="007418E7" w:rsidRPr="003F5F8A" w:rsidRDefault="007418E7" w:rsidP="00D75995">
            <w:pPr>
              <w:ind w:right="-50"/>
              <w:jc w:val="both"/>
              <w:rPr>
                <w:sz w:val="21"/>
                <w:szCs w:val="21"/>
              </w:rPr>
            </w:pPr>
            <w:r w:rsidRPr="003F5F8A">
              <w:rPr>
                <w:sz w:val="21"/>
                <w:szCs w:val="21"/>
              </w:rPr>
              <w:t>Produit qui contrôle les champignons microscopiques</w:t>
            </w:r>
          </w:p>
        </w:tc>
      </w:tr>
      <w:tr w:rsidR="007418E7" w:rsidRPr="003F5F8A" w:rsidTr="00064F08">
        <w:tc>
          <w:tcPr>
            <w:tcW w:w="3103" w:type="dxa"/>
          </w:tcPr>
          <w:p w:rsidR="007418E7" w:rsidRPr="003F5F8A" w:rsidRDefault="007418E7" w:rsidP="00157035">
            <w:pPr>
              <w:pStyle w:val="PargrafodaLista"/>
              <w:numPr>
                <w:ilvl w:val="0"/>
                <w:numId w:val="136"/>
              </w:numPr>
              <w:spacing w:after="0" w:line="240" w:lineRule="auto"/>
              <w:ind w:right="-50"/>
              <w:jc w:val="both"/>
              <w:rPr>
                <w:rFonts w:ascii="Times New Roman" w:hAnsi="Times New Roman"/>
                <w:sz w:val="21"/>
                <w:szCs w:val="21"/>
              </w:rPr>
            </w:pPr>
            <w:r w:rsidRPr="003F5F8A">
              <w:rPr>
                <w:rFonts w:ascii="Times New Roman" w:hAnsi="Times New Roman"/>
                <w:sz w:val="21"/>
                <w:szCs w:val="21"/>
              </w:rPr>
              <w:t xml:space="preserve">Insecticides </w:t>
            </w:r>
          </w:p>
        </w:tc>
        <w:tc>
          <w:tcPr>
            <w:tcW w:w="5029" w:type="dxa"/>
          </w:tcPr>
          <w:p w:rsidR="007418E7" w:rsidRPr="003F5F8A" w:rsidRDefault="007418E7" w:rsidP="00D75995">
            <w:pPr>
              <w:ind w:right="-50"/>
              <w:jc w:val="both"/>
              <w:rPr>
                <w:sz w:val="21"/>
                <w:szCs w:val="21"/>
              </w:rPr>
            </w:pPr>
            <w:r w:rsidRPr="003F5F8A">
              <w:rPr>
                <w:sz w:val="21"/>
                <w:szCs w:val="21"/>
              </w:rPr>
              <w:t>Produit qui contrôle les insectes</w:t>
            </w:r>
          </w:p>
        </w:tc>
      </w:tr>
      <w:tr w:rsidR="007418E7" w:rsidRPr="003F5F8A" w:rsidTr="00064F08">
        <w:tc>
          <w:tcPr>
            <w:tcW w:w="3103" w:type="dxa"/>
          </w:tcPr>
          <w:p w:rsidR="007418E7" w:rsidRPr="003F5F8A" w:rsidRDefault="007418E7" w:rsidP="00157035">
            <w:pPr>
              <w:pStyle w:val="PargrafodaLista"/>
              <w:numPr>
                <w:ilvl w:val="0"/>
                <w:numId w:val="136"/>
              </w:numPr>
              <w:spacing w:after="0" w:line="240" w:lineRule="auto"/>
              <w:ind w:right="-50"/>
              <w:jc w:val="both"/>
              <w:rPr>
                <w:rFonts w:ascii="Times New Roman" w:hAnsi="Times New Roman"/>
                <w:sz w:val="21"/>
                <w:szCs w:val="21"/>
              </w:rPr>
            </w:pPr>
            <w:r w:rsidRPr="003F5F8A">
              <w:rPr>
                <w:rFonts w:ascii="Times New Roman" w:hAnsi="Times New Roman"/>
                <w:sz w:val="21"/>
                <w:szCs w:val="21"/>
              </w:rPr>
              <w:t xml:space="preserve">Rodenticides </w:t>
            </w:r>
          </w:p>
        </w:tc>
        <w:tc>
          <w:tcPr>
            <w:tcW w:w="5029" w:type="dxa"/>
          </w:tcPr>
          <w:p w:rsidR="007418E7" w:rsidRPr="003F5F8A" w:rsidRDefault="007418E7" w:rsidP="00D75995">
            <w:pPr>
              <w:ind w:right="-50"/>
              <w:jc w:val="both"/>
              <w:rPr>
                <w:sz w:val="21"/>
                <w:szCs w:val="21"/>
              </w:rPr>
            </w:pPr>
            <w:r w:rsidRPr="003F5F8A">
              <w:rPr>
                <w:sz w:val="21"/>
                <w:szCs w:val="21"/>
              </w:rPr>
              <w:t>Produit qui contrôle les rongeurs</w:t>
            </w:r>
          </w:p>
        </w:tc>
      </w:tr>
      <w:tr w:rsidR="007418E7" w:rsidRPr="003F5F8A" w:rsidTr="00064F08">
        <w:tc>
          <w:tcPr>
            <w:tcW w:w="3103" w:type="dxa"/>
          </w:tcPr>
          <w:p w:rsidR="007418E7" w:rsidRPr="003F5F8A" w:rsidRDefault="007418E7" w:rsidP="00157035">
            <w:pPr>
              <w:pStyle w:val="PargrafodaLista"/>
              <w:numPr>
                <w:ilvl w:val="0"/>
                <w:numId w:val="136"/>
              </w:numPr>
              <w:spacing w:after="0" w:line="240" w:lineRule="auto"/>
              <w:ind w:right="-50"/>
              <w:jc w:val="both"/>
              <w:rPr>
                <w:rFonts w:ascii="Times New Roman" w:hAnsi="Times New Roman"/>
                <w:sz w:val="21"/>
                <w:szCs w:val="21"/>
              </w:rPr>
            </w:pPr>
            <w:r w:rsidRPr="003F5F8A">
              <w:rPr>
                <w:rFonts w:ascii="Times New Roman" w:hAnsi="Times New Roman"/>
                <w:sz w:val="21"/>
                <w:szCs w:val="21"/>
              </w:rPr>
              <w:t xml:space="preserve">Raticides </w:t>
            </w:r>
          </w:p>
        </w:tc>
        <w:tc>
          <w:tcPr>
            <w:tcW w:w="5029" w:type="dxa"/>
          </w:tcPr>
          <w:p w:rsidR="007418E7" w:rsidRPr="003F5F8A" w:rsidRDefault="007418E7" w:rsidP="00D75995">
            <w:pPr>
              <w:ind w:right="-50"/>
              <w:jc w:val="both"/>
              <w:rPr>
                <w:sz w:val="21"/>
                <w:szCs w:val="21"/>
              </w:rPr>
            </w:pPr>
            <w:r w:rsidRPr="003F5F8A">
              <w:rPr>
                <w:sz w:val="21"/>
                <w:szCs w:val="21"/>
              </w:rPr>
              <w:t>Produit qui contrôle les Rats</w:t>
            </w:r>
          </w:p>
        </w:tc>
      </w:tr>
      <w:tr w:rsidR="007418E7" w:rsidRPr="003F5F8A" w:rsidTr="00064F08">
        <w:tc>
          <w:tcPr>
            <w:tcW w:w="3103" w:type="dxa"/>
          </w:tcPr>
          <w:p w:rsidR="007418E7" w:rsidRPr="003F5F8A" w:rsidRDefault="007418E7" w:rsidP="00157035">
            <w:pPr>
              <w:pStyle w:val="PargrafodaLista"/>
              <w:numPr>
                <w:ilvl w:val="0"/>
                <w:numId w:val="136"/>
              </w:numPr>
              <w:spacing w:after="0" w:line="240" w:lineRule="auto"/>
              <w:ind w:right="-50"/>
              <w:jc w:val="both"/>
              <w:rPr>
                <w:rFonts w:ascii="Times New Roman" w:hAnsi="Times New Roman"/>
                <w:sz w:val="21"/>
                <w:szCs w:val="21"/>
              </w:rPr>
            </w:pPr>
            <w:r w:rsidRPr="003F5F8A">
              <w:rPr>
                <w:rFonts w:ascii="Times New Roman" w:hAnsi="Times New Roman"/>
                <w:sz w:val="21"/>
                <w:szCs w:val="21"/>
              </w:rPr>
              <w:t xml:space="preserve">Acaricides </w:t>
            </w:r>
          </w:p>
        </w:tc>
        <w:tc>
          <w:tcPr>
            <w:tcW w:w="5029" w:type="dxa"/>
          </w:tcPr>
          <w:p w:rsidR="007418E7" w:rsidRPr="003F5F8A" w:rsidRDefault="007418E7" w:rsidP="00D75995">
            <w:pPr>
              <w:ind w:right="-50"/>
              <w:jc w:val="both"/>
              <w:rPr>
                <w:sz w:val="21"/>
                <w:szCs w:val="21"/>
              </w:rPr>
            </w:pPr>
            <w:r w:rsidRPr="003F5F8A">
              <w:rPr>
                <w:sz w:val="21"/>
                <w:szCs w:val="21"/>
              </w:rPr>
              <w:t>Produit qui contrôle les acariens</w:t>
            </w:r>
          </w:p>
        </w:tc>
      </w:tr>
      <w:tr w:rsidR="007418E7" w:rsidRPr="003F5F8A" w:rsidTr="00064F08">
        <w:tc>
          <w:tcPr>
            <w:tcW w:w="3103" w:type="dxa"/>
          </w:tcPr>
          <w:p w:rsidR="007418E7" w:rsidRPr="003F5F8A" w:rsidRDefault="007418E7" w:rsidP="00157035">
            <w:pPr>
              <w:pStyle w:val="PargrafodaLista"/>
              <w:numPr>
                <w:ilvl w:val="0"/>
                <w:numId w:val="136"/>
              </w:numPr>
              <w:spacing w:after="0" w:line="240" w:lineRule="auto"/>
              <w:ind w:right="-50"/>
              <w:jc w:val="both"/>
              <w:rPr>
                <w:rFonts w:ascii="Times New Roman" w:hAnsi="Times New Roman"/>
                <w:sz w:val="21"/>
                <w:szCs w:val="21"/>
              </w:rPr>
            </w:pPr>
            <w:r w:rsidRPr="003F5F8A">
              <w:rPr>
                <w:rFonts w:ascii="Times New Roman" w:hAnsi="Times New Roman"/>
                <w:sz w:val="21"/>
                <w:szCs w:val="21"/>
              </w:rPr>
              <w:t xml:space="preserve">Herbicides </w:t>
            </w:r>
          </w:p>
        </w:tc>
        <w:tc>
          <w:tcPr>
            <w:tcW w:w="5029" w:type="dxa"/>
          </w:tcPr>
          <w:p w:rsidR="007418E7" w:rsidRPr="003F5F8A" w:rsidRDefault="007418E7" w:rsidP="00D75995">
            <w:pPr>
              <w:ind w:right="-50"/>
              <w:jc w:val="both"/>
              <w:rPr>
                <w:sz w:val="21"/>
                <w:szCs w:val="21"/>
              </w:rPr>
            </w:pPr>
            <w:r w:rsidRPr="003F5F8A">
              <w:rPr>
                <w:sz w:val="21"/>
                <w:szCs w:val="21"/>
              </w:rPr>
              <w:t>Produit qui contrôle les végétaux herbacés.</w:t>
            </w:r>
          </w:p>
        </w:tc>
      </w:tr>
      <w:tr w:rsidR="007418E7" w:rsidRPr="003F5F8A" w:rsidTr="00064F08">
        <w:tc>
          <w:tcPr>
            <w:tcW w:w="3103" w:type="dxa"/>
          </w:tcPr>
          <w:p w:rsidR="007418E7" w:rsidRPr="003F5F8A" w:rsidRDefault="007418E7" w:rsidP="00157035">
            <w:pPr>
              <w:pStyle w:val="PargrafodaLista"/>
              <w:numPr>
                <w:ilvl w:val="0"/>
                <w:numId w:val="136"/>
              </w:numPr>
              <w:spacing w:after="0" w:line="240" w:lineRule="auto"/>
              <w:ind w:right="-50"/>
              <w:jc w:val="both"/>
              <w:rPr>
                <w:rFonts w:ascii="Times New Roman" w:hAnsi="Times New Roman"/>
                <w:sz w:val="21"/>
                <w:szCs w:val="21"/>
              </w:rPr>
            </w:pPr>
            <w:r w:rsidRPr="003F5F8A">
              <w:rPr>
                <w:rFonts w:ascii="Times New Roman" w:hAnsi="Times New Roman"/>
                <w:sz w:val="21"/>
                <w:szCs w:val="21"/>
              </w:rPr>
              <w:t xml:space="preserve">Nématicides </w:t>
            </w:r>
          </w:p>
        </w:tc>
        <w:tc>
          <w:tcPr>
            <w:tcW w:w="5029" w:type="dxa"/>
          </w:tcPr>
          <w:p w:rsidR="007418E7" w:rsidRPr="003F5F8A" w:rsidRDefault="007418E7" w:rsidP="00D75995">
            <w:pPr>
              <w:ind w:right="-50"/>
              <w:jc w:val="both"/>
              <w:rPr>
                <w:sz w:val="21"/>
                <w:szCs w:val="21"/>
              </w:rPr>
            </w:pPr>
            <w:r w:rsidRPr="003F5F8A">
              <w:rPr>
                <w:sz w:val="21"/>
                <w:szCs w:val="21"/>
              </w:rPr>
              <w:t>Produit qui contrôle les nématodes</w:t>
            </w:r>
          </w:p>
        </w:tc>
      </w:tr>
      <w:tr w:rsidR="007418E7" w:rsidRPr="003F5F8A" w:rsidTr="00064F08">
        <w:tc>
          <w:tcPr>
            <w:tcW w:w="3103" w:type="dxa"/>
          </w:tcPr>
          <w:p w:rsidR="007418E7" w:rsidRPr="003F5F8A" w:rsidRDefault="007418E7" w:rsidP="00157035">
            <w:pPr>
              <w:pStyle w:val="PargrafodaLista"/>
              <w:numPr>
                <w:ilvl w:val="0"/>
                <w:numId w:val="136"/>
              </w:numPr>
              <w:spacing w:after="0" w:line="240" w:lineRule="auto"/>
              <w:ind w:right="-50"/>
              <w:jc w:val="both"/>
              <w:rPr>
                <w:rFonts w:ascii="Times New Roman" w:hAnsi="Times New Roman"/>
                <w:sz w:val="21"/>
                <w:szCs w:val="21"/>
              </w:rPr>
            </w:pPr>
            <w:r w:rsidRPr="003F5F8A">
              <w:rPr>
                <w:rFonts w:ascii="Times New Roman" w:hAnsi="Times New Roman"/>
                <w:sz w:val="21"/>
                <w:szCs w:val="21"/>
              </w:rPr>
              <w:t xml:space="preserve">Fourmicide </w:t>
            </w:r>
          </w:p>
        </w:tc>
        <w:tc>
          <w:tcPr>
            <w:tcW w:w="5029" w:type="dxa"/>
          </w:tcPr>
          <w:p w:rsidR="007418E7" w:rsidRPr="003F5F8A" w:rsidRDefault="007418E7" w:rsidP="00D75995">
            <w:pPr>
              <w:ind w:right="-50"/>
              <w:jc w:val="both"/>
              <w:rPr>
                <w:sz w:val="21"/>
                <w:szCs w:val="21"/>
              </w:rPr>
            </w:pPr>
            <w:r w:rsidRPr="003F5F8A">
              <w:rPr>
                <w:sz w:val="21"/>
                <w:szCs w:val="21"/>
              </w:rPr>
              <w:t>Produit qui contrôle les Fourmies</w:t>
            </w:r>
          </w:p>
        </w:tc>
      </w:tr>
    </w:tbl>
    <w:p w:rsidR="007418E7" w:rsidRPr="003F5F8A" w:rsidRDefault="007418E7" w:rsidP="0020294E">
      <w:pPr>
        <w:ind w:left="709" w:right="-50"/>
        <w:jc w:val="both"/>
        <w:rPr>
          <w:sz w:val="21"/>
          <w:szCs w:val="21"/>
        </w:rPr>
      </w:pPr>
      <w:r w:rsidRPr="003F5F8A">
        <w:rPr>
          <w:sz w:val="21"/>
          <w:szCs w:val="21"/>
        </w:rPr>
        <w:t xml:space="preserve">NB : Parmi les Pesticides, les plus couramment utilisés </w:t>
      </w:r>
      <w:r w:rsidR="00513A6A" w:rsidRPr="003F5F8A">
        <w:rPr>
          <w:sz w:val="21"/>
          <w:szCs w:val="21"/>
        </w:rPr>
        <w:t>sont :</w:t>
      </w:r>
    </w:p>
    <w:tbl>
      <w:tblPr>
        <w:tblStyle w:val="Tabelacomgrelha"/>
        <w:tblW w:w="0" w:type="auto"/>
        <w:jc w:val="center"/>
        <w:tblLook w:val="04A0" w:firstRow="1" w:lastRow="0" w:firstColumn="1" w:lastColumn="0" w:noHBand="0" w:noVBand="1"/>
      </w:tblPr>
      <w:tblGrid>
        <w:gridCol w:w="3118"/>
        <w:gridCol w:w="4531"/>
      </w:tblGrid>
      <w:tr w:rsidR="002D49B6" w:rsidRPr="003F5F8A" w:rsidTr="00064F08">
        <w:trPr>
          <w:jc w:val="center"/>
        </w:trPr>
        <w:tc>
          <w:tcPr>
            <w:tcW w:w="3118" w:type="dxa"/>
            <w:vMerge w:val="restart"/>
          </w:tcPr>
          <w:p w:rsidR="002D49B6" w:rsidRPr="003F5F8A" w:rsidRDefault="002D49B6" w:rsidP="00D75995">
            <w:pPr>
              <w:ind w:right="-50"/>
              <w:jc w:val="both"/>
              <w:rPr>
                <w:sz w:val="21"/>
                <w:szCs w:val="21"/>
              </w:rPr>
            </w:pPr>
            <w:r w:rsidRPr="003F5F8A">
              <w:rPr>
                <w:sz w:val="21"/>
                <w:szCs w:val="21"/>
              </w:rPr>
              <w:t>Les Fongicides</w:t>
            </w:r>
          </w:p>
        </w:tc>
        <w:tc>
          <w:tcPr>
            <w:tcW w:w="4531" w:type="dxa"/>
          </w:tcPr>
          <w:p w:rsidR="002D49B6" w:rsidRPr="003F5F8A" w:rsidRDefault="002D49B6" w:rsidP="00D75995">
            <w:pPr>
              <w:ind w:right="-50"/>
              <w:jc w:val="both"/>
              <w:rPr>
                <w:sz w:val="21"/>
                <w:szCs w:val="21"/>
              </w:rPr>
            </w:pPr>
            <w:r w:rsidRPr="003F5F8A">
              <w:rPr>
                <w:sz w:val="21"/>
                <w:szCs w:val="21"/>
              </w:rPr>
              <w:t xml:space="preserve">Fenamiphos 100g/kgWG; </w:t>
            </w:r>
          </w:p>
        </w:tc>
      </w:tr>
      <w:tr w:rsidR="002D49B6" w:rsidRPr="003F5F8A" w:rsidTr="00064F08">
        <w:trPr>
          <w:jc w:val="center"/>
        </w:trPr>
        <w:tc>
          <w:tcPr>
            <w:tcW w:w="3118" w:type="dxa"/>
            <w:vMerge/>
          </w:tcPr>
          <w:p w:rsidR="002D49B6" w:rsidRPr="003F5F8A" w:rsidRDefault="002D49B6" w:rsidP="00D75995">
            <w:pPr>
              <w:ind w:right="-50"/>
              <w:jc w:val="both"/>
              <w:rPr>
                <w:sz w:val="21"/>
                <w:szCs w:val="21"/>
              </w:rPr>
            </w:pPr>
          </w:p>
        </w:tc>
        <w:tc>
          <w:tcPr>
            <w:tcW w:w="4531" w:type="dxa"/>
          </w:tcPr>
          <w:p w:rsidR="002D49B6" w:rsidRPr="003F5F8A" w:rsidRDefault="002D49B6" w:rsidP="00D75995">
            <w:pPr>
              <w:ind w:right="-50"/>
              <w:jc w:val="both"/>
              <w:rPr>
                <w:sz w:val="21"/>
                <w:szCs w:val="21"/>
              </w:rPr>
            </w:pPr>
            <w:r w:rsidRPr="003F5F8A">
              <w:rPr>
                <w:sz w:val="21"/>
                <w:szCs w:val="21"/>
              </w:rPr>
              <w:t>Manèbe 80%</w:t>
            </w:r>
          </w:p>
        </w:tc>
      </w:tr>
      <w:tr w:rsidR="006C2B47" w:rsidRPr="003F5F8A" w:rsidTr="00064F08">
        <w:trPr>
          <w:trHeight w:val="292"/>
          <w:jc w:val="center"/>
        </w:trPr>
        <w:tc>
          <w:tcPr>
            <w:tcW w:w="3118" w:type="dxa"/>
            <w:vMerge w:val="restart"/>
          </w:tcPr>
          <w:p w:rsidR="006C2B47" w:rsidRPr="003F5F8A" w:rsidRDefault="006C2B47" w:rsidP="00D75995">
            <w:pPr>
              <w:ind w:right="-50"/>
              <w:jc w:val="both"/>
              <w:rPr>
                <w:sz w:val="21"/>
                <w:szCs w:val="21"/>
              </w:rPr>
            </w:pPr>
            <w:r w:rsidRPr="003F5F8A">
              <w:rPr>
                <w:sz w:val="21"/>
                <w:szCs w:val="21"/>
              </w:rPr>
              <w:t>Insecticides</w:t>
            </w:r>
          </w:p>
        </w:tc>
        <w:tc>
          <w:tcPr>
            <w:tcW w:w="4531" w:type="dxa"/>
          </w:tcPr>
          <w:p w:rsidR="006C2B47" w:rsidRPr="003F5F8A" w:rsidRDefault="006C2B47" w:rsidP="00D75995">
            <w:pPr>
              <w:ind w:right="-50"/>
              <w:jc w:val="both"/>
              <w:rPr>
                <w:sz w:val="21"/>
                <w:szCs w:val="21"/>
              </w:rPr>
            </w:pPr>
            <w:r w:rsidRPr="003F5F8A">
              <w:rPr>
                <w:sz w:val="21"/>
                <w:szCs w:val="21"/>
              </w:rPr>
              <w:t>Fénobucarb 500g/l</w:t>
            </w:r>
          </w:p>
        </w:tc>
      </w:tr>
      <w:tr w:rsidR="006C2B47" w:rsidRPr="003F5F8A" w:rsidTr="00064F08">
        <w:trPr>
          <w:jc w:val="center"/>
        </w:trPr>
        <w:tc>
          <w:tcPr>
            <w:tcW w:w="3118" w:type="dxa"/>
            <w:vMerge/>
          </w:tcPr>
          <w:p w:rsidR="006C2B47" w:rsidRPr="003F5F8A" w:rsidRDefault="006C2B47" w:rsidP="00D75995">
            <w:pPr>
              <w:ind w:right="-50"/>
              <w:jc w:val="both"/>
              <w:rPr>
                <w:sz w:val="21"/>
                <w:szCs w:val="21"/>
              </w:rPr>
            </w:pPr>
          </w:p>
        </w:tc>
        <w:tc>
          <w:tcPr>
            <w:tcW w:w="4531" w:type="dxa"/>
          </w:tcPr>
          <w:p w:rsidR="006C2B47" w:rsidRPr="003F5F8A" w:rsidRDefault="006C2B47" w:rsidP="00D75995">
            <w:pPr>
              <w:ind w:right="-50"/>
              <w:jc w:val="both"/>
              <w:rPr>
                <w:sz w:val="21"/>
                <w:szCs w:val="21"/>
              </w:rPr>
            </w:pPr>
            <w:r w:rsidRPr="003F5F8A">
              <w:rPr>
                <w:sz w:val="21"/>
                <w:szCs w:val="21"/>
              </w:rPr>
              <w:t>cyperméthrine 12g/l</w:t>
            </w:r>
          </w:p>
        </w:tc>
      </w:tr>
      <w:tr w:rsidR="006C2B47" w:rsidRPr="003F5F8A" w:rsidTr="00064F08">
        <w:trPr>
          <w:jc w:val="center"/>
        </w:trPr>
        <w:tc>
          <w:tcPr>
            <w:tcW w:w="3118" w:type="dxa"/>
            <w:vMerge/>
          </w:tcPr>
          <w:p w:rsidR="006C2B47" w:rsidRPr="003F5F8A" w:rsidRDefault="006C2B47" w:rsidP="00D75995">
            <w:pPr>
              <w:ind w:right="-50"/>
              <w:jc w:val="both"/>
              <w:rPr>
                <w:sz w:val="21"/>
                <w:szCs w:val="21"/>
              </w:rPr>
            </w:pPr>
          </w:p>
        </w:tc>
        <w:tc>
          <w:tcPr>
            <w:tcW w:w="4531" w:type="dxa"/>
          </w:tcPr>
          <w:p w:rsidR="006C2B47" w:rsidRPr="003F5F8A" w:rsidRDefault="006C2B47" w:rsidP="00D75995">
            <w:pPr>
              <w:ind w:right="-50"/>
              <w:jc w:val="both"/>
              <w:rPr>
                <w:sz w:val="21"/>
                <w:szCs w:val="21"/>
              </w:rPr>
            </w:pPr>
            <w:r w:rsidRPr="003F5F8A">
              <w:rPr>
                <w:sz w:val="21"/>
                <w:szCs w:val="21"/>
              </w:rPr>
              <w:t>Cyperméthrine 50g/l</w:t>
            </w:r>
          </w:p>
        </w:tc>
      </w:tr>
      <w:tr w:rsidR="006C2B47" w:rsidRPr="003F5F8A" w:rsidTr="00064F08">
        <w:trPr>
          <w:jc w:val="center"/>
        </w:trPr>
        <w:tc>
          <w:tcPr>
            <w:tcW w:w="3118" w:type="dxa"/>
            <w:vMerge/>
          </w:tcPr>
          <w:p w:rsidR="006C2B47" w:rsidRPr="003F5F8A" w:rsidRDefault="006C2B47" w:rsidP="00D75995">
            <w:pPr>
              <w:ind w:right="-50"/>
              <w:jc w:val="both"/>
              <w:rPr>
                <w:sz w:val="21"/>
                <w:szCs w:val="21"/>
              </w:rPr>
            </w:pPr>
          </w:p>
        </w:tc>
        <w:tc>
          <w:tcPr>
            <w:tcW w:w="4531" w:type="dxa"/>
          </w:tcPr>
          <w:p w:rsidR="006C2B47" w:rsidRPr="003F5F8A" w:rsidRDefault="006C2B47" w:rsidP="00D75995">
            <w:pPr>
              <w:ind w:right="-50"/>
              <w:jc w:val="both"/>
              <w:rPr>
                <w:sz w:val="21"/>
                <w:szCs w:val="21"/>
              </w:rPr>
            </w:pPr>
            <w:r w:rsidRPr="003F5F8A">
              <w:rPr>
                <w:sz w:val="21"/>
                <w:szCs w:val="21"/>
              </w:rPr>
              <w:t>Cyperméthrine 72g/l</w:t>
            </w:r>
          </w:p>
        </w:tc>
      </w:tr>
      <w:tr w:rsidR="006C2B47" w:rsidRPr="003F5F8A" w:rsidTr="00064F08">
        <w:trPr>
          <w:jc w:val="center"/>
        </w:trPr>
        <w:tc>
          <w:tcPr>
            <w:tcW w:w="3118" w:type="dxa"/>
            <w:vMerge/>
          </w:tcPr>
          <w:p w:rsidR="006C2B47" w:rsidRPr="003F5F8A" w:rsidRDefault="006C2B47" w:rsidP="00D75995">
            <w:pPr>
              <w:ind w:right="-50"/>
              <w:jc w:val="both"/>
              <w:rPr>
                <w:sz w:val="21"/>
                <w:szCs w:val="21"/>
              </w:rPr>
            </w:pPr>
          </w:p>
        </w:tc>
        <w:tc>
          <w:tcPr>
            <w:tcW w:w="4531" w:type="dxa"/>
          </w:tcPr>
          <w:p w:rsidR="006C2B47" w:rsidRPr="003F5F8A" w:rsidRDefault="006C2B47" w:rsidP="00D75995">
            <w:pPr>
              <w:ind w:right="-50"/>
              <w:jc w:val="both"/>
              <w:rPr>
                <w:sz w:val="21"/>
                <w:szCs w:val="21"/>
              </w:rPr>
            </w:pPr>
            <w:r w:rsidRPr="003F5F8A">
              <w:rPr>
                <w:sz w:val="21"/>
                <w:szCs w:val="21"/>
              </w:rPr>
              <w:t xml:space="preserve">Cyperméthrine 54g/l   </w:t>
            </w:r>
          </w:p>
        </w:tc>
      </w:tr>
      <w:tr w:rsidR="006C2B47" w:rsidRPr="003F5F8A" w:rsidTr="00064F08">
        <w:trPr>
          <w:jc w:val="center"/>
        </w:trPr>
        <w:tc>
          <w:tcPr>
            <w:tcW w:w="3118" w:type="dxa"/>
            <w:vMerge/>
          </w:tcPr>
          <w:p w:rsidR="006C2B47" w:rsidRPr="003F5F8A" w:rsidRDefault="006C2B47" w:rsidP="00D75995">
            <w:pPr>
              <w:ind w:right="-50"/>
              <w:jc w:val="both"/>
              <w:rPr>
                <w:sz w:val="21"/>
                <w:szCs w:val="21"/>
              </w:rPr>
            </w:pPr>
          </w:p>
        </w:tc>
        <w:tc>
          <w:tcPr>
            <w:tcW w:w="4531" w:type="dxa"/>
          </w:tcPr>
          <w:p w:rsidR="006C2B47" w:rsidRPr="003F5F8A" w:rsidRDefault="006C2B47" w:rsidP="00D75995">
            <w:pPr>
              <w:ind w:right="-50"/>
              <w:jc w:val="both"/>
              <w:rPr>
                <w:sz w:val="21"/>
                <w:szCs w:val="21"/>
              </w:rPr>
            </w:pPr>
            <w:r w:rsidRPr="003F5F8A">
              <w:rPr>
                <w:sz w:val="21"/>
                <w:szCs w:val="21"/>
              </w:rPr>
              <w:t>Chlorpyriphos-Ethyl 600g/l</w:t>
            </w:r>
          </w:p>
        </w:tc>
      </w:tr>
      <w:tr w:rsidR="003D5FBE" w:rsidRPr="003F5F8A" w:rsidTr="00064F08">
        <w:trPr>
          <w:jc w:val="center"/>
        </w:trPr>
        <w:tc>
          <w:tcPr>
            <w:tcW w:w="3118" w:type="dxa"/>
            <w:vMerge w:val="restart"/>
          </w:tcPr>
          <w:p w:rsidR="003D5FBE" w:rsidRPr="003F5F8A" w:rsidRDefault="003D5FBE" w:rsidP="00D75995">
            <w:pPr>
              <w:ind w:right="-50"/>
              <w:jc w:val="both"/>
              <w:rPr>
                <w:sz w:val="21"/>
                <w:szCs w:val="21"/>
              </w:rPr>
            </w:pPr>
            <w:r w:rsidRPr="003F5F8A">
              <w:rPr>
                <w:sz w:val="21"/>
                <w:szCs w:val="21"/>
              </w:rPr>
              <w:t>Herbicides</w:t>
            </w:r>
          </w:p>
        </w:tc>
        <w:tc>
          <w:tcPr>
            <w:tcW w:w="4531" w:type="dxa"/>
          </w:tcPr>
          <w:p w:rsidR="003D5FBE" w:rsidRPr="003F5F8A" w:rsidRDefault="003D5FBE" w:rsidP="00D75995">
            <w:pPr>
              <w:ind w:right="-50"/>
              <w:jc w:val="both"/>
              <w:rPr>
                <w:sz w:val="21"/>
                <w:szCs w:val="21"/>
              </w:rPr>
            </w:pPr>
            <w:r w:rsidRPr="003F5F8A">
              <w:rPr>
                <w:sz w:val="21"/>
                <w:szCs w:val="21"/>
              </w:rPr>
              <w:t>Diuron 800g/l</w:t>
            </w:r>
          </w:p>
        </w:tc>
      </w:tr>
      <w:tr w:rsidR="003D5FBE" w:rsidRPr="003F5F8A" w:rsidTr="00064F08">
        <w:trPr>
          <w:jc w:val="center"/>
        </w:trPr>
        <w:tc>
          <w:tcPr>
            <w:tcW w:w="3118" w:type="dxa"/>
            <w:vMerge/>
          </w:tcPr>
          <w:p w:rsidR="003D5FBE" w:rsidRPr="003F5F8A" w:rsidRDefault="003D5FBE" w:rsidP="00D75995">
            <w:pPr>
              <w:ind w:right="-50"/>
              <w:jc w:val="both"/>
              <w:rPr>
                <w:sz w:val="21"/>
                <w:szCs w:val="21"/>
              </w:rPr>
            </w:pPr>
          </w:p>
        </w:tc>
        <w:tc>
          <w:tcPr>
            <w:tcW w:w="4531" w:type="dxa"/>
          </w:tcPr>
          <w:p w:rsidR="003D5FBE" w:rsidRPr="003F5F8A" w:rsidRDefault="003D5FBE" w:rsidP="00D75995">
            <w:pPr>
              <w:ind w:right="-50"/>
              <w:jc w:val="both"/>
              <w:rPr>
                <w:sz w:val="21"/>
                <w:szCs w:val="21"/>
              </w:rPr>
            </w:pPr>
            <w:r w:rsidRPr="003F5F8A">
              <w:rPr>
                <w:sz w:val="21"/>
                <w:szCs w:val="21"/>
              </w:rPr>
              <w:t>Diuron 800g/kg</w:t>
            </w:r>
          </w:p>
        </w:tc>
      </w:tr>
      <w:tr w:rsidR="003D5FBE" w:rsidRPr="003F5F8A" w:rsidTr="00064F08">
        <w:trPr>
          <w:jc w:val="center"/>
        </w:trPr>
        <w:tc>
          <w:tcPr>
            <w:tcW w:w="3118" w:type="dxa"/>
            <w:vMerge/>
          </w:tcPr>
          <w:p w:rsidR="003D5FBE" w:rsidRPr="003F5F8A" w:rsidRDefault="003D5FBE" w:rsidP="00D75995">
            <w:pPr>
              <w:ind w:right="-50"/>
              <w:jc w:val="both"/>
              <w:rPr>
                <w:sz w:val="21"/>
                <w:szCs w:val="21"/>
              </w:rPr>
            </w:pPr>
          </w:p>
        </w:tc>
        <w:tc>
          <w:tcPr>
            <w:tcW w:w="4531" w:type="dxa"/>
          </w:tcPr>
          <w:p w:rsidR="003D5FBE" w:rsidRPr="003F5F8A" w:rsidRDefault="003D5FBE" w:rsidP="00D75995">
            <w:pPr>
              <w:ind w:right="-50"/>
              <w:jc w:val="both"/>
              <w:rPr>
                <w:sz w:val="21"/>
                <w:szCs w:val="21"/>
              </w:rPr>
            </w:pPr>
            <w:r w:rsidRPr="003F5F8A">
              <w:rPr>
                <w:sz w:val="21"/>
                <w:szCs w:val="21"/>
              </w:rPr>
              <w:t>Glyphosate 680g/l</w:t>
            </w:r>
          </w:p>
        </w:tc>
      </w:tr>
      <w:tr w:rsidR="003D5FBE" w:rsidRPr="003F5F8A" w:rsidTr="00064F08">
        <w:trPr>
          <w:jc w:val="center"/>
        </w:trPr>
        <w:tc>
          <w:tcPr>
            <w:tcW w:w="3118" w:type="dxa"/>
            <w:vMerge/>
          </w:tcPr>
          <w:p w:rsidR="003D5FBE" w:rsidRPr="003F5F8A" w:rsidRDefault="003D5FBE" w:rsidP="00D75995">
            <w:pPr>
              <w:ind w:right="-50"/>
              <w:jc w:val="both"/>
              <w:rPr>
                <w:sz w:val="21"/>
                <w:szCs w:val="21"/>
              </w:rPr>
            </w:pPr>
          </w:p>
        </w:tc>
        <w:tc>
          <w:tcPr>
            <w:tcW w:w="4531" w:type="dxa"/>
          </w:tcPr>
          <w:p w:rsidR="003D5FBE" w:rsidRPr="003F5F8A" w:rsidRDefault="003D5FBE" w:rsidP="00D75995">
            <w:pPr>
              <w:ind w:right="-50"/>
              <w:jc w:val="both"/>
              <w:rPr>
                <w:sz w:val="21"/>
                <w:szCs w:val="21"/>
              </w:rPr>
            </w:pPr>
            <w:r w:rsidRPr="003F5F8A">
              <w:rPr>
                <w:sz w:val="21"/>
                <w:szCs w:val="21"/>
              </w:rPr>
              <w:t>Glyphosate 450g/l</w:t>
            </w:r>
          </w:p>
        </w:tc>
      </w:tr>
      <w:tr w:rsidR="003D5FBE" w:rsidRPr="003F5F8A" w:rsidTr="00064F08">
        <w:trPr>
          <w:jc w:val="center"/>
        </w:trPr>
        <w:tc>
          <w:tcPr>
            <w:tcW w:w="3118" w:type="dxa"/>
            <w:vMerge/>
          </w:tcPr>
          <w:p w:rsidR="003D5FBE" w:rsidRPr="003F5F8A" w:rsidRDefault="003D5FBE" w:rsidP="00D75995">
            <w:pPr>
              <w:ind w:right="-50"/>
              <w:jc w:val="both"/>
              <w:rPr>
                <w:sz w:val="21"/>
                <w:szCs w:val="21"/>
              </w:rPr>
            </w:pPr>
          </w:p>
        </w:tc>
        <w:tc>
          <w:tcPr>
            <w:tcW w:w="4531" w:type="dxa"/>
          </w:tcPr>
          <w:p w:rsidR="003D5FBE" w:rsidRPr="003F5F8A" w:rsidRDefault="003D5FBE" w:rsidP="00D75995">
            <w:pPr>
              <w:ind w:right="-50"/>
              <w:jc w:val="both"/>
              <w:rPr>
                <w:sz w:val="21"/>
                <w:szCs w:val="21"/>
              </w:rPr>
            </w:pPr>
            <w:r w:rsidRPr="003F5F8A">
              <w:rPr>
                <w:sz w:val="21"/>
                <w:szCs w:val="21"/>
              </w:rPr>
              <w:t>Atrazine 900g/kg</w:t>
            </w:r>
          </w:p>
        </w:tc>
      </w:tr>
      <w:tr w:rsidR="003D5FBE" w:rsidRPr="003F5F8A" w:rsidTr="00064F08">
        <w:trPr>
          <w:jc w:val="center"/>
        </w:trPr>
        <w:tc>
          <w:tcPr>
            <w:tcW w:w="3118" w:type="dxa"/>
            <w:vMerge/>
          </w:tcPr>
          <w:p w:rsidR="003D5FBE" w:rsidRPr="003F5F8A" w:rsidRDefault="003D5FBE" w:rsidP="00D75995">
            <w:pPr>
              <w:ind w:right="-50"/>
              <w:jc w:val="both"/>
              <w:rPr>
                <w:sz w:val="21"/>
                <w:szCs w:val="21"/>
              </w:rPr>
            </w:pPr>
          </w:p>
        </w:tc>
        <w:tc>
          <w:tcPr>
            <w:tcW w:w="4531" w:type="dxa"/>
          </w:tcPr>
          <w:p w:rsidR="003D5FBE" w:rsidRPr="003F5F8A" w:rsidRDefault="003D5FBE" w:rsidP="00D75995">
            <w:pPr>
              <w:ind w:right="-50"/>
              <w:jc w:val="both"/>
              <w:rPr>
                <w:sz w:val="21"/>
                <w:szCs w:val="21"/>
              </w:rPr>
            </w:pPr>
            <w:r w:rsidRPr="003F5F8A">
              <w:rPr>
                <w:sz w:val="21"/>
                <w:szCs w:val="21"/>
              </w:rPr>
              <w:t>Pendiméthaline 500g/l</w:t>
            </w:r>
          </w:p>
        </w:tc>
      </w:tr>
    </w:tbl>
    <w:p w:rsidR="00373181" w:rsidRPr="003F5F8A" w:rsidRDefault="00373181" w:rsidP="00D75995">
      <w:pPr>
        <w:ind w:right="-50"/>
        <w:jc w:val="both"/>
        <w:rPr>
          <w:sz w:val="21"/>
          <w:szCs w:val="21"/>
        </w:rPr>
      </w:pPr>
    </w:p>
    <w:p w:rsidR="0004224F" w:rsidRPr="003F5F8A" w:rsidRDefault="00B600CF" w:rsidP="00D75995">
      <w:pPr>
        <w:keepNext/>
        <w:spacing w:line="276" w:lineRule="auto"/>
        <w:ind w:right="-50"/>
        <w:jc w:val="both"/>
        <w:outlineLvl w:val="1"/>
        <w:rPr>
          <w:b/>
          <w:sz w:val="21"/>
          <w:szCs w:val="21"/>
        </w:rPr>
      </w:pPr>
      <w:r w:rsidRPr="003F5F8A">
        <w:rPr>
          <w:b/>
          <w:sz w:val="21"/>
          <w:szCs w:val="21"/>
        </w:rPr>
        <w:tab/>
      </w:r>
      <w:bookmarkStart w:id="506" w:name="_Toc67508598"/>
      <w:bookmarkStart w:id="507" w:name="_Toc69918788"/>
      <w:bookmarkStart w:id="508" w:name="_Toc73459833"/>
      <w:r w:rsidR="0004224F" w:rsidRPr="003F5F8A">
        <w:rPr>
          <w:b/>
          <w:sz w:val="21"/>
          <w:szCs w:val="21"/>
        </w:rPr>
        <w:t>Situation phytosanitaire</w:t>
      </w:r>
      <w:bookmarkEnd w:id="506"/>
      <w:bookmarkEnd w:id="507"/>
      <w:bookmarkEnd w:id="508"/>
      <w:r w:rsidR="0004224F" w:rsidRPr="003F5F8A">
        <w:rPr>
          <w:b/>
          <w:sz w:val="21"/>
          <w:szCs w:val="21"/>
        </w:rPr>
        <w:t xml:space="preserve"> </w:t>
      </w:r>
    </w:p>
    <w:p w:rsidR="0004224F" w:rsidRPr="003F5F8A" w:rsidRDefault="0004224F" w:rsidP="00D75995">
      <w:pPr>
        <w:pStyle w:val="Default"/>
        <w:ind w:right="-50"/>
        <w:rPr>
          <w:rFonts w:ascii="Cambria" w:hAnsi="Cambria"/>
          <w:bCs/>
          <w:sz w:val="21"/>
          <w:szCs w:val="21"/>
        </w:rPr>
      </w:pPr>
    </w:p>
    <w:p w:rsidR="0004224F" w:rsidRPr="003F5F8A" w:rsidRDefault="0004224F" w:rsidP="0020294E">
      <w:pPr>
        <w:ind w:left="426" w:right="-50"/>
        <w:jc w:val="both"/>
        <w:rPr>
          <w:sz w:val="21"/>
          <w:szCs w:val="21"/>
        </w:rPr>
      </w:pPr>
      <w:r w:rsidRPr="003F5F8A">
        <w:rPr>
          <w:sz w:val="21"/>
          <w:szCs w:val="21"/>
        </w:rPr>
        <w:t xml:space="preserve">Malgré la présence des Sautereaux locaux et Nymphulas observés en peu partout dans toutes les régions du pays. Pour le moment la situation phytosanitaire n’a pas connu beaucoup de perturbations. </w:t>
      </w:r>
    </w:p>
    <w:p w:rsidR="0004224F" w:rsidRPr="003F5F8A" w:rsidRDefault="0004224F" w:rsidP="0020294E">
      <w:pPr>
        <w:ind w:left="426" w:right="-50"/>
        <w:jc w:val="both"/>
        <w:rPr>
          <w:sz w:val="21"/>
          <w:szCs w:val="21"/>
        </w:rPr>
      </w:pPr>
      <w:r w:rsidRPr="003F5F8A">
        <w:rPr>
          <w:sz w:val="21"/>
          <w:szCs w:val="21"/>
        </w:rPr>
        <w:t>Il est disponible au niveau de la DSPV 1039 litres produits phytosanitaires au niveau national afin d’atteindre la capacité d’intervention au plan national.</w:t>
      </w:r>
    </w:p>
    <w:p w:rsidR="0004224F" w:rsidRPr="003F5F8A" w:rsidRDefault="00AD7BEE" w:rsidP="0020294E">
      <w:pPr>
        <w:ind w:left="426" w:right="-50"/>
        <w:jc w:val="center"/>
        <w:rPr>
          <w:b/>
          <w:sz w:val="21"/>
          <w:szCs w:val="21"/>
        </w:rPr>
      </w:pPr>
      <w:r w:rsidRPr="003F5F8A">
        <w:rPr>
          <w:b/>
          <w:sz w:val="21"/>
          <w:szCs w:val="21"/>
        </w:rPr>
        <w:t xml:space="preserve">Tableau </w:t>
      </w:r>
      <w:r w:rsidR="0004224F" w:rsidRPr="003F5F8A">
        <w:rPr>
          <w:b/>
          <w:sz w:val="21"/>
          <w:szCs w:val="21"/>
        </w:rPr>
        <w:t>: Distribuition d’inseticides par régions en 2020</w:t>
      </w: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2355"/>
        <w:gridCol w:w="1418"/>
        <w:gridCol w:w="2267"/>
        <w:gridCol w:w="1417"/>
        <w:gridCol w:w="1276"/>
      </w:tblGrid>
      <w:tr w:rsidR="007264BD" w:rsidRPr="003F5F8A" w:rsidTr="007264BD">
        <w:trPr>
          <w:trHeight w:val="264"/>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Regiõe</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Inseticida</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Quant. (L)</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Inseticida</w:t>
            </w:r>
          </w:p>
        </w:tc>
        <w:tc>
          <w:tcPr>
            <w:tcW w:w="1417" w:type="dxa"/>
            <w:tcBorders>
              <w:top w:val="single" w:sz="4" w:space="0" w:color="auto"/>
              <w:left w:val="single" w:sz="4" w:space="0" w:color="auto"/>
              <w:bottom w:val="single" w:sz="4" w:space="0" w:color="auto"/>
              <w:right w:val="single" w:sz="4" w:space="0" w:color="auto"/>
            </w:tcBorders>
          </w:tcPr>
          <w:p w:rsidR="0004224F" w:rsidRPr="003F5F8A" w:rsidRDefault="0004224F" w:rsidP="00D75995">
            <w:pPr>
              <w:pStyle w:val="SemEspaamento"/>
              <w:ind w:right="-50"/>
              <w:jc w:val="center"/>
              <w:rPr>
                <w:b/>
                <w:sz w:val="21"/>
                <w:szCs w:val="21"/>
                <w:lang w:val="pt-PT"/>
              </w:rPr>
            </w:pPr>
            <w:r w:rsidRPr="003F5F8A">
              <w:rPr>
                <w:b/>
                <w:sz w:val="21"/>
                <w:szCs w:val="21"/>
                <w:lang w:val="pt-PT"/>
              </w:rPr>
              <w:t>Quant. (L)</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b/>
                <w:sz w:val="21"/>
                <w:szCs w:val="21"/>
                <w:lang w:val="pt-PT"/>
              </w:rPr>
            </w:pPr>
            <w:r w:rsidRPr="003F5F8A">
              <w:rPr>
                <w:b/>
                <w:sz w:val="21"/>
                <w:szCs w:val="21"/>
                <w:lang w:val="pt-PT"/>
              </w:rPr>
              <w:t>Total (L)</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Biombo</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40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20</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60</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Cacheu</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80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10</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90</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Oio</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80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10</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90</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Quinara</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50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10</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60</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Bafatá</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100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10</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110</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Gabu</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90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10</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100</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Tombali</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100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20</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120</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Bolama/Bijagós</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50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9</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59</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SAB</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40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10</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sz w:val="21"/>
                <w:szCs w:val="21"/>
                <w:lang w:val="pt-PT"/>
              </w:rPr>
            </w:pPr>
            <w:r w:rsidRPr="003F5F8A">
              <w:rPr>
                <w:sz w:val="21"/>
                <w:szCs w:val="21"/>
                <w:lang w:val="pt-PT"/>
              </w:rPr>
              <w:t>50</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b/>
                <w:sz w:val="21"/>
                <w:szCs w:val="21"/>
                <w:lang w:val="pt-PT"/>
              </w:rPr>
            </w:pPr>
            <w:r w:rsidRPr="003F5F8A">
              <w:rPr>
                <w:b/>
                <w:sz w:val="21"/>
                <w:szCs w:val="21"/>
                <w:lang w:val="pt-PT"/>
              </w:rPr>
              <w:t>TOTAL GERAL</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b/>
                <w:sz w:val="21"/>
                <w:szCs w:val="21"/>
                <w:lang w:val="pt-PT"/>
              </w:rPr>
            </w:pPr>
            <w:r w:rsidRPr="003F5F8A">
              <w:rPr>
                <w:b/>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630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b/>
                <w:sz w:val="21"/>
                <w:szCs w:val="21"/>
                <w:lang w:val="pt-PT"/>
              </w:rPr>
            </w:pPr>
            <w:r w:rsidRPr="003F5F8A">
              <w:rPr>
                <w:b/>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109</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739</w:t>
            </w:r>
          </w:p>
        </w:tc>
      </w:tr>
      <w:tr w:rsidR="007264BD" w:rsidRPr="003F5F8A" w:rsidTr="007264BD">
        <w:trPr>
          <w:jc w:val="center"/>
        </w:trPr>
        <w:tc>
          <w:tcPr>
            <w:tcW w:w="218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b/>
                <w:sz w:val="21"/>
                <w:szCs w:val="21"/>
              </w:rPr>
            </w:pPr>
            <w:r w:rsidRPr="003F5F8A">
              <w:rPr>
                <w:b/>
                <w:sz w:val="21"/>
                <w:szCs w:val="21"/>
              </w:rPr>
              <w:t>STOCK à la DSPV</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b/>
                <w:sz w:val="21"/>
                <w:szCs w:val="21"/>
                <w:lang w:val="pt-PT"/>
              </w:rPr>
            </w:pPr>
            <w:r w:rsidRPr="003F5F8A">
              <w:rPr>
                <w:b/>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219</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rPr>
                <w:b/>
                <w:sz w:val="21"/>
                <w:szCs w:val="21"/>
                <w:lang w:val="pt-PT"/>
              </w:rPr>
            </w:pPr>
            <w:r w:rsidRPr="003F5F8A">
              <w:rPr>
                <w:b/>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81</w:t>
            </w:r>
          </w:p>
        </w:tc>
        <w:tc>
          <w:tcPr>
            <w:tcW w:w="127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D75995">
            <w:pPr>
              <w:pStyle w:val="SemEspaamento"/>
              <w:ind w:right="-50"/>
              <w:jc w:val="center"/>
              <w:rPr>
                <w:b/>
                <w:sz w:val="21"/>
                <w:szCs w:val="21"/>
                <w:lang w:val="pt-PT"/>
              </w:rPr>
            </w:pPr>
            <w:r w:rsidRPr="003F5F8A">
              <w:rPr>
                <w:b/>
                <w:sz w:val="21"/>
                <w:szCs w:val="21"/>
                <w:lang w:val="pt-PT"/>
              </w:rPr>
              <w:t>300</w:t>
            </w:r>
          </w:p>
        </w:tc>
      </w:tr>
    </w:tbl>
    <w:p w:rsidR="00B600CF" w:rsidRPr="003F5F8A" w:rsidRDefault="00B600CF" w:rsidP="00D75995">
      <w:pPr>
        <w:tabs>
          <w:tab w:val="left" w:pos="1365"/>
        </w:tabs>
        <w:ind w:right="-50"/>
        <w:jc w:val="both"/>
        <w:rPr>
          <w:sz w:val="21"/>
          <w:szCs w:val="21"/>
        </w:rPr>
      </w:pPr>
      <w:r w:rsidRPr="003F5F8A">
        <w:rPr>
          <w:sz w:val="21"/>
          <w:szCs w:val="21"/>
        </w:rPr>
        <w:t xml:space="preserve"> </w:t>
      </w:r>
    </w:p>
    <w:p w:rsidR="00B600CF" w:rsidRDefault="0060656E" w:rsidP="005E613E">
      <w:pPr>
        <w:ind w:left="284" w:right="-851"/>
        <w:jc w:val="both"/>
        <w:rPr>
          <w:sz w:val="21"/>
          <w:szCs w:val="21"/>
        </w:rPr>
      </w:pPr>
      <w:r w:rsidRPr="003F5F8A">
        <w:rPr>
          <w:sz w:val="21"/>
          <w:szCs w:val="21"/>
        </w:rPr>
        <w:t xml:space="preserve">Ainsi, comme la liste des </w:t>
      </w:r>
      <w:r w:rsidR="00546E61" w:rsidRPr="003F5F8A">
        <w:rPr>
          <w:sz w:val="21"/>
          <w:szCs w:val="21"/>
        </w:rPr>
        <w:t>pesticides</w:t>
      </w:r>
      <w:r w:rsidR="0055665E" w:rsidRPr="003F5F8A">
        <w:rPr>
          <w:sz w:val="21"/>
          <w:szCs w:val="21"/>
        </w:rPr>
        <w:t xml:space="preserve"> sont nombreuse et </w:t>
      </w:r>
      <w:r w:rsidR="00546E61" w:rsidRPr="003F5F8A">
        <w:rPr>
          <w:sz w:val="21"/>
          <w:szCs w:val="21"/>
        </w:rPr>
        <w:t>volumineuse</w:t>
      </w:r>
      <w:r w:rsidR="0055665E" w:rsidRPr="003F5F8A">
        <w:rPr>
          <w:sz w:val="21"/>
          <w:szCs w:val="21"/>
        </w:rPr>
        <w:t>, ce lien ci-dessous permet d’</w:t>
      </w:r>
      <w:r w:rsidR="00546E61" w:rsidRPr="003F5F8A">
        <w:rPr>
          <w:sz w:val="21"/>
          <w:szCs w:val="21"/>
        </w:rPr>
        <w:t>accéder</w:t>
      </w:r>
      <w:r w:rsidR="0055665E" w:rsidRPr="003F5F8A">
        <w:rPr>
          <w:sz w:val="21"/>
          <w:szCs w:val="21"/>
        </w:rPr>
        <w:t xml:space="preserve"> à l’</w:t>
      </w:r>
      <w:r w:rsidR="00546E61" w:rsidRPr="003F5F8A">
        <w:rPr>
          <w:sz w:val="21"/>
          <w:szCs w:val="21"/>
        </w:rPr>
        <w:t>ensemble</w:t>
      </w:r>
      <w:r w:rsidR="00E561B5" w:rsidRPr="003F5F8A">
        <w:rPr>
          <w:sz w:val="21"/>
          <w:szCs w:val="21"/>
        </w:rPr>
        <w:t xml:space="preserve"> des données et les </w:t>
      </w:r>
      <w:r w:rsidR="00546E61" w:rsidRPr="003F5F8A">
        <w:rPr>
          <w:sz w:val="21"/>
          <w:szCs w:val="21"/>
        </w:rPr>
        <w:t>propriétés</w:t>
      </w:r>
      <w:r w:rsidR="00E561B5" w:rsidRPr="003F5F8A">
        <w:rPr>
          <w:sz w:val="21"/>
          <w:szCs w:val="21"/>
        </w:rPr>
        <w:t xml:space="preserve"> chimiques concernant ces pesticides autorise</w:t>
      </w:r>
      <w:r w:rsidR="00252F5A">
        <w:rPr>
          <w:sz w:val="21"/>
          <w:szCs w:val="21"/>
        </w:rPr>
        <w:t xml:space="preserve"> et respectant les normes internationales</w:t>
      </w:r>
      <w:r w:rsidR="00E561B5" w:rsidRPr="003F5F8A">
        <w:rPr>
          <w:sz w:val="21"/>
          <w:szCs w:val="21"/>
        </w:rPr>
        <w:t>.</w:t>
      </w:r>
    </w:p>
    <w:p w:rsidR="00546E61" w:rsidRDefault="00546E61" w:rsidP="005E613E">
      <w:pPr>
        <w:ind w:left="284" w:right="-851"/>
        <w:jc w:val="both"/>
        <w:rPr>
          <w:sz w:val="21"/>
          <w:szCs w:val="21"/>
        </w:rPr>
      </w:pPr>
    </w:p>
    <w:p w:rsidR="00554B0F" w:rsidRPr="003F5F8A" w:rsidRDefault="00554B0F" w:rsidP="005E613E">
      <w:pPr>
        <w:ind w:left="284" w:right="-851"/>
        <w:jc w:val="both"/>
        <w:rPr>
          <w:sz w:val="21"/>
          <w:szCs w:val="21"/>
        </w:rPr>
      </w:pPr>
      <w:r w:rsidRPr="003F5F8A">
        <w:rPr>
          <w:sz w:val="21"/>
          <w:szCs w:val="21"/>
        </w:rPr>
        <w:t>http://www.insah.org/doc/liste_globale_pesticides_autorises_par_csp_version_mai-2018.pdf</w:t>
      </w:r>
    </w:p>
    <w:p w:rsidR="00E561B5" w:rsidRPr="003F5F8A" w:rsidRDefault="00E561B5" w:rsidP="005E613E">
      <w:pPr>
        <w:ind w:right="-851"/>
        <w:jc w:val="both"/>
        <w:rPr>
          <w:sz w:val="21"/>
          <w:szCs w:val="21"/>
        </w:rPr>
      </w:pPr>
    </w:p>
    <w:p w:rsidR="007418E7" w:rsidRPr="003F5F8A" w:rsidRDefault="00034AF3" w:rsidP="005E613E">
      <w:pPr>
        <w:pStyle w:val="PargrafodaLista"/>
        <w:numPr>
          <w:ilvl w:val="0"/>
          <w:numId w:val="143"/>
        </w:numPr>
        <w:ind w:right="-851"/>
        <w:jc w:val="both"/>
        <w:rPr>
          <w:rFonts w:ascii="Times New Roman" w:hAnsi="Times New Roman"/>
          <w:b/>
          <w:sz w:val="21"/>
          <w:szCs w:val="21"/>
        </w:rPr>
      </w:pPr>
      <w:r w:rsidRPr="003F5F8A">
        <w:rPr>
          <w:rFonts w:ascii="Times New Roman" w:hAnsi="Times New Roman"/>
          <w:b/>
          <w:sz w:val="21"/>
          <w:szCs w:val="21"/>
        </w:rPr>
        <w:t>Stratégies développées de lutte contre les pestes</w:t>
      </w:r>
    </w:p>
    <w:p w:rsidR="007418E7" w:rsidRPr="003F5F8A" w:rsidRDefault="007418E7" w:rsidP="005E613E">
      <w:pPr>
        <w:ind w:left="426" w:right="-851"/>
        <w:jc w:val="both"/>
        <w:rPr>
          <w:sz w:val="21"/>
          <w:szCs w:val="21"/>
        </w:rPr>
      </w:pPr>
      <w:r w:rsidRPr="003F5F8A">
        <w:rPr>
          <w:sz w:val="21"/>
          <w:szCs w:val="21"/>
          <w:u w:val="single"/>
        </w:rPr>
        <w:t>Lutte Biologique :</w:t>
      </w:r>
      <w:r w:rsidRPr="003F5F8A">
        <w:rPr>
          <w:sz w:val="21"/>
          <w:szCs w:val="21"/>
        </w:rPr>
        <w:t xml:space="preserve"> consiste à faire l’Elevage des autres insectes qui auront pour proies, les organismes nuisibles ou indésirables (les autres insectes).</w:t>
      </w:r>
    </w:p>
    <w:p w:rsidR="007418E7" w:rsidRPr="003F5F8A" w:rsidRDefault="007418E7" w:rsidP="005E613E">
      <w:pPr>
        <w:ind w:left="426" w:right="-851"/>
        <w:jc w:val="both"/>
        <w:rPr>
          <w:sz w:val="21"/>
          <w:szCs w:val="21"/>
        </w:rPr>
      </w:pPr>
      <w:r w:rsidRPr="003F5F8A">
        <w:rPr>
          <w:sz w:val="21"/>
          <w:szCs w:val="21"/>
          <w:u w:val="single"/>
        </w:rPr>
        <w:t>Lutte biotechnique</w:t>
      </w:r>
      <w:r w:rsidRPr="003F5F8A">
        <w:rPr>
          <w:sz w:val="21"/>
          <w:szCs w:val="21"/>
        </w:rPr>
        <w:t xml:space="preserve"> :  </w:t>
      </w:r>
      <w:r w:rsidR="00513A6A" w:rsidRPr="003F5F8A">
        <w:rPr>
          <w:sz w:val="21"/>
          <w:szCs w:val="21"/>
        </w:rPr>
        <w:t>consiste à la création des virus destinés à lutter contre la prolifération ou la</w:t>
      </w:r>
      <w:r w:rsidRPr="003F5F8A">
        <w:rPr>
          <w:sz w:val="21"/>
          <w:szCs w:val="21"/>
        </w:rPr>
        <w:t xml:space="preserve"> multiplication du reste des nuisibles.</w:t>
      </w:r>
    </w:p>
    <w:p w:rsidR="007418E7" w:rsidRPr="003F5F8A" w:rsidRDefault="007418E7" w:rsidP="005E613E">
      <w:pPr>
        <w:ind w:left="426" w:right="-851"/>
        <w:jc w:val="both"/>
        <w:rPr>
          <w:sz w:val="21"/>
          <w:szCs w:val="21"/>
        </w:rPr>
      </w:pPr>
      <w:r w:rsidRPr="003F5F8A">
        <w:rPr>
          <w:sz w:val="21"/>
          <w:szCs w:val="21"/>
          <w:u w:val="single"/>
        </w:rPr>
        <w:t>Lutte intégrée :</w:t>
      </w:r>
      <w:r w:rsidRPr="003F5F8A">
        <w:rPr>
          <w:sz w:val="21"/>
          <w:szCs w:val="21"/>
        </w:rPr>
        <w:t xml:space="preserve"> la lutte intégrée est une stratégie en cours de promotion pour la lutte contre les pestes. </w:t>
      </w:r>
    </w:p>
    <w:p w:rsidR="007418E7" w:rsidRPr="003F5F8A" w:rsidRDefault="007418E7" w:rsidP="005E613E">
      <w:pPr>
        <w:ind w:left="426" w:right="-851"/>
        <w:jc w:val="both"/>
        <w:rPr>
          <w:sz w:val="21"/>
          <w:szCs w:val="21"/>
        </w:rPr>
      </w:pPr>
      <w:r w:rsidRPr="003F5F8A">
        <w:rPr>
          <w:sz w:val="21"/>
          <w:szCs w:val="21"/>
        </w:rPr>
        <w:t>La lutte intégrée concerne aussi l’utilisation des Organismes Génétiquement Modifiés (OGM) ou des espèces beaucoup plus robustes et résistantes aux parasites ou autres organismes nuisibles. Son utilisation n’est pas courante malgré les efforts entrepris bien.</w:t>
      </w:r>
    </w:p>
    <w:p w:rsidR="007418E7" w:rsidRPr="003F5F8A" w:rsidRDefault="007418E7" w:rsidP="005E613E">
      <w:pPr>
        <w:ind w:left="426" w:right="-851"/>
        <w:jc w:val="both"/>
        <w:rPr>
          <w:sz w:val="21"/>
          <w:szCs w:val="21"/>
        </w:rPr>
      </w:pPr>
      <w:r w:rsidRPr="003F5F8A">
        <w:rPr>
          <w:sz w:val="21"/>
          <w:szCs w:val="21"/>
          <w:u w:val="single"/>
        </w:rPr>
        <w:t>Lutte naturelle :</w:t>
      </w:r>
      <w:r w:rsidRPr="003F5F8A">
        <w:rPr>
          <w:sz w:val="21"/>
          <w:szCs w:val="21"/>
        </w:rPr>
        <w:t xml:space="preserve"> consiste à utiliser la technique de l’assolement pour échapper aux indésirables tout en </w:t>
      </w:r>
      <w:r w:rsidR="00513A6A" w:rsidRPr="003F5F8A">
        <w:rPr>
          <w:sz w:val="21"/>
          <w:szCs w:val="21"/>
        </w:rPr>
        <w:t>détruisant au feu les anciens sites larvaires (anciens champs ou parcelles contaminés ou infestés</w:t>
      </w:r>
      <w:r w:rsidRPr="003F5F8A">
        <w:rPr>
          <w:sz w:val="21"/>
          <w:szCs w:val="21"/>
        </w:rPr>
        <w:t xml:space="preserve"> précédemment par les nuisibles).</w:t>
      </w:r>
    </w:p>
    <w:p w:rsidR="00083B9D" w:rsidRPr="003F5F8A" w:rsidRDefault="00083B9D" w:rsidP="005E613E">
      <w:pPr>
        <w:ind w:right="-851"/>
        <w:jc w:val="both"/>
        <w:rPr>
          <w:sz w:val="21"/>
          <w:szCs w:val="21"/>
        </w:rPr>
      </w:pPr>
    </w:p>
    <w:p w:rsidR="00083B9D" w:rsidRPr="003F5F8A" w:rsidRDefault="00083B9D" w:rsidP="005E613E">
      <w:pPr>
        <w:pStyle w:val="PargrafodaLista"/>
        <w:numPr>
          <w:ilvl w:val="0"/>
          <w:numId w:val="143"/>
        </w:numPr>
        <w:ind w:right="-851"/>
        <w:jc w:val="both"/>
        <w:rPr>
          <w:rFonts w:ascii="Times New Roman" w:hAnsi="Times New Roman"/>
          <w:b/>
          <w:sz w:val="21"/>
          <w:szCs w:val="21"/>
        </w:rPr>
      </w:pPr>
      <w:r w:rsidRPr="003F5F8A">
        <w:rPr>
          <w:rFonts w:ascii="Times New Roman" w:hAnsi="Times New Roman"/>
          <w:b/>
          <w:sz w:val="21"/>
          <w:szCs w:val="21"/>
        </w:rPr>
        <w:t>Pratiques culturelles et sanitaires des cultures ou les pratiques que le plan de lutte contre les parasites</w:t>
      </w:r>
    </w:p>
    <w:p w:rsidR="007418E7" w:rsidRPr="003F5F8A" w:rsidRDefault="007418E7" w:rsidP="005E613E">
      <w:pPr>
        <w:ind w:left="284" w:right="-851"/>
        <w:jc w:val="both"/>
        <w:rPr>
          <w:sz w:val="21"/>
          <w:szCs w:val="21"/>
        </w:rPr>
      </w:pPr>
      <w:r w:rsidRPr="003F5F8A">
        <w:rPr>
          <w:sz w:val="21"/>
          <w:szCs w:val="21"/>
        </w:rPr>
        <w:t xml:space="preserve">Plusieurs méthodes sont utilisées en lutte intégrée notamment : les techniques culturales ; le décalage des dates de semis ; le sarclage précoce des mauvaises herbes ; la prospection d’oothèques en saison sèche ;  l’utilisation  des  variétés  résistantes ;  la  lutte  biologique  (champignon,  insectes  parasites) ; utilisation de produits non nocifs comme les pyréthrinoides ; le développement de paquet technique en matière de méthodes alternatives à la lutte chimique par l’élaboration de fiches techniques appropriées. </w:t>
      </w:r>
    </w:p>
    <w:p w:rsidR="00083B9D" w:rsidRPr="003F5F8A" w:rsidRDefault="00083B9D" w:rsidP="005E613E">
      <w:pPr>
        <w:ind w:left="284" w:right="-851"/>
        <w:jc w:val="both"/>
        <w:rPr>
          <w:sz w:val="21"/>
          <w:szCs w:val="21"/>
        </w:rPr>
      </w:pPr>
      <w:r w:rsidRPr="003F5F8A">
        <w:rPr>
          <w:sz w:val="21"/>
          <w:szCs w:val="21"/>
        </w:rPr>
        <w:t xml:space="preserve">Par définition, la lutte intégrée est une méthode décisionnelle qui a recours à toutes les techniques nécessaires pour réduire les populations de ravageurs de façon efficace et économique, tout en respectant l’environnement. </w:t>
      </w:r>
    </w:p>
    <w:p w:rsidR="00083B9D" w:rsidRPr="003F5F8A" w:rsidRDefault="00083B9D" w:rsidP="005E613E">
      <w:pPr>
        <w:ind w:left="284" w:right="-851"/>
        <w:jc w:val="both"/>
        <w:rPr>
          <w:sz w:val="21"/>
          <w:szCs w:val="21"/>
        </w:rPr>
      </w:pPr>
      <w:r w:rsidRPr="003F5F8A">
        <w:rPr>
          <w:sz w:val="21"/>
          <w:szCs w:val="21"/>
        </w:rPr>
        <w:t xml:space="preserve">Ainsi elle consistera à combiner les moyens de lutte biologique, la sélection d’espèces résistantes et l’application de méthodes agricoles appropriées et passe par plusieurs phases :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identifier les maladies et ravageurs potentiels ;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dépister les ravageurs et les organismes utiles, les dommages causés par les ravageurs et les conditions environnementales ;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utiliser les seuils d’intervention pour décider des mesures de lutte à prendre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gérer les écosystèmes dans le but d’empêcher les organismes vivants de devenir des organismes nuisibles ;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réduire les populations de ravageurs à des niveaux acceptables en utilisant des stratégies qui combinent des méthodes de lutte biologique; culturale, mécanique, et, si nécessaire, chimique;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évaluer les conséquences et l’efficacité des stratégies de lutte contre les ravageurs. </w:t>
      </w:r>
    </w:p>
    <w:p w:rsidR="00083B9D" w:rsidRPr="003F5F8A" w:rsidRDefault="00083B9D" w:rsidP="005E613E">
      <w:pPr>
        <w:ind w:right="-851"/>
        <w:jc w:val="both"/>
        <w:rPr>
          <w:sz w:val="21"/>
          <w:szCs w:val="21"/>
        </w:rPr>
      </w:pPr>
    </w:p>
    <w:p w:rsidR="00083B9D" w:rsidRPr="003F5F8A" w:rsidRDefault="00083B9D" w:rsidP="005E613E">
      <w:pPr>
        <w:ind w:left="426" w:right="-851"/>
        <w:jc w:val="both"/>
        <w:rPr>
          <w:sz w:val="21"/>
          <w:szCs w:val="21"/>
        </w:rPr>
      </w:pPr>
      <w:r w:rsidRPr="003F5F8A">
        <w:rPr>
          <w:sz w:val="21"/>
          <w:szCs w:val="21"/>
        </w:rPr>
        <w:t xml:space="preserve">L’adoption de la lutte intégrée assure une agriculture durable et offre plusieurs avantages dont notamment :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L’amélioration de la conservation des eaux et des sols ;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La protection des écosystèmes et les habitats naturels ;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La réduction des impacts négatifs sur l’environnement ;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La participation à la promotion de l’utilisation durable des biotechnologies. </w:t>
      </w:r>
    </w:p>
    <w:p w:rsidR="00083B9D" w:rsidRPr="003F5F8A" w:rsidRDefault="00083B9D" w:rsidP="005E613E">
      <w:pPr>
        <w:ind w:right="-851"/>
        <w:jc w:val="both"/>
        <w:rPr>
          <w:sz w:val="21"/>
          <w:szCs w:val="21"/>
        </w:rPr>
      </w:pPr>
    </w:p>
    <w:p w:rsidR="00083B9D" w:rsidRPr="003F5F8A" w:rsidRDefault="00083B9D" w:rsidP="005E613E">
      <w:pPr>
        <w:ind w:left="284" w:right="-851"/>
        <w:jc w:val="both"/>
        <w:rPr>
          <w:sz w:val="21"/>
          <w:szCs w:val="21"/>
        </w:rPr>
      </w:pPr>
      <w:r w:rsidRPr="003F5F8A">
        <w:rPr>
          <w:sz w:val="21"/>
          <w:szCs w:val="21"/>
        </w:rPr>
        <w:t xml:space="preserve">On notera également les activités relatives à la vulgarisation et la promotion des alternatives aux pesticides qui crées des problèmes sur la santé humaine et l’Environnement notamment les substances naturelles à savoir :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L’utilisation des feuilles du Nime et de la citronnelle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L’utilisation des citrons pourris </w:t>
      </w:r>
    </w:p>
    <w:p w:rsidR="00083B9D" w:rsidRPr="003F5F8A" w:rsidRDefault="00083B9D" w:rsidP="005E613E">
      <w:pPr>
        <w:ind w:left="851" w:right="-851"/>
        <w:jc w:val="both"/>
        <w:rPr>
          <w:sz w:val="21"/>
          <w:szCs w:val="21"/>
        </w:rPr>
      </w:pPr>
      <w:r w:rsidRPr="003F5F8A">
        <w:rPr>
          <w:rFonts w:ascii="Symbol" w:eastAsia="Symbol" w:hAnsi="Symbol" w:cs="Symbol"/>
          <w:sz w:val="21"/>
          <w:szCs w:val="21"/>
        </w:rPr>
        <w:sym w:font="Symbol" w:char="F0B7"/>
      </w:r>
      <w:r w:rsidRPr="003F5F8A">
        <w:rPr>
          <w:sz w:val="21"/>
          <w:szCs w:val="21"/>
        </w:rPr>
        <w:t xml:space="preserve"> L’utilisation du petit piment </w:t>
      </w:r>
    </w:p>
    <w:p w:rsidR="00083B9D" w:rsidRPr="003F5F8A" w:rsidRDefault="00083B9D" w:rsidP="005E613E">
      <w:pPr>
        <w:ind w:right="-851"/>
        <w:jc w:val="both"/>
        <w:rPr>
          <w:sz w:val="21"/>
          <w:szCs w:val="21"/>
        </w:rPr>
      </w:pPr>
    </w:p>
    <w:p w:rsidR="00083B9D" w:rsidRPr="003F5F8A" w:rsidRDefault="00083B9D" w:rsidP="005E613E">
      <w:pPr>
        <w:ind w:left="284" w:right="-851"/>
        <w:jc w:val="both"/>
        <w:rPr>
          <w:sz w:val="21"/>
          <w:szCs w:val="21"/>
        </w:rPr>
      </w:pPr>
      <w:r w:rsidRPr="003F5F8A">
        <w:rPr>
          <w:sz w:val="21"/>
          <w:szCs w:val="21"/>
        </w:rPr>
        <w:t>On notera aussi le développement/mise au point de méthodes de lutte intégrée par les services de la DPV en collaboration avec et les organisations des agriculteurs. La formation des formateurs sera assurée par les chercheurs de la DPV et les structures de recherche sur la base de supports notamment les fiches techniques.</w:t>
      </w:r>
      <w:r w:rsidRPr="003F5F8A" w:rsidDel="00083B9D">
        <w:rPr>
          <w:sz w:val="21"/>
          <w:szCs w:val="21"/>
        </w:rPr>
        <w:t xml:space="preserve"> </w:t>
      </w:r>
    </w:p>
    <w:p w:rsidR="00DA3604" w:rsidRPr="003F5F8A" w:rsidRDefault="00DA3604" w:rsidP="005E613E">
      <w:pPr>
        <w:ind w:right="-851"/>
        <w:jc w:val="both"/>
        <w:rPr>
          <w:sz w:val="21"/>
          <w:szCs w:val="21"/>
        </w:rPr>
      </w:pPr>
    </w:p>
    <w:p w:rsidR="007418E7" w:rsidRPr="003F5F8A" w:rsidRDefault="007418E7" w:rsidP="005E613E">
      <w:pPr>
        <w:keepNext/>
        <w:spacing w:line="276" w:lineRule="auto"/>
        <w:ind w:left="284" w:right="-851"/>
        <w:jc w:val="both"/>
        <w:outlineLvl w:val="1"/>
        <w:rPr>
          <w:rFonts w:eastAsia="Calibri"/>
          <w:b/>
          <w:sz w:val="21"/>
          <w:szCs w:val="21"/>
        </w:rPr>
      </w:pPr>
      <w:bookmarkStart w:id="509" w:name="_Toc521939542"/>
      <w:bookmarkStart w:id="510" w:name="_Toc62927865"/>
      <w:bookmarkStart w:id="511" w:name="_Toc63695107"/>
      <w:bookmarkStart w:id="512" w:name="_Toc67508599"/>
      <w:bookmarkStart w:id="513" w:name="_Toc69918789"/>
      <w:bookmarkStart w:id="514" w:name="_Toc73459834"/>
      <w:r w:rsidRPr="003F5F8A">
        <w:rPr>
          <w:rFonts w:eastAsia="Calibri"/>
          <w:b/>
          <w:sz w:val="21"/>
          <w:szCs w:val="21"/>
        </w:rPr>
        <w:t>Modes de gestion et usage des pesticides</w:t>
      </w:r>
      <w:bookmarkEnd w:id="509"/>
      <w:bookmarkEnd w:id="510"/>
      <w:bookmarkEnd w:id="511"/>
      <w:bookmarkEnd w:id="512"/>
      <w:bookmarkEnd w:id="513"/>
      <w:bookmarkEnd w:id="514"/>
      <w:r w:rsidRPr="003F5F8A">
        <w:rPr>
          <w:rFonts w:eastAsia="Calibri"/>
          <w:b/>
          <w:sz w:val="21"/>
          <w:szCs w:val="21"/>
        </w:rPr>
        <w:t xml:space="preserve"> </w:t>
      </w:r>
    </w:p>
    <w:p w:rsidR="0033038F" w:rsidRDefault="0033038F" w:rsidP="005E613E">
      <w:pPr>
        <w:pStyle w:val="Textodecomentrio"/>
        <w:ind w:right="-851"/>
        <w:rPr>
          <w:sz w:val="22"/>
          <w:szCs w:val="22"/>
        </w:rPr>
      </w:pPr>
      <w:bookmarkStart w:id="515" w:name="_Toc521939546"/>
    </w:p>
    <w:p w:rsidR="0033038F" w:rsidRDefault="00305BC5" w:rsidP="005E613E">
      <w:pPr>
        <w:pStyle w:val="Textodecomentrio"/>
        <w:ind w:left="284" w:right="-851"/>
        <w:jc w:val="both"/>
        <w:rPr>
          <w:sz w:val="22"/>
          <w:szCs w:val="22"/>
        </w:rPr>
      </w:pPr>
      <w:r>
        <w:rPr>
          <w:sz w:val="22"/>
          <w:szCs w:val="22"/>
        </w:rPr>
        <w:t xml:space="preserve">Ainsi, concernant les modes de gestion, </w:t>
      </w:r>
      <w:r w:rsidR="0033038F" w:rsidRPr="0004136C">
        <w:rPr>
          <w:sz w:val="22"/>
          <w:szCs w:val="22"/>
        </w:rPr>
        <w:t>l'exigence</w:t>
      </w:r>
      <w:r w:rsidR="0033038F">
        <w:rPr>
          <w:sz w:val="22"/>
          <w:szCs w:val="22"/>
        </w:rPr>
        <w:t xml:space="preserve"> </w:t>
      </w:r>
      <w:r>
        <w:rPr>
          <w:sz w:val="22"/>
          <w:szCs w:val="22"/>
        </w:rPr>
        <w:t xml:space="preserve">est </w:t>
      </w:r>
      <w:r w:rsidR="0033038F" w:rsidRPr="00751232">
        <w:rPr>
          <w:sz w:val="22"/>
          <w:szCs w:val="22"/>
        </w:rPr>
        <w:t>que tous les pesticides</w:t>
      </w:r>
      <w:r w:rsidR="0033038F">
        <w:rPr>
          <w:sz w:val="22"/>
          <w:szCs w:val="22"/>
        </w:rPr>
        <w:t xml:space="preserve"> </w:t>
      </w:r>
      <w:r w:rsidR="0033038F" w:rsidRPr="00751232">
        <w:rPr>
          <w:sz w:val="22"/>
          <w:szCs w:val="22"/>
        </w:rPr>
        <w:t>utilisés seront fabriqués, formulés, emballés,</w:t>
      </w:r>
      <w:r w:rsidR="0033038F">
        <w:rPr>
          <w:sz w:val="22"/>
          <w:szCs w:val="22"/>
        </w:rPr>
        <w:t xml:space="preserve"> </w:t>
      </w:r>
      <w:r w:rsidR="0033038F" w:rsidRPr="00751232">
        <w:rPr>
          <w:sz w:val="22"/>
          <w:szCs w:val="22"/>
        </w:rPr>
        <w:t>étiqueté</w:t>
      </w:r>
      <w:r w:rsidR="0033038F">
        <w:rPr>
          <w:sz w:val="22"/>
          <w:szCs w:val="22"/>
        </w:rPr>
        <w:t>s</w:t>
      </w:r>
      <w:r w:rsidR="0033038F" w:rsidRPr="00751232">
        <w:rPr>
          <w:sz w:val="22"/>
          <w:szCs w:val="22"/>
        </w:rPr>
        <w:t>, manipulé</w:t>
      </w:r>
      <w:r w:rsidR="0033038F">
        <w:rPr>
          <w:sz w:val="22"/>
          <w:szCs w:val="22"/>
        </w:rPr>
        <w:t>s</w:t>
      </w:r>
      <w:r w:rsidR="0033038F" w:rsidRPr="00751232">
        <w:rPr>
          <w:sz w:val="22"/>
          <w:szCs w:val="22"/>
        </w:rPr>
        <w:t>, stocké</w:t>
      </w:r>
      <w:r w:rsidR="0033038F">
        <w:rPr>
          <w:sz w:val="22"/>
          <w:szCs w:val="22"/>
        </w:rPr>
        <w:t>s</w:t>
      </w:r>
      <w:r w:rsidR="0033038F" w:rsidRPr="00751232">
        <w:rPr>
          <w:sz w:val="22"/>
          <w:szCs w:val="22"/>
        </w:rPr>
        <w:t>, éliminé</w:t>
      </w:r>
      <w:r w:rsidR="0033038F">
        <w:rPr>
          <w:sz w:val="22"/>
          <w:szCs w:val="22"/>
        </w:rPr>
        <w:t>s</w:t>
      </w:r>
      <w:r w:rsidR="0033038F" w:rsidRPr="00751232">
        <w:rPr>
          <w:sz w:val="22"/>
          <w:szCs w:val="22"/>
        </w:rPr>
        <w:t xml:space="preserve"> et </w:t>
      </w:r>
      <w:r w:rsidR="00E80682" w:rsidRPr="00751232">
        <w:rPr>
          <w:sz w:val="22"/>
          <w:szCs w:val="22"/>
        </w:rPr>
        <w:t>appliqué</w:t>
      </w:r>
      <w:r w:rsidR="00E80682">
        <w:rPr>
          <w:sz w:val="22"/>
          <w:szCs w:val="22"/>
        </w:rPr>
        <w:t>s conformément</w:t>
      </w:r>
      <w:r w:rsidR="0033038F" w:rsidRPr="00751232">
        <w:rPr>
          <w:sz w:val="22"/>
          <w:szCs w:val="22"/>
        </w:rPr>
        <w:t xml:space="preserve"> aux normes internationales pertinentes et</w:t>
      </w:r>
      <w:r w:rsidR="0033038F">
        <w:rPr>
          <w:sz w:val="22"/>
          <w:szCs w:val="22"/>
        </w:rPr>
        <w:t xml:space="preserve"> </w:t>
      </w:r>
      <w:r w:rsidR="0033038F" w:rsidRPr="00751232">
        <w:rPr>
          <w:sz w:val="22"/>
          <w:szCs w:val="22"/>
        </w:rPr>
        <w:t xml:space="preserve">les codes de conduite, ainsi que les </w:t>
      </w:r>
      <w:r w:rsidR="0033038F">
        <w:rPr>
          <w:sz w:val="22"/>
          <w:szCs w:val="22"/>
        </w:rPr>
        <w:t xml:space="preserve">guides internationales de l’environnement, sante e sécurité (ESS). </w:t>
      </w:r>
      <w:r w:rsidR="0033038F" w:rsidRPr="00E45346">
        <w:rPr>
          <w:sz w:val="22"/>
          <w:szCs w:val="22"/>
        </w:rPr>
        <w:t>Les directives de la FAO sur l'emballage et le stockage des pesticides, les directives sur les bonnes pratiques d'étiquetage des pesticides et les directives sur l'élimination des déchets de pesticides et des conteneurs de pesticides à la ferme sont utilisées comme normes minimales</w:t>
      </w:r>
    </w:p>
    <w:p w:rsidR="0033038F" w:rsidRDefault="0033038F" w:rsidP="005E613E">
      <w:pPr>
        <w:pStyle w:val="Textodecomentrio"/>
        <w:ind w:left="284" w:right="-851"/>
        <w:rPr>
          <w:sz w:val="22"/>
          <w:szCs w:val="22"/>
        </w:rPr>
      </w:pPr>
    </w:p>
    <w:p w:rsidR="00E80682" w:rsidRDefault="00E80682" w:rsidP="005E613E">
      <w:pPr>
        <w:pStyle w:val="Textodecomentrio"/>
        <w:ind w:left="284" w:right="-851"/>
        <w:jc w:val="both"/>
        <w:rPr>
          <w:sz w:val="22"/>
          <w:szCs w:val="22"/>
        </w:rPr>
      </w:pPr>
      <w:r w:rsidRPr="00AE7FC5">
        <w:rPr>
          <w:sz w:val="22"/>
          <w:szCs w:val="22"/>
        </w:rPr>
        <w:t xml:space="preserve">Ainsi, il est </w:t>
      </w:r>
      <w:r w:rsidR="00516EFD" w:rsidRPr="00516EFD">
        <w:rPr>
          <w:sz w:val="22"/>
          <w:szCs w:val="22"/>
        </w:rPr>
        <w:t>très</w:t>
      </w:r>
      <w:r w:rsidRPr="00AE7FC5">
        <w:rPr>
          <w:sz w:val="22"/>
          <w:szCs w:val="22"/>
        </w:rPr>
        <w:t xml:space="preserve"> important de noté que :</w:t>
      </w:r>
      <w:r w:rsidR="00426327" w:rsidRPr="00AE7FC5">
        <w:rPr>
          <w:sz w:val="22"/>
          <w:szCs w:val="22"/>
        </w:rPr>
        <w:t> «</w:t>
      </w:r>
      <w:r w:rsidR="00426327">
        <w:t xml:space="preserve"> l’Emprunteur évaluera la nature et le niveau des risques associés, en tenant compte de l’usage proposé et des utilisateurs visés. L’Emprunteur n’utilisera pas de pesticides ou de produits ou préparations pesticides à moins qu’une telle utilisation soit conforme aux Directives ESS. De plus, l’Emprunteur n’utilisera pas de produits pesticides qui contiennent des principes actifs faisant l’objet de restrictions en vertu de conventions internationales applicables ou de leurs protocoles, ou qui figurent dans les annexes de ces conventions ou protocoles, ou répondent aux critères de ces annexes, sauf lorsque l’objectif est jugé acceptable conformément aux dispositions de ces conventions, de leurs protocoles ou leurs annexes, ou si l’Emprunteur a obtenu une dérogation au titre de ces conventions, leurs protocoles ou annexes, selon les engagements qu’il aura pris en vertu de ceux-ci et d’autres accords internationaux applicables. L’Emprunteur n’utilisera pas de préparations pesticides qui présentent un caractère cancérogène, mutagène ou reprotoxique tel que décrit par les organismes internationaux compétents. Pour tous les autres produits pesticides qui présentent d’autres risques potentiellement graves pour la santé humaine ou l’environnement, et qui sont énoncés dans les systèmes de classification et d’étiquetage reconnus sur le plan international, l’Emprunteur n’utilisera pas de préparations pesticides si : a) le pays n’impose pas de restrictions sur leur distribution, gestion et utilisation; ou b) ils sont susceptibles d’être utilisés par des profanes, des agriculteurs et d’autres personnes sans formation, sans équipement et sans installations permettant de gérer, de stocker et d’utiliser correctement ces produits, ou d’être accessibles à ces catégories de personnes)</w:t>
      </w:r>
      <w:r w:rsidRPr="00AE7FC5">
        <w:rPr>
          <w:sz w:val="22"/>
          <w:szCs w:val="22"/>
        </w:rPr>
        <w:t> </w:t>
      </w:r>
    </w:p>
    <w:p w:rsidR="007418E7" w:rsidRPr="003F5F8A" w:rsidRDefault="007418E7" w:rsidP="005E613E">
      <w:pPr>
        <w:pStyle w:val="Cabealho4"/>
        <w:ind w:right="-851"/>
        <w:rPr>
          <w:rFonts w:ascii="Times New Roman" w:hAnsi="Times New Roman"/>
          <w:sz w:val="21"/>
          <w:szCs w:val="21"/>
        </w:rPr>
      </w:pPr>
      <w:r w:rsidRPr="003F5F8A">
        <w:rPr>
          <w:rFonts w:ascii="Times New Roman" w:hAnsi="Times New Roman"/>
          <w:sz w:val="21"/>
          <w:szCs w:val="21"/>
        </w:rPr>
        <w:t>Transport de pesticides</w:t>
      </w:r>
      <w:bookmarkEnd w:id="515"/>
    </w:p>
    <w:p w:rsidR="007418E7" w:rsidRPr="003F5F8A" w:rsidRDefault="007418E7" w:rsidP="005E613E">
      <w:pPr>
        <w:ind w:left="284" w:right="-851"/>
        <w:jc w:val="both"/>
        <w:rPr>
          <w:sz w:val="21"/>
          <w:szCs w:val="21"/>
        </w:rPr>
      </w:pPr>
      <w:r w:rsidRPr="003F5F8A">
        <w:rPr>
          <w:sz w:val="21"/>
          <w:szCs w:val="21"/>
        </w:rPr>
        <w:t xml:space="preserve">Les formateurs-distributeurs ont en général des véhicules spécifiques </w:t>
      </w:r>
      <w:r w:rsidR="00083B9D" w:rsidRPr="003F5F8A">
        <w:rPr>
          <w:sz w:val="21"/>
          <w:szCs w:val="21"/>
        </w:rPr>
        <w:t xml:space="preserve">pour </w:t>
      </w:r>
      <w:r w:rsidR="001F5335" w:rsidRPr="003F5F8A">
        <w:rPr>
          <w:sz w:val="21"/>
          <w:szCs w:val="21"/>
        </w:rPr>
        <w:t>le transport des</w:t>
      </w:r>
      <w:r w:rsidRPr="003F5F8A">
        <w:rPr>
          <w:sz w:val="21"/>
          <w:szCs w:val="21"/>
        </w:rPr>
        <w:t xml:space="preserve"> pesticides.  Il est à </w:t>
      </w:r>
      <w:r w:rsidR="00083B9D" w:rsidRPr="003F5F8A">
        <w:rPr>
          <w:sz w:val="21"/>
          <w:szCs w:val="21"/>
        </w:rPr>
        <w:t xml:space="preserve">noter </w:t>
      </w:r>
      <w:r w:rsidR="001F5335" w:rsidRPr="003F5F8A">
        <w:rPr>
          <w:sz w:val="21"/>
          <w:szCs w:val="21"/>
        </w:rPr>
        <w:t>que même dans</w:t>
      </w:r>
      <w:r w:rsidRPr="003F5F8A">
        <w:rPr>
          <w:sz w:val="21"/>
          <w:szCs w:val="21"/>
        </w:rPr>
        <w:t xml:space="preserve">  ces  cas,  les  normes  internationales  pour  le  transport  des produits  chimiques  ne  sont  pas  respectées.  Il arrive souvent que les clients eux même prennent en charge le transport. Dans ce cas, les véhicules ne sont pas toujours en bon état, les emballages ne sont pas solides et hermétiquement fermés et des personnes et des denrées alimentaires sont transportées en même temps.</w:t>
      </w:r>
    </w:p>
    <w:p w:rsidR="007418E7" w:rsidRPr="003F5F8A" w:rsidRDefault="007418E7" w:rsidP="005E613E">
      <w:pPr>
        <w:pStyle w:val="Cabealho4"/>
        <w:ind w:right="-851"/>
        <w:rPr>
          <w:rFonts w:ascii="Times New Roman" w:hAnsi="Times New Roman"/>
          <w:sz w:val="21"/>
          <w:szCs w:val="21"/>
        </w:rPr>
      </w:pPr>
      <w:bookmarkStart w:id="516" w:name="_Toc521939547"/>
      <w:r w:rsidRPr="003F5F8A">
        <w:rPr>
          <w:rFonts w:ascii="Times New Roman" w:hAnsi="Times New Roman"/>
          <w:sz w:val="21"/>
          <w:szCs w:val="21"/>
        </w:rPr>
        <w:t>Commercialisation</w:t>
      </w:r>
      <w:bookmarkEnd w:id="516"/>
    </w:p>
    <w:p w:rsidR="007418E7" w:rsidRPr="003F5F8A" w:rsidRDefault="007418E7" w:rsidP="005E613E">
      <w:pPr>
        <w:ind w:left="284" w:right="-851"/>
        <w:jc w:val="both"/>
        <w:rPr>
          <w:sz w:val="21"/>
          <w:szCs w:val="21"/>
        </w:rPr>
      </w:pPr>
      <w:r w:rsidRPr="003F5F8A">
        <w:rPr>
          <w:sz w:val="21"/>
          <w:szCs w:val="21"/>
        </w:rPr>
        <w:t xml:space="preserve">En ce qui concerne le circuit informel, il est bien développé dans l’ensemble de la zone du projet. Ainsi on croise sur les marchés de la zone divers produits phytosanitaires ayant différentes origines. Ces pesticides sont vendus dans des emballages et contenants non conformes, sans aucune indication sur la matière active, le mode d'utilisation, et les précautions d’emploi. Ces produits sont généralement exposés </w:t>
      </w:r>
      <w:r w:rsidR="00083B9D" w:rsidRPr="003F5F8A">
        <w:rPr>
          <w:sz w:val="21"/>
          <w:szCs w:val="21"/>
        </w:rPr>
        <w:t xml:space="preserve">au </w:t>
      </w:r>
      <w:r w:rsidR="001F5335" w:rsidRPr="003F5F8A">
        <w:rPr>
          <w:sz w:val="21"/>
          <w:szCs w:val="21"/>
        </w:rPr>
        <w:t xml:space="preserve">niveau des étals </w:t>
      </w:r>
      <w:r w:rsidR="00064F08" w:rsidRPr="003F5F8A">
        <w:rPr>
          <w:sz w:val="21"/>
          <w:szCs w:val="21"/>
        </w:rPr>
        <w:t>à côté</w:t>
      </w:r>
      <w:r w:rsidRPr="003F5F8A">
        <w:rPr>
          <w:sz w:val="21"/>
          <w:szCs w:val="21"/>
        </w:rPr>
        <w:t xml:space="preserve">  des  différents  produits  alimentaires  (huiles  végétales,  produits céréaliers et même de lait en poudre).</w:t>
      </w:r>
    </w:p>
    <w:p w:rsidR="007418E7" w:rsidRPr="003F5F8A" w:rsidRDefault="007418E7" w:rsidP="005E613E">
      <w:pPr>
        <w:pStyle w:val="Cabealho4"/>
        <w:ind w:right="-851"/>
        <w:rPr>
          <w:rFonts w:ascii="Times New Roman" w:hAnsi="Times New Roman"/>
          <w:sz w:val="21"/>
          <w:szCs w:val="21"/>
        </w:rPr>
      </w:pPr>
      <w:bookmarkStart w:id="517" w:name="_Toc521939549"/>
      <w:r w:rsidRPr="003F5F8A">
        <w:rPr>
          <w:rFonts w:ascii="Times New Roman" w:hAnsi="Times New Roman"/>
          <w:sz w:val="21"/>
          <w:szCs w:val="21"/>
        </w:rPr>
        <w:t>Appréciation quantitative</w:t>
      </w:r>
      <w:bookmarkEnd w:id="517"/>
    </w:p>
    <w:p w:rsidR="007418E7" w:rsidRPr="003F5F8A" w:rsidRDefault="007418E7" w:rsidP="005E613E">
      <w:pPr>
        <w:ind w:left="284" w:right="-851"/>
        <w:jc w:val="both"/>
        <w:rPr>
          <w:sz w:val="21"/>
          <w:szCs w:val="21"/>
        </w:rPr>
      </w:pPr>
      <w:r w:rsidRPr="003F5F8A">
        <w:rPr>
          <w:sz w:val="21"/>
          <w:szCs w:val="21"/>
        </w:rPr>
        <w:t xml:space="preserve">Des statistiques </w:t>
      </w:r>
      <w:r w:rsidR="00083B9D" w:rsidRPr="003F5F8A">
        <w:rPr>
          <w:sz w:val="21"/>
          <w:szCs w:val="21"/>
        </w:rPr>
        <w:t xml:space="preserve">complètes </w:t>
      </w:r>
      <w:r w:rsidR="001F5335" w:rsidRPr="003F5F8A">
        <w:rPr>
          <w:sz w:val="21"/>
          <w:szCs w:val="21"/>
        </w:rPr>
        <w:t xml:space="preserve">et fiables de la </w:t>
      </w:r>
      <w:r w:rsidR="00C9604D" w:rsidRPr="003F5F8A">
        <w:rPr>
          <w:sz w:val="21"/>
          <w:szCs w:val="21"/>
        </w:rPr>
        <w:t xml:space="preserve">consommation </w:t>
      </w:r>
      <w:r w:rsidR="00064F08" w:rsidRPr="003F5F8A">
        <w:rPr>
          <w:sz w:val="21"/>
          <w:szCs w:val="21"/>
        </w:rPr>
        <w:t>de pesticides n’existent pas dans le</w:t>
      </w:r>
      <w:r w:rsidRPr="003F5F8A">
        <w:rPr>
          <w:sz w:val="21"/>
          <w:szCs w:val="21"/>
        </w:rPr>
        <w:t xml:space="preserve">  pays. Seules des données isolées sont disponibles et aucune tendance ne peut être dégagée. L’absence d’une banque de données sur la gestion des pesticides (importation, consommation, etc.) Constitue une contrainte majeure et l’absence de statistiques centralisées ne permet plus de suivre son évolution et ses principaux acteurs.  Dans le cadre du</w:t>
      </w:r>
      <w:r w:rsidR="00083B9D" w:rsidRPr="003F5F8A">
        <w:rPr>
          <w:sz w:val="21"/>
          <w:szCs w:val="21"/>
        </w:rPr>
        <w:t xml:space="preserve"> projet</w:t>
      </w:r>
      <w:r w:rsidRPr="003F5F8A">
        <w:rPr>
          <w:sz w:val="21"/>
          <w:szCs w:val="21"/>
        </w:rPr>
        <w:t xml:space="preserve">, il est nécessaire de constituer une base régionale de données comportant l’ensemble des statistiques sur les produits utilisés. En plus, un recensement des </w:t>
      </w:r>
      <w:r w:rsidR="00083B9D" w:rsidRPr="003F5F8A">
        <w:rPr>
          <w:sz w:val="21"/>
          <w:szCs w:val="21"/>
        </w:rPr>
        <w:t xml:space="preserve">ventes </w:t>
      </w:r>
      <w:r w:rsidR="001F5335" w:rsidRPr="003F5F8A">
        <w:rPr>
          <w:sz w:val="21"/>
          <w:szCs w:val="21"/>
        </w:rPr>
        <w:t xml:space="preserve">effectuées par </w:t>
      </w:r>
      <w:r w:rsidR="00064F08" w:rsidRPr="003F5F8A">
        <w:rPr>
          <w:sz w:val="21"/>
          <w:szCs w:val="21"/>
        </w:rPr>
        <w:t>les distributeurs</w:t>
      </w:r>
      <w:r w:rsidRPr="003F5F8A">
        <w:rPr>
          <w:sz w:val="21"/>
          <w:szCs w:val="21"/>
        </w:rPr>
        <w:t xml:space="preserve">  et  les  revendeurs  de  pesticides  devrait  être  effectué  afin  de pouvoir estimer l’utilisation des pesticides. </w:t>
      </w:r>
    </w:p>
    <w:p w:rsidR="007418E7" w:rsidRPr="003F5F8A" w:rsidRDefault="007418E7" w:rsidP="005E613E">
      <w:pPr>
        <w:pStyle w:val="Cabealho4"/>
        <w:ind w:right="-851"/>
        <w:rPr>
          <w:rFonts w:ascii="Times New Roman" w:hAnsi="Times New Roman"/>
          <w:sz w:val="21"/>
          <w:szCs w:val="21"/>
        </w:rPr>
      </w:pPr>
      <w:bookmarkStart w:id="518" w:name="_Toc521939550"/>
      <w:r w:rsidRPr="003F5F8A">
        <w:rPr>
          <w:rFonts w:ascii="Times New Roman" w:hAnsi="Times New Roman"/>
          <w:sz w:val="21"/>
          <w:szCs w:val="21"/>
        </w:rPr>
        <w:t>Appréciation Qualitative des Pesticides</w:t>
      </w:r>
      <w:bookmarkEnd w:id="518"/>
      <w:r w:rsidRPr="003F5F8A">
        <w:rPr>
          <w:rFonts w:ascii="Times New Roman" w:hAnsi="Times New Roman"/>
          <w:sz w:val="21"/>
          <w:szCs w:val="21"/>
        </w:rPr>
        <w:t xml:space="preserve"> </w:t>
      </w:r>
    </w:p>
    <w:p w:rsidR="007418E7" w:rsidRPr="003F5F8A" w:rsidRDefault="007418E7" w:rsidP="005E613E">
      <w:pPr>
        <w:ind w:left="284" w:right="-851"/>
        <w:jc w:val="both"/>
        <w:rPr>
          <w:sz w:val="21"/>
          <w:szCs w:val="21"/>
        </w:rPr>
      </w:pPr>
      <w:r w:rsidRPr="003F5F8A">
        <w:rPr>
          <w:sz w:val="21"/>
          <w:szCs w:val="21"/>
        </w:rPr>
        <w:t xml:space="preserve">Le contrôle </w:t>
      </w:r>
      <w:r w:rsidR="00083B9D" w:rsidRPr="003F5F8A">
        <w:rPr>
          <w:sz w:val="21"/>
          <w:szCs w:val="21"/>
        </w:rPr>
        <w:t xml:space="preserve">de </w:t>
      </w:r>
      <w:r w:rsidR="00064F08" w:rsidRPr="003F5F8A">
        <w:rPr>
          <w:sz w:val="21"/>
          <w:szCs w:val="21"/>
        </w:rPr>
        <w:t>la conformité</w:t>
      </w:r>
      <w:r w:rsidRPr="003F5F8A">
        <w:rPr>
          <w:sz w:val="21"/>
          <w:szCs w:val="21"/>
        </w:rPr>
        <w:t xml:space="preserve">  des  pesticides  par  rapport  à  leur  étiquette  est  l'un  des  contrôles  dits prioritaires.  Toutefois, seule </w:t>
      </w:r>
      <w:r w:rsidR="00083B9D" w:rsidRPr="003F5F8A">
        <w:rPr>
          <w:sz w:val="21"/>
          <w:szCs w:val="21"/>
        </w:rPr>
        <w:t xml:space="preserve">la </w:t>
      </w:r>
      <w:r w:rsidR="00064F08" w:rsidRPr="003F5F8A">
        <w:rPr>
          <w:sz w:val="21"/>
          <w:szCs w:val="21"/>
        </w:rPr>
        <w:t>fondation CERES</w:t>
      </w:r>
      <w:r w:rsidRPr="003F5F8A">
        <w:rPr>
          <w:sz w:val="21"/>
          <w:szCs w:val="21"/>
        </w:rPr>
        <w:t xml:space="preserve">  Locustox  est  équipée  pour  pouvoir  faire  de  telles analyses).</w:t>
      </w:r>
    </w:p>
    <w:p w:rsidR="00863AFC" w:rsidRPr="003F5F8A" w:rsidRDefault="00863AFC" w:rsidP="005E613E">
      <w:pPr>
        <w:ind w:right="-851"/>
        <w:jc w:val="both"/>
        <w:rPr>
          <w:sz w:val="21"/>
          <w:szCs w:val="21"/>
        </w:rPr>
      </w:pPr>
    </w:p>
    <w:p w:rsidR="007418E7" w:rsidRPr="003F5F8A" w:rsidRDefault="00AD1589" w:rsidP="005E613E">
      <w:pPr>
        <w:ind w:right="-851"/>
        <w:jc w:val="both"/>
        <w:rPr>
          <w:b/>
          <w:sz w:val="21"/>
          <w:szCs w:val="21"/>
        </w:rPr>
      </w:pPr>
      <w:r w:rsidRPr="003F5F8A">
        <w:rPr>
          <w:b/>
          <w:sz w:val="21"/>
          <w:szCs w:val="21"/>
        </w:rPr>
        <w:t>Utilisation des pesticides</w:t>
      </w:r>
    </w:p>
    <w:p w:rsidR="007418E7" w:rsidRPr="003F5F8A" w:rsidRDefault="007418E7" w:rsidP="005E613E">
      <w:pPr>
        <w:pStyle w:val="Cabealho4"/>
        <w:numPr>
          <w:ilvl w:val="0"/>
          <w:numId w:val="0"/>
        </w:numPr>
        <w:ind w:right="-851"/>
        <w:rPr>
          <w:rFonts w:ascii="Times New Roman" w:hAnsi="Times New Roman"/>
          <w:sz w:val="21"/>
          <w:szCs w:val="21"/>
        </w:rPr>
      </w:pPr>
      <w:bookmarkStart w:id="519" w:name="_Toc521939552"/>
      <w:r w:rsidRPr="003F5F8A">
        <w:rPr>
          <w:rFonts w:ascii="Times New Roman" w:hAnsi="Times New Roman"/>
          <w:sz w:val="21"/>
          <w:szCs w:val="21"/>
        </w:rPr>
        <w:t>Les types d'usage de pesticides</w:t>
      </w:r>
      <w:bookmarkEnd w:id="519"/>
    </w:p>
    <w:p w:rsidR="00537C45" w:rsidRPr="003F5F8A" w:rsidRDefault="007418E7" w:rsidP="005E613E">
      <w:pPr>
        <w:ind w:left="284" w:right="-851"/>
        <w:jc w:val="both"/>
        <w:rPr>
          <w:sz w:val="21"/>
          <w:szCs w:val="21"/>
        </w:rPr>
      </w:pPr>
      <w:r w:rsidRPr="003F5F8A">
        <w:rPr>
          <w:sz w:val="21"/>
          <w:szCs w:val="21"/>
        </w:rPr>
        <w:t>Les pesticides sont parfois utilisés à tort et à travers : il se pose fondamentalement un problème d’information et de sensibilisation. Le pays regorge</w:t>
      </w:r>
      <w:r w:rsidR="00D355A6">
        <w:rPr>
          <w:sz w:val="21"/>
          <w:szCs w:val="21"/>
        </w:rPr>
        <w:t xml:space="preserve"> </w:t>
      </w:r>
      <w:r w:rsidRPr="003F5F8A">
        <w:rPr>
          <w:sz w:val="21"/>
          <w:szCs w:val="21"/>
        </w:rPr>
        <w:t xml:space="preserve">de revendeurs informels et d’étalagistes dont la gestion pose problème aux services chargés de la réglementation et du contrôle. En effet, bon nombre </w:t>
      </w:r>
      <w:r w:rsidR="00537C45" w:rsidRPr="003F5F8A">
        <w:rPr>
          <w:sz w:val="21"/>
          <w:szCs w:val="21"/>
        </w:rPr>
        <w:t xml:space="preserve">d’entre </w:t>
      </w:r>
      <w:r w:rsidR="00D355A6" w:rsidRPr="003F5F8A">
        <w:rPr>
          <w:sz w:val="21"/>
          <w:szCs w:val="21"/>
        </w:rPr>
        <w:t>eux ne</w:t>
      </w:r>
      <w:r w:rsidRPr="003F5F8A">
        <w:rPr>
          <w:sz w:val="21"/>
          <w:szCs w:val="21"/>
        </w:rPr>
        <w:t xml:space="preserve">  répondent  pas  aux  profils  exigés  par  le  métier  et  n’ont  pas  de  permis ou autorisation d’exercer.  Les emballages vides de pesticides sont utilisés pour stocker, conserver des denrées alimentaires</w:t>
      </w:r>
      <w:r w:rsidR="00D355A6" w:rsidRPr="003F5F8A">
        <w:rPr>
          <w:sz w:val="21"/>
          <w:szCs w:val="21"/>
        </w:rPr>
        <w:t xml:space="preserve">  (</w:t>
      </w:r>
      <w:r w:rsidRPr="003F5F8A">
        <w:rPr>
          <w:sz w:val="21"/>
          <w:szCs w:val="21"/>
        </w:rPr>
        <w:t xml:space="preserve">eau, lait, huile, huile de palme, etc.).  </w:t>
      </w:r>
    </w:p>
    <w:p w:rsidR="00537C45" w:rsidRPr="003F5F8A" w:rsidRDefault="007418E7" w:rsidP="005E613E">
      <w:pPr>
        <w:ind w:left="284" w:right="-851"/>
        <w:jc w:val="both"/>
        <w:rPr>
          <w:sz w:val="21"/>
          <w:szCs w:val="21"/>
        </w:rPr>
      </w:pPr>
      <w:r w:rsidRPr="003F5F8A">
        <w:rPr>
          <w:sz w:val="21"/>
          <w:szCs w:val="21"/>
        </w:rPr>
        <w:t xml:space="preserve">Parmi les produits à risque (interdits), on peut  citer:  Endo  sulfan-DDT;  Endo  sulfan-DDT-méthylparathion ;  Aldrin-DDT ;  Poly  chloro camphène-DDT-méthylparathion.  </w:t>
      </w:r>
    </w:p>
    <w:p w:rsidR="00537C45" w:rsidRPr="003F5F8A" w:rsidRDefault="007418E7" w:rsidP="005E613E">
      <w:pPr>
        <w:ind w:left="284" w:right="-851"/>
        <w:jc w:val="both"/>
        <w:rPr>
          <w:sz w:val="21"/>
          <w:szCs w:val="21"/>
        </w:rPr>
      </w:pPr>
      <w:r w:rsidRPr="003F5F8A">
        <w:rPr>
          <w:sz w:val="21"/>
          <w:szCs w:val="21"/>
        </w:rPr>
        <w:t xml:space="preserve">La facilité </w:t>
      </w:r>
      <w:r w:rsidR="00537C45" w:rsidRPr="003F5F8A">
        <w:rPr>
          <w:sz w:val="21"/>
          <w:szCs w:val="21"/>
        </w:rPr>
        <w:t>d’accès aux</w:t>
      </w:r>
      <w:r w:rsidRPr="003F5F8A">
        <w:rPr>
          <w:sz w:val="21"/>
          <w:szCs w:val="21"/>
        </w:rPr>
        <w:t xml:space="preserve">  pesticides,  parfois  même  des  pesticides prohibés notamment certains organochlorés (DDT, Dieldrine, Endosulfan, Endrine, etc.) est due à la multiplicité  des  points  de  vente  de  produits  phytosanitaires  mais  aussi  au  manque  de  contrôle  sur l’usage et la commercialisation de ces substances.</w:t>
      </w:r>
    </w:p>
    <w:p w:rsidR="00537C45" w:rsidRPr="003F5F8A" w:rsidRDefault="00537C45" w:rsidP="005E613E">
      <w:pPr>
        <w:ind w:left="284" w:right="-851"/>
        <w:jc w:val="both"/>
        <w:rPr>
          <w:sz w:val="21"/>
          <w:szCs w:val="21"/>
        </w:rPr>
      </w:pPr>
      <w:bookmarkStart w:id="520" w:name="_Toc521939553"/>
    </w:p>
    <w:p w:rsidR="00537C45" w:rsidRPr="003F5F8A" w:rsidRDefault="00537C45" w:rsidP="005E613E">
      <w:pPr>
        <w:ind w:left="284" w:right="-851"/>
        <w:jc w:val="both"/>
        <w:rPr>
          <w:sz w:val="21"/>
          <w:szCs w:val="21"/>
        </w:rPr>
      </w:pPr>
      <w:r w:rsidRPr="003F5F8A">
        <w:rPr>
          <w:sz w:val="21"/>
          <w:szCs w:val="21"/>
        </w:rPr>
        <w:t>En réalité, la notion de maîtrise de la gestion des pesticides au niveau de la Guinée Bissau, n’est pas encore bien cernée. Il faut relever surtout l’absence de système de la protection alternative, notamment les actions de protection intégrée ('utilisation de plants à effet insecticide ; promotion de l'utilisation de bio-pesticides pour le contrôle de différents nuisibles, etc.). Sur le terrain, les importations alimentaires, sont directement mises à la disposition des consommations, sans les mesures de sécurité, telles que la quarantaine ou les contrôles adéquats. Il en est de même des importations de pesticides et des semences par les maisons de la place.</w:t>
      </w:r>
    </w:p>
    <w:p w:rsidR="00537C45" w:rsidRPr="003F5F8A" w:rsidRDefault="00537C45" w:rsidP="005E613E">
      <w:pPr>
        <w:ind w:right="-851"/>
        <w:jc w:val="both"/>
        <w:rPr>
          <w:sz w:val="21"/>
          <w:szCs w:val="21"/>
        </w:rPr>
      </w:pPr>
    </w:p>
    <w:p w:rsidR="007418E7" w:rsidRPr="00260B47" w:rsidRDefault="007418E7" w:rsidP="005E613E">
      <w:pPr>
        <w:ind w:right="-851"/>
        <w:jc w:val="both"/>
        <w:rPr>
          <w:b/>
          <w:sz w:val="21"/>
          <w:szCs w:val="21"/>
        </w:rPr>
      </w:pPr>
      <w:r w:rsidRPr="00260B47">
        <w:rPr>
          <w:b/>
          <w:sz w:val="21"/>
          <w:szCs w:val="21"/>
        </w:rPr>
        <w:t>Propriétés physico-chimiques générales des pesticides</w:t>
      </w:r>
      <w:bookmarkEnd w:id="520"/>
    </w:p>
    <w:p w:rsidR="007418E7" w:rsidRPr="003F5F8A" w:rsidRDefault="007418E7" w:rsidP="005E613E">
      <w:pPr>
        <w:ind w:right="-851"/>
        <w:jc w:val="both"/>
        <w:rPr>
          <w:sz w:val="21"/>
          <w:szCs w:val="21"/>
        </w:rPr>
      </w:pPr>
    </w:p>
    <w:p w:rsidR="007418E7" w:rsidRPr="003F5F8A" w:rsidRDefault="007418E7" w:rsidP="005E613E">
      <w:pPr>
        <w:ind w:left="284" w:right="-851"/>
        <w:jc w:val="both"/>
        <w:rPr>
          <w:sz w:val="21"/>
          <w:szCs w:val="21"/>
        </w:rPr>
      </w:pPr>
      <w:r w:rsidRPr="003F5F8A">
        <w:rPr>
          <w:sz w:val="21"/>
          <w:szCs w:val="21"/>
        </w:rPr>
        <w:t xml:space="preserve">La grande variété structurale des pesticides est à l’origine d’une grande diversité de propriétés physico-chimiques dont dépend leur comportement dans les différents compartiments de l’environnement, le sol, les eaux et l’atmosphère. En effet, le potentiel de transfert des produits phytosanitaires peut être évalué à partir de quelques propriétés physicochimiques dont les plus importantes sont la solubilité, le coefficient de partage octanol/eau (KOW), la pression de vapeur, la constante de Henry (KH), le coefficient de partage sol/eau (Kd). </w:t>
      </w:r>
    </w:p>
    <w:p w:rsidR="007418E7" w:rsidRPr="003F5F8A" w:rsidRDefault="007418E7" w:rsidP="005E613E">
      <w:pPr>
        <w:pStyle w:val="Cabealho4"/>
        <w:ind w:right="-851"/>
        <w:rPr>
          <w:rFonts w:ascii="Times New Roman" w:hAnsi="Times New Roman"/>
          <w:sz w:val="21"/>
          <w:szCs w:val="21"/>
        </w:rPr>
      </w:pPr>
      <w:bookmarkStart w:id="521" w:name="_Toc521939554"/>
      <w:r w:rsidRPr="003F5F8A">
        <w:rPr>
          <w:rFonts w:ascii="Times New Roman" w:hAnsi="Times New Roman"/>
          <w:sz w:val="21"/>
          <w:szCs w:val="21"/>
        </w:rPr>
        <w:t>Solubilité et coefficient de partage octanol/eau (KoW)</w:t>
      </w:r>
      <w:bookmarkEnd w:id="521"/>
      <w:r w:rsidRPr="003F5F8A">
        <w:rPr>
          <w:rFonts w:ascii="Times New Roman" w:hAnsi="Times New Roman"/>
          <w:sz w:val="21"/>
          <w:szCs w:val="21"/>
        </w:rPr>
        <w:t xml:space="preserve"> </w:t>
      </w:r>
    </w:p>
    <w:p w:rsidR="007418E7" w:rsidRPr="003F5F8A" w:rsidRDefault="007418E7" w:rsidP="005E613E">
      <w:pPr>
        <w:ind w:right="-851"/>
        <w:jc w:val="both"/>
        <w:rPr>
          <w:sz w:val="21"/>
          <w:szCs w:val="21"/>
        </w:rPr>
      </w:pPr>
    </w:p>
    <w:p w:rsidR="007418E7" w:rsidRPr="003F5F8A" w:rsidRDefault="007418E7" w:rsidP="005E613E">
      <w:pPr>
        <w:ind w:left="284" w:right="-851"/>
        <w:jc w:val="both"/>
        <w:rPr>
          <w:sz w:val="21"/>
          <w:szCs w:val="21"/>
        </w:rPr>
      </w:pPr>
      <w:r w:rsidRPr="003F5F8A">
        <w:rPr>
          <w:sz w:val="21"/>
          <w:szCs w:val="21"/>
        </w:rPr>
        <w:t xml:space="preserve">La solubilité dans l’eau d’une molécule traduit sa facilité de dissolution après application. Les valeurs de solubilité des pesticides dans l’eau dépendent de la composition et de la structure chimique des molécules. Comme elles sont très diverses, les valeurs de solubilité le sont aussi. La solubilité des pesticides couvre un domaine de valeurs considérable d’environ douze ordres de grandeur. Les pesticides peuvent être regroupés approximativement en cinq catégories en fonction de ce critère comme illustré par le tableau. </w:t>
      </w:r>
    </w:p>
    <w:p w:rsidR="007418E7" w:rsidRPr="00A05698" w:rsidRDefault="007418E7" w:rsidP="005E613E">
      <w:pPr>
        <w:pStyle w:val="Legenda"/>
        <w:ind w:right="-851"/>
        <w:jc w:val="center"/>
      </w:pPr>
      <w:r w:rsidRPr="00A05698">
        <w:t>Catégorie de pesticides regroupés selon leur solubilité</w:t>
      </w:r>
    </w:p>
    <w:p w:rsidR="007418E7" w:rsidRPr="00A05698" w:rsidRDefault="007418E7" w:rsidP="005E613E">
      <w:pPr>
        <w:ind w:right="-851"/>
        <w:jc w:val="both"/>
      </w:pPr>
      <w:r w:rsidRPr="00A05698">
        <w:rPr>
          <w:noProof/>
          <w:lang w:val="pt-PT" w:eastAsia="pt-PT"/>
        </w:rPr>
        <w:drawing>
          <wp:inline distT="0" distB="0" distL="0" distR="0" wp14:anchorId="517B1388" wp14:editId="79A92AA2">
            <wp:extent cx="5760720" cy="1686560"/>
            <wp:effectExtent l="0" t="0" r="0" b="8890"/>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686560"/>
                    </a:xfrm>
                    <a:prstGeom prst="rect">
                      <a:avLst/>
                    </a:prstGeom>
                  </pic:spPr>
                </pic:pic>
              </a:graphicData>
            </a:graphic>
          </wp:inline>
        </w:drawing>
      </w:r>
    </w:p>
    <w:p w:rsidR="007418E7" w:rsidRPr="00A05698" w:rsidRDefault="007418E7" w:rsidP="005E613E">
      <w:pPr>
        <w:ind w:right="-851"/>
        <w:jc w:val="both"/>
      </w:pPr>
      <w:r w:rsidRPr="00A05698">
        <w:t>Le coefficient de partage d’un composé organique entre l’octanol (Coct) et l’eau (Cw) est défini par le rapport de ses concentrations dans les deux phases à l’équilibre (coefficient sans dimension).</w:t>
      </w:r>
    </w:p>
    <w:p w:rsidR="007418E7" w:rsidRPr="00A05698" w:rsidRDefault="007418E7" w:rsidP="005E613E">
      <w:pPr>
        <w:pBdr>
          <w:top w:val="single" w:sz="4" w:space="1" w:color="auto"/>
          <w:left w:val="single" w:sz="4" w:space="4" w:color="auto"/>
          <w:bottom w:val="single" w:sz="4" w:space="1" w:color="auto"/>
          <w:right w:val="single" w:sz="4" w:space="4" w:color="auto"/>
        </w:pBdr>
        <w:shd w:val="clear" w:color="auto" w:fill="70AD47" w:themeFill="accent6"/>
        <w:ind w:right="-851"/>
        <w:jc w:val="center"/>
        <w:rPr>
          <w:lang w:val="en-GB"/>
        </w:rPr>
      </w:pPr>
      <w:r w:rsidRPr="00A05698">
        <w:rPr>
          <w:lang w:val="en-GB"/>
        </w:rPr>
        <w:t>KoW= Coct (mol/L) / Cw (mol/L)  (2-1)</w:t>
      </w:r>
    </w:p>
    <w:p w:rsidR="007418E7" w:rsidRPr="00260B47" w:rsidRDefault="007418E7" w:rsidP="005E613E">
      <w:pPr>
        <w:pStyle w:val="Cabealho4"/>
        <w:numPr>
          <w:ilvl w:val="0"/>
          <w:numId w:val="0"/>
        </w:numPr>
        <w:ind w:left="864" w:right="-851"/>
        <w:rPr>
          <w:rFonts w:ascii="Times New Roman" w:hAnsi="Times New Roman"/>
          <w:sz w:val="21"/>
          <w:szCs w:val="21"/>
        </w:rPr>
      </w:pPr>
      <w:bookmarkStart w:id="522" w:name="_Toc521939555"/>
      <w:r w:rsidRPr="00260B47">
        <w:rPr>
          <w:rFonts w:ascii="Times New Roman" w:hAnsi="Times New Roman"/>
          <w:sz w:val="21"/>
          <w:szCs w:val="21"/>
        </w:rPr>
        <w:t>Utilisation par les Agriculteurs</w:t>
      </w:r>
      <w:bookmarkEnd w:id="522"/>
    </w:p>
    <w:p w:rsidR="007418E7" w:rsidRPr="00260B47" w:rsidRDefault="007418E7" w:rsidP="005E613E">
      <w:pPr>
        <w:ind w:left="284" w:right="-851"/>
        <w:jc w:val="both"/>
        <w:rPr>
          <w:sz w:val="21"/>
          <w:szCs w:val="21"/>
        </w:rPr>
      </w:pPr>
      <w:r w:rsidRPr="00260B47">
        <w:rPr>
          <w:sz w:val="21"/>
          <w:szCs w:val="21"/>
        </w:rPr>
        <w:t xml:space="preserve">Les pesticides sont parfois utilisés à tort et à travers, par les agriculteurs mais aussi par des applicateurs informels, </w:t>
      </w:r>
      <w:r w:rsidR="00260B47" w:rsidRPr="00260B47">
        <w:rPr>
          <w:sz w:val="21"/>
          <w:szCs w:val="21"/>
        </w:rPr>
        <w:t>surtout dans</w:t>
      </w:r>
      <w:r w:rsidRPr="00260B47">
        <w:rPr>
          <w:sz w:val="21"/>
          <w:szCs w:val="21"/>
        </w:rPr>
        <w:t xml:space="preserve">  le  maraîchage.  Il se </w:t>
      </w:r>
      <w:r w:rsidR="00260B47" w:rsidRPr="00260B47">
        <w:rPr>
          <w:sz w:val="21"/>
          <w:szCs w:val="21"/>
        </w:rPr>
        <w:t>pose fondamentalement</w:t>
      </w:r>
      <w:r w:rsidRPr="00260B47">
        <w:rPr>
          <w:sz w:val="21"/>
          <w:szCs w:val="21"/>
        </w:rPr>
        <w:t xml:space="preserve">  un  problème d’information  et  de  sensibilisation  car  les  agriculteurs  effectuent  ces  opération  sans  équipement  de protection  (masques,  gants,  tenues,  etc.).  Il existe peu  de  données  sur  l’utilisation  des  produits phytosanitaires  (pesticides,  herbicides,  fongicides)  en  agriculture  et  leurs  impacts  sur  la  qualité  des eaux.  Cette utilisation reste  mal  maîtrisée  notamment  chez  les  petits  producteurs  qui,  en  termes  de bonnes pratiques d’utilisation, font preuve de lacunes notoires.</w:t>
      </w:r>
    </w:p>
    <w:p w:rsidR="007418E7" w:rsidRPr="00260B47" w:rsidRDefault="007418E7" w:rsidP="005E613E">
      <w:pPr>
        <w:pStyle w:val="Cabealho4"/>
        <w:numPr>
          <w:ilvl w:val="0"/>
          <w:numId w:val="0"/>
        </w:numPr>
        <w:ind w:left="864" w:right="-851"/>
        <w:rPr>
          <w:rFonts w:ascii="Times New Roman" w:hAnsi="Times New Roman"/>
          <w:sz w:val="21"/>
          <w:szCs w:val="21"/>
        </w:rPr>
      </w:pPr>
      <w:bookmarkStart w:id="523" w:name="_Toc521939556"/>
      <w:r w:rsidRPr="00260B47">
        <w:rPr>
          <w:rFonts w:ascii="Times New Roman" w:hAnsi="Times New Roman"/>
          <w:sz w:val="21"/>
          <w:szCs w:val="21"/>
        </w:rPr>
        <w:t>Stockage des pesticides</w:t>
      </w:r>
      <w:bookmarkEnd w:id="523"/>
      <w:r w:rsidRPr="00260B47">
        <w:rPr>
          <w:rFonts w:ascii="Times New Roman" w:hAnsi="Times New Roman"/>
          <w:sz w:val="21"/>
          <w:szCs w:val="21"/>
        </w:rPr>
        <w:t xml:space="preserve"> </w:t>
      </w:r>
    </w:p>
    <w:p w:rsidR="007418E7" w:rsidRPr="00260B47" w:rsidRDefault="007418E7" w:rsidP="005E613E">
      <w:pPr>
        <w:ind w:left="284" w:right="-851"/>
        <w:jc w:val="both"/>
        <w:rPr>
          <w:sz w:val="21"/>
          <w:szCs w:val="21"/>
        </w:rPr>
      </w:pPr>
      <w:r w:rsidRPr="00260B47">
        <w:rPr>
          <w:sz w:val="21"/>
          <w:szCs w:val="21"/>
        </w:rPr>
        <w:t xml:space="preserve">Très peu de magasins existent dans les localités pour le stockage des produits et, généralement, ils ne sont pas adaptés aux normes de la FAO en la matière. Les services de la protection des végétaux et les bases phytosanitaires visités dans la région souffrent de l’absence d’infrastructures adéquates pour le stockage et le conditionnement des pesticides. Au niveau </w:t>
      </w:r>
      <w:r w:rsidR="00537C45" w:rsidRPr="00260B47">
        <w:rPr>
          <w:sz w:val="21"/>
          <w:szCs w:val="21"/>
        </w:rPr>
        <w:t xml:space="preserve">des </w:t>
      </w:r>
      <w:r w:rsidR="00260B47" w:rsidRPr="00260B47">
        <w:rPr>
          <w:sz w:val="21"/>
          <w:szCs w:val="21"/>
        </w:rPr>
        <w:t>populations, le</w:t>
      </w:r>
      <w:r w:rsidRPr="00260B47">
        <w:rPr>
          <w:sz w:val="21"/>
          <w:szCs w:val="21"/>
        </w:rPr>
        <w:t xml:space="preserve">  système  de  stockage  à  domicile  n’est  pas  conforme  et  présente  des risques majeurs. En effet il peut arriver que les produits soient stockés dans les chambres, au niveau d’un </w:t>
      </w:r>
      <w:r w:rsidR="00537C45" w:rsidRPr="00260B47">
        <w:rPr>
          <w:sz w:val="21"/>
          <w:szCs w:val="21"/>
        </w:rPr>
        <w:t xml:space="preserve">coin </w:t>
      </w:r>
      <w:r w:rsidR="00260B47" w:rsidRPr="00260B47">
        <w:rPr>
          <w:sz w:val="21"/>
          <w:szCs w:val="21"/>
        </w:rPr>
        <w:t>de l’habitation</w:t>
      </w:r>
      <w:r w:rsidRPr="00260B47">
        <w:rPr>
          <w:sz w:val="21"/>
          <w:szCs w:val="21"/>
        </w:rPr>
        <w:t xml:space="preserve">, dans  des  contenants  non identifiés  avec  tous  les  risques  inhérents  à  cette pratique notamment l’utilisation pour des fins d’alimentation par les enfants et aussi les adultes. Aussi, il </w:t>
      </w:r>
      <w:r w:rsidR="00537C45" w:rsidRPr="00260B47">
        <w:rPr>
          <w:sz w:val="21"/>
          <w:szCs w:val="21"/>
        </w:rPr>
        <w:t xml:space="preserve">est </w:t>
      </w:r>
      <w:r w:rsidR="00260B47" w:rsidRPr="00260B47">
        <w:rPr>
          <w:sz w:val="21"/>
          <w:szCs w:val="21"/>
        </w:rPr>
        <w:t>possible que</w:t>
      </w:r>
      <w:r w:rsidRPr="00260B47">
        <w:rPr>
          <w:sz w:val="21"/>
          <w:szCs w:val="21"/>
        </w:rPr>
        <w:t xml:space="preserve">  les  emballages  vides  de  pesticides  soient  utilisés  pour  stocker,  conserver  et transporter des boissons (dont l'eau,  l’huile,  l’huile de palme, le lait, etc.) ainsi que des aliments tels que les bouillies. Il n’existe aucun système de gestion et d’élimination des emballages vides et des restants de produits phytosanitaires.  En général, </w:t>
      </w:r>
      <w:r w:rsidR="00537C45" w:rsidRPr="00260B47">
        <w:rPr>
          <w:sz w:val="21"/>
          <w:szCs w:val="21"/>
        </w:rPr>
        <w:t xml:space="preserve">ces </w:t>
      </w:r>
      <w:r w:rsidR="00260B47" w:rsidRPr="00260B47">
        <w:rPr>
          <w:sz w:val="21"/>
          <w:szCs w:val="21"/>
        </w:rPr>
        <w:t>emballages vides</w:t>
      </w:r>
      <w:r w:rsidRPr="00260B47">
        <w:rPr>
          <w:sz w:val="21"/>
          <w:szCs w:val="21"/>
        </w:rPr>
        <w:t xml:space="preserve">  sont  réutilisés  par  les  agriculteurs  avec  tous  les risques sanitaires que cela comporte, soit ils sont rejetés dans la nature d’une manière anarchique, soit ils sont enfouis ou brûlés sur place. </w:t>
      </w:r>
    </w:p>
    <w:p w:rsidR="007418E7" w:rsidRPr="00260B47" w:rsidRDefault="007418E7" w:rsidP="005E613E">
      <w:pPr>
        <w:ind w:left="284" w:right="-851"/>
        <w:jc w:val="both"/>
        <w:rPr>
          <w:sz w:val="21"/>
          <w:szCs w:val="21"/>
        </w:rPr>
      </w:pPr>
      <w:bookmarkStart w:id="524" w:name="_Toc521939557"/>
      <w:r w:rsidRPr="00260B47">
        <w:rPr>
          <w:sz w:val="21"/>
          <w:szCs w:val="21"/>
        </w:rPr>
        <w:t xml:space="preserve"> Gestion des emballages et des pesticides obsolètes</w:t>
      </w:r>
      <w:bookmarkEnd w:id="524"/>
    </w:p>
    <w:p w:rsidR="007418E7" w:rsidRPr="00260B47" w:rsidRDefault="007418E7" w:rsidP="005E613E">
      <w:pPr>
        <w:ind w:left="284" w:right="-851"/>
        <w:jc w:val="both"/>
        <w:rPr>
          <w:sz w:val="21"/>
          <w:szCs w:val="21"/>
        </w:rPr>
      </w:pPr>
      <w:r w:rsidRPr="00260B47">
        <w:rPr>
          <w:sz w:val="21"/>
          <w:szCs w:val="21"/>
        </w:rPr>
        <w:t>Les pesticides peuvent devenir obsolètes en cas de non utilisation prolongée des stocks présents dans le pays. En outre, le stockage prolongé des pesticides peut provoquer des fuites</w:t>
      </w:r>
      <w:r w:rsidR="001C798E">
        <w:rPr>
          <w:sz w:val="21"/>
          <w:szCs w:val="21"/>
        </w:rPr>
        <w:t xml:space="preserve"> et contaminer le sol et l’eau des</w:t>
      </w:r>
      <w:r w:rsidRPr="00260B47">
        <w:rPr>
          <w:sz w:val="21"/>
          <w:szCs w:val="21"/>
        </w:rPr>
        <w:t xml:space="preserve"> zones  de  stockage.  La destruction saine  de  ces  produits  obsolètes  nécessite  des  moyens financiers énormes et des technologies de pointe. Concernant les emballages vides, en général, ils sont jetés dans la nature d’u</w:t>
      </w:r>
      <w:r w:rsidR="001C798E">
        <w:rPr>
          <w:sz w:val="21"/>
          <w:szCs w:val="21"/>
        </w:rPr>
        <w:t>ne manière anarchique, ou alors</w:t>
      </w:r>
      <w:r w:rsidRPr="00260B47">
        <w:rPr>
          <w:sz w:val="21"/>
          <w:szCs w:val="21"/>
        </w:rPr>
        <w:t xml:space="preserve"> enfouis ou brûlés, et rarement stockés dans un endroit  sécurisé.</w:t>
      </w:r>
      <w:r w:rsidR="001C798E">
        <w:rPr>
          <w:sz w:val="21"/>
          <w:szCs w:val="21"/>
        </w:rPr>
        <w:t xml:space="preserve">  Les recommandations récentes de </w:t>
      </w:r>
      <w:r w:rsidRPr="00260B47">
        <w:rPr>
          <w:sz w:val="21"/>
          <w:szCs w:val="21"/>
        </w:rPr>
        <w:t>la  FAO  stipulent  que  ces  emballages  vides devraient  être  repris  par  les  distributeurs  de  pesticides  pour  un  traitement  approprié</w:t>
      </w:r>
      <w:r w:rsidR="00537C45" w:rsidRPr="00260B47">
        <w:rPr>
          <w:sz w:val="21"/>
          <w:szCs w:val="21"/>
        </w:rPr>
        <w:t>.</w:t>
      </w:r>
      <w:r w:rsidRPr="00260B47">
        <w:rPr>
          <w:sz w:val="21"/>
          <w:szCs w:val="21"/>
        </w:rPr>
        <w:t xml:space="preserve"> </w:t>
      </w:r>
    </w:p>
    <w:p w:rsidR="004630E4" w:rsidRPr="00260B47" w:rsidRDefault="004630E4" w:rsidP="005E613E">
      <w:pPr>
        <w:keepNext/>
        <w:spacing w:line="276" w:lineRule="auto"/>
        <w:ind w:right="-851"/>
        <w:jc w:val="both"/>
        <w:outlineLvl w:val="1"/>
        <w:rPr>
          <w:rFonts w:eastAsia="Calibri"/>
          <w:b/>
          <w:sz w:val="21"/>
          <w:szCs w:val="21"/>
        </w:rPr>
      </w:pPr>
      <w:bookmarkStart w:id="525" w:name="_Toc521939558"/>
      <w:bookmarkStart w:id="526" w:name="_Toc62927866"/>
      <w:bookmarkStart w:id="527" w:name="_Toc63695108"/>
    </w:p>
    <w:p w:rsidR="007418E7" w:rsidRPr="00260B47" w:rsidRDefault="007418E7" w:rsidP="005E613E">
      <w:pPr>
        <w:keepNext/>
        <w:spacing w:line="276" w:lineRule="auto"/>
        <w:ind w:right="-851"/>
        <w:jc w:val="both"/>
        <w:outlineLvl w:val="1"/>
        <w:rPr>
          <w:rFonts w:eastAsia="Calibri"/>
          <w:b/>
          <w:sz w:val="21"/>
          <w:szCs w:val="21"/>
        </w:rPr>
      </w:pPr>
      <w:bookmarkStart w:id="528" w:name="_Toc67508600"/>
      <w:bookmarkStart w:id="529" w:name="_Toc69918790"/>
      <w:bookmarkStart w:id="530" w:name="_Toc73459835"/>
      <w:r w:rsidRPr="00260B47">
        <w:rPr>
          <w:rFonts w:eastAsia="Calibri"/>
          <w:b/>
          <w:sz w:val="21"/>
          <w:szCs w:val="21"/>
        </w:rPr>
        <w:t>Les accidents causés par les pesticides</w:t>
      </w:r>
      <w:bookmarkEnd w:id="525"/>
      <w:bookmarkEnd w:id="526"/>
      <w:bookmarkEnd w:id="527"/>
      <w:bookmarkEnd w:id="528"/>
      <w:bookmarkEnd w:id="529"/>
      <w:bookmarkEnd w:id="530"/>
    </w:p>
    <w:p w:rsidR="007418E7" w:rsidRPr="00260B47" w:rsidRDefault="007418E7" w:rsidP="005E613E">
      <w:pPr>
        <w:ind w:left="284" w:right="-851"/>
        <w:jc w:val="both"/>
        <w:rPr>
          <w:sz w:val="21"/>
          <w:szCs w:val="21"/>
        </w:rPr>
      </w:pPr>
      <w:r w:rsidRPr="00260B47">
        <w:rPr>
          <w:sz w:val="21"/>
          <w:szCs w:val="21"/>
        </w:rPr>
        <w:t xml:space="preserve">Les conditions de stockage de ces déchets toxiques sont souvent très précaires et peuvent causer des accidents, surtout pour les enfants.  En plus, les pesticides obsolètes peuvent poser des risques majeurs sur la santé des hommes, des animaux et l'environnement. S’agissant de l’utilisation des pesticides ses conséquences sanitaires sont souvent des cas de décès ou d’intoxication.  En effet au  cours  des  années,  il  a  été  noté  plusieurs  cas  d’intoxication  notamment mortels  soit  pour  l’homme,  le  bétail  ou  la  population  halieutique  (cette  liste  n’est  pas  exhaustive). PAN Africa dispose d’une base de données sur les cas notamment au </w:t>
      </w:r>
      <w:r w:rsidR="00537C45" w:rsidRPr="00260B47">
        <w:rPr>
          <w:sz w:val="21"/>
          <w:szCs w:val="21"/>
        </w:rPr>
        <w:t>Guinée Bissau</w:t>
      </w:r>
      <w:r w:rsidRPr="00260B47">
        <w:rPr>
          <w:sz w:val="21"/>
          <w:szCs w:val="21"/>
        </w:rPr>
        <w:t xml:space="preserve"> et quelques pays de la sous-région Ouest Africaine. Cette initiative est à soutenir pour la tenue de statistiques fiables de ces événements.  En effet, au  niveau du pays,  les  données  ne  sont  pas  encore  enregistrées  ou  sinon  sont parcellaires.  L’encadré ci-dessous montre l’urgence d’action de sensibilisation en direction des différents utilisateurs afin d’éviter les accidents et incidents.</w:t>
      </w:r>
    </w:p>
    <w:p w:rsidR="00A55D21" w:rsidRPr="00260B47" w:rsidRDefault="00A55D21" w:rsidP="005E613E">
      <w:pPr>
        <w:ind w:right="-851"/>
        <w:jc w:val="both"/>
        <w:rPr>
          <w:sz w:val="21"/>
          <w:szCs w:val="21"/>
        </w:rPr>
      </w:pPr>
    </w:p>
    <w:p w:rsidR="007418E7" w:rsidRPr="00260B47" w:rsidRDefault="007418E7" w:rsidP="005E613E">
      <w:pPr>
        <w:keepNext/>
        <w:spacing w:line="276" w:lineRule="auto"/>
        <w:ind w:right="-851"/>
        <w:jc w:val="both"/>
        <w:outlineLvl w:val="1"/>
        <w:rPr>
          <w:rFonts w:eastAsia="Calibri"/>
          <w:b/>
          <w:sz w:val="21"/>
          <w:szCs w:val="21"/>
        </w:rPr>
      </w:pPr>
      <w:bookmarkStart w:id="531" w:name="_Toc521939559"/>
      <w:bookmarkStart w:id="532" w:name="_Toc62927867"/>
      <w:bookmarkStart w:id="533" w:name="_Toc63695109"/>
      <w:bookmarkStart w:id="534" w:name="_Toc67508601"/>
      <w:bookmarkStart w:id="535" w:name="_Toc69918791"/>
      <w:bookmarkStart w:id="536" w:name="_Toc73459836"/>
      <w:r w:rsidRPr="00260B47">
        <w:rPr>
          <w:rFonts w:eastAsia="Calibri"/>
          <w:b/>
          <w:sz w:val="21"/>
          <w:szCs w:val="21"/>
        </w:rPr>
        <w:t>Appréciation des connaissances et pratiques dans la gestion des pesticides</w:t>
      </w:r>
      <w:bookmarkEnd w:id="531"/>
      <w:bookmarkEnd w:id="532"/>
      <w:bookmarkEnd w:id="533"/>
      <w:bookmarkEnd w:id="534"/>
      <w:bookmarkEnd w:id="535"/>
      <w:bookmarkEnd w:id="536"/>
    </w:p>
    <w:p w:rsidR="007418E7" w:rsidRPr="00260B47" w:rsidRDefault="007418E7" w:rsidP="005E613E">
      <w:pPr>
        <w:ind w:left="284" w:right="-851"/>
        <w:jc w:val="both"/>
        <w:rPr>
          <w:sz w:val="21"/>
          <w:szCs w:val="21"/>
        </w:rPr>
      </w:pPr>
      <w:r w:rsidRPr="00260B47">
        <w:rPr>
          <w:sz w:val="21"/>
          <w:szCs w:val="21"/>
        </w:rPr>
        <w:t xml:space="preserve">Si  au  niveau  des  Services  techniques  (Ministère  agriculture,  Ministère  de  la  Santé,  Ministère  de l’Environnement, etc.), les connaissances et les bonnes pratiques sont relativement bien maîtrisées en matière  de  Gestion  des  Pesticides,  il  reste  qu’au  niveau  des usagers, notamment les privés « informels » et les populations, les besoins sont importants en matière d’information, de formation et de sensibilisation sur les procédures  réglementaires,  les  caractéristiques  des  produits  et  les  bonnes pratiques d’exécution. Il est évident que, dans la majorité des cas, les étalagistes et autres chargés de la vente de ces produits n’ont pas les aptitudes nécessaires pour exercer la fonction.  </w:t>
      </w:r>
    </w:p>
    <w:p w:rsidR="007418E7" w:rsidRPr="00260B47" w:rsidRDefault="007418E7" w:rsidP="005E613E">
      <w:pPr>
        <w:ind w:left="284" w:right="-851"/>
        <w:jc w:val="both"/>
        <w:rPr>
          <w:sz w:val="21"/>
          <w:szCs w:val="21"/>
        </w:rPr>
      </w:pPr>
      <w:r w:rsidRPr="00260B47">
        <w:rPr>
          <w:sz w:val="21"/>
          <w:szCs w:val="21"/>
        </w:rPr>
        <w:t>La plupart des  usagers  privés,  y  compris  les  populations,  ignorent  l’usage  adéquat  et  pertinent  des pesticides  et  les  différentes  méthodes  alternatives.  Par ailleurs, les  mesures  de  sécurité  sont généralement  précaires,  c’est  pourquoi  le  contrôle  des  lieux  de  stockage  et  de  vente  des  pesticides devient  une  nécessité  afin  d’éviter  ou  tout  au  moins  de  réduire  l’exposition  de  la  population  à  ces produits.  Les risques restent  plus  importants  dans  la  zone  du  projet  où  les  populations  ne  sont  pas toujours  informées  et  sensibilisées  sur  les  dispositions  de  sécurité  nécessaires  à  prendre  quand  on manipule les pesticides.</w:t>
      </w:r>
    </w:p>
    <w:p w:rsidR="00BF0DC9" w:rsidRPr="00260B47" w:rsidRDefault="00BF0DC9" w:rsidP="005E613E">
      <w:pPr>
        <w:keepNext/>
        <w:spacing w:line="276" w:lineRule="auto"/>
        <w:ind w:right="-851"/>
        <w:jc w:val="both"/>
        <w:outlineLvl w:val="1"/>
        <w:rPr>
          <w:rFonts w:eastAsia="Calibri"/>
          <w:b/>
          <w:sz w:val="21"/>
          <w:szCs w:val="21"/>
        </w:rPr>
      </w:pPr>
      <w:bookmarkStart w:id="537" w:name="_Toc521939560"/>
      <w:bookmarkStart w:id="538" w:name="_Toc62927868"/>
      <w:bookmarkStart w:id="539" w:name="_Toc63695110"/>
    </w:p>
    <w:p w:rsidR="007418E7" w:rsidRPr="00260B47" w:rsidRDefault="007418E7" w:rsidP="005E613E">
      <w:pPr>
        <w:keepNext/>
        <w:spacing w:line="276" w:lineRule="auto"/>
        <w:ind w:right="-851"/>
        <w:jc w:val="both"/>
        <w:outlineLvl w:val="1"/>
        <w:rPr>
          <w:rFonts w:eastAsia="Calibri"/>
          <w:b/>
          <w:sz w:val="21"/>
          <w:szCs w:val="21"/>
        </w:rPr>
      </w:pPr>
      <w:bookmarkStart w:id="540" w:name="_Toc67508602"/>
      <w:bookmarkStart w:id="541" w:name="_Toc69918792"/>
      <w:bookmarkStart w:id="542" w:name="_Toc73459837"/>
      <w:r w:rsidRPr="00260B47">
        <w:rPr>
          <w:rFonts w:eastAsia="Calibri"/>
          <w:b/>
          <w:sz w:val="21"/>
          <w:szCs w:val="21"/>
        </w:rPr>
        <w:t>Paramètres globaux de minimisation des effets négatifs des Pesticides</w:t>
      </w:r>
      <w:bookmarkEnd w:id="537"/>
      <w:bookmarkEnd w:id="538"/>
      <w:bookmarkEnd w:id="539"/>
      <w:bookmarkEnd w:id="540"/>
      <w:bookmarkEnd w:id="541"/>
      <w:bookmarkEnd w:id="542"/>
      <w:r w:rsidRPr="00260B47">
        <w:rPr>
          <w:rFonts w:eastAsia="Calibri"/>
          <w:b/>
          <w:sz w:val="21"/>
          <w:szCs w:val="21"/>
        </w:rPr>
        <w:t xml:space="preserve"> </w:t>
      </w:r>
    </w:p>
    <w:p w:rsidR="007418E7" w:rsidRPr="00260B47" w:rsidRDefault="007418E7" w:rsidP="005E613E">
      <w:pPr>
        <w:ind w:left="284" w:right="-851"/>
        <w:jc w:val="both"/>
        <w:rPr>
          <w:sz w:val="21"/>
          <w:szCs w:val="21"/>
        </w:rPr>
      </w:pPr>
      <w:r w:rsidRPr="00260B47">
        <w:rPr>
          <w:sz w:val="21"/>
          <w:szCs w:val="21"/>
        </w:rPr>
        <w:t>Les pesticides,  en  rapport  avec  leur  utilisation,  peuvent  porter  préjudice  à  la  qualité  de l’environnement sinon occasionner des risques divers. Ils peuvent occasionner la baisse de la fertilité des sols, provoquer son acidification et renforcer sa teneur en métaux lourds avec des conséquences diverses notamment pour la chaîne alimentaire.  Leur intrusion ou déversement dans les eaux souterraines ou de surface contribue à l’augmentation des taux de métaux lourds, de nitrates pouvant occasionner des phénomènes d’eutrophisation et/ou incommoder voire détruire la faune et la flore.</w:t>
      </w:r>
    </w:p>
    <w:p w:rsidR="007418E7" w:rsidRPr="00260B47" w:rsidRDefault="007418E7" w:rsidP="005E613E">
      <w:pPr>
        <w:ind w:left="284" w:right="-851"/>
        <w:jc w:val="both"/>
        <w:rPr>
          <w:sz w:val="21"/>
          <w:szCs w:val="21"/>
        </w:rPr>
      </w:pPr>
    </w:p>
    <w:p w:rsidR="007418E7" w:rsidRPr="00260B47" w:rsidRDefault="007418E7" w:rsidP="005E613E">
      <w:pPr>
        <w:ind w:left="284" w:right="-851"/>
        <w:jc w:val="both"/>
        <w:rPr>
          <w:sz w:val="21"/>
          <w:szCs w:val="21"/>
        </w:rPr>
      </w:pPr>
      <w:r w:rsidRPr="00260B47">
        <w:rPr>
          <w:sz w:val="21"/>
          <w:szCs w:val="21"/>
        </w:rPr>
        <w:t>Les pesticides contribuent aussi fortement à la baisse notamment de la population faunique notamment les oiseaux dont les œufs n’atteignent pas l’éclosion du fait de la faiblesse de texture des coquilles. Chez l’homme et le bétail, les effets peuvent être des effets chocs par mortalité ou être plus insidieux avec l’accumulation de longue durée pouvant occasionner notamment des effets mutagènes, la perte de fertilité, des problèmes broncho-pulmonaires, etc.</w:t>
      </w:r>
    </w:p>
    <w:p w:rsidR="00A55D21" w:rsidRPr="00260B47" w:rsidRDefault="00A55D21" w:rsidP="005E613E">
      <w:pPr>
        <w:ind w:right="-851"/>
        <w:jc w:val="both"/>
        <w:rPr>
          <w:sz w:val="21"/>
          <w:szCs w:val="21"/>
        </w:rPr>
      </w:pPr>
    </w:p>
    <w:p w:rsidR="007418E7" w:rsidRPr="004C4F3D" w:rsidRDefault="00A55D21" w:rsidP="005E613E">
      <w:pPr>
        <w:ind w:right="-851"/>
        <w:jc w:val="both"/>
        <w:rPr>
          <w:b/>
          <w:sz w:val="21"/>
          <w:szCs w:val="21"/>
        </w:rPr>
      </w:pPr>
      <w:r w:rsidRPr="00260B47">
        <w:rPr>
          <w:b/>
          <w:sz w:val="21"/>
          <w:szCs w:val="21"/>
        </w:rPr>
        <w:t xml:space="preserve">Plan d’action </w:t>
      </w:r>
      <w:r w:rsidR="00266D52">
        <w:rPr>
          <w:b/>
          <w:sz w:val="21"/>
          <w:szCs w:val="21"/>
        </w:rPr>
        <w:t>pour la gestion intégrée</w:t>
      </w:r>
      <w:r w:rsidR="000734FA">
        <w:rPr>
          <w:b/>
          <w:sz w:val="21"/>
          <w:szCs w:val="21"/>
        </w:rPr>
        <w:t xml:space="preserve"> des pestes dans le cadre du projet</w:t>
      </w:r>
      <w:r w:rsidR="00266D52">
        <w:rPr>
          <w:b/>
          <w:sz w:val="21"/>
          <w:szCs w:val="21"/>
        </w:rPr>
        <w:t xml:space="preserve"> </w:t>
      </w:r>
      <w:r w:rsidRPr="00260B47">
        <w:rPr>
          <w:b/>
          <w:sz w:val="21"/>
          <w:szCs w:val="21"/>
        </w:rPr>
        <w:t>: objectifs et mesures proposées</w:t>
      </w:r>
    </w:p>
    <w:p w:rsidR="003C330B" w:rsidRDefault="007418E7" w:rsidP="005E613E">
      <w:pPr>
        <w:ind w:left="284" w:right="-851"/>
        <w:jc w:val="both"/>
        <w:rPr>
          <w:sz w:val="21"/>
          <w:szCs w:val="21"/>
        </w:rPr>
      </w:pPr>
      <w:r w:rsidRPr="00260B47">
        <w:rPr>
          <w:sz w:val="21"/>
          <w:szCs w:val="21"/>
        </w:rPr>
        <w:t xml:space="preserve">Pour renverser les tendances négatives concernant les limites de la gestion rationnelle des pestes et des pesticides </w:t>
      </w:r>
      <w:r w:rsidR="00077EB2" w:rsidRPr="00260B47">
        <w:rPr>
          <w:sz w:val="21"/>
          <w:szCs w:val="21"/>
        </w:rPr>
        <w:t xml:space="preserve">dans </w:t>
      </w:r>
      <w:r w:rsidR="00537C45" w:rsidRPr="00260B47">
        <w:rPr>
          <w:sz w:val="21"/>
          <w:szCs w:val="21"/>
        </w:rPr>
        <w:t xml:space="preserve">la </w:t>
      </w:r>
      <w:r w:rsidR="004C4F3D" w:rsidRPr="00260B47">
        <w:rPr>
          <w:sz w:val="21"/>
          <w:szCs w:val="21"/>
        </w:rPr>
        <w:t>zone d’intervention</w:t>
      </w:r>
      <w:r w:rsidRPr="00260B47">
        <w:rPr>
          <w:sz w:val="21"/>
          <w:szCs w:val="21"/>
        </w:rPr>
        <w:t xml:space="preserve"> </w:t>
      </w:r>
      <w:r w:rsidR="004C4F3D" w:rsidRPr="00260B47">
        <w:rPr>
          <w:sz w:val="21"/>
          <w:szCs w:val="21"/>
        </w:rPr>
        <w:t xml:space="preserve">du </w:t>
      </w:r>
      <w:r w:rsidR="001E6141" w:rsidRPr="00260B47">
        <w:rPr>
          <w:sz w:val="21"/>
          <w:szCs w:val="21"/>
        </w:rPr>
        <w:t>projet, le</w:t>
      </w:r>
      <w:r w:rsidRPr="00260B47">
        <w:rPr>
          <w:sz w:val="21"/>
          <w:szCs w:val="21"/>
        </w:rPr>
        <w:t xml:space="preserve">  plan  d’action  ci-dessous  est  proposé.  </w:t>
      </w:r>
      <w:r w:rsidR="007557DB">
        <w:rPr>
          <w:sz w:val="21"/>
          <w:szCs w:val="21"/>
        </w:rPr>
        <w:t xml:space="preserve">Le plan d’action vise </w:t>
      </w:r>
      <w:r w:rsidR="00A81CDC" w:rsidRPr="00A81CDC">
        <w:rPr>
          <w:sz w:val="21"/>
          <w:szCs w:val="21"/>
        </w:rPr>
        <w:t>à (i) protéger l’environnement biophysique et humain, à travers la promotion de l’usage de stratégies alternatives de lutte, (ii) renforcer les capacités des producteurs et autres parties prenantes et (iii) prévenir et gérer les risques sanitaires et environnementaux liés aux pesticides dans le cadre du projet. De plus, le processus permet une gestion optimale des stocks obsolètes et des contenants vides ainsi que la fourniture aux producteurs de matériels de protection et de pulvérisation</w:t>
      </w:r>
      <w:r w:rsidR="00A81CDC">
        <w:rPr>
          <w:sz w:val="21"/>
          <w:szCs w:val="21"/>
        </w:rPr>
        <w:t>.</w:t>
      </w:r>
      <w:r w:rsidR="003C330B">
        <w:rPr>
          <w:sz w:val="21"/>
          <w:szCs w:val="21"/>
        </w:rPr>
        <w:t xml:space="preserve"> </w:t>
      </w:r>
    </w:p>
    <w:p w:rsidR="002379F2" w:rsidRPr="00260B47" w:rsidRDefault="001E6141" w:rsidP="005E613E">
      <w:pPr>
        <w:ind w:left="284" w:right="-851"/>
        <w:jc w:val="both"/>
        <w:rPr>
          <w:sz w:val="21"/>
          <w:szCs w:val="21"/>
        </w:rPr>
      </w:pPr>
      <w:r w:rsidRPr="00283500">
        <w:rPr>
          <w:sz w:val="21"/>
          <w:szCs w:val="21"/>
        </w:rPr>
        <w:t>Les principaux risques identifiés</w:t>
      </w:r>
      <w:r w:rsidR="00473DAD" w:rsidRPr="00283500">
        <w:rPr>
          <w:sz w:val="21"/>
          <w:szCs w:val="21"/>
        </w:rPr>
        <w:t xml:space="preserve"> au niveau </w:t>
      </w:r>
      <w:r w:rsidR="007457F8" w:rsidRPr="00283500">
        <w:rPr>
          <w:sz w:val="21"/>
          <w:szCs w:val="21"/>
        </w:rPr>
        <w:t>de la capacité des acteurs et populations </w:t>
      </w:r>
      <w:r w:rsidR="00270B37" w:rsidRPr="00283500">
        <w:rPr>
          <w:sz w:val="21"/>
          <w:szCs w:val="21"/>
        </w:rPr>
        <w:t>pour parvenir à une lutte intégrée contre les ravageurs sont les suivants :</w:t>
      </w:r>
    </w:p>
    <w:p w:rsidR="002379F2" w:rsidRDefault="002379F2" w:rsidP="005E613E">
      <w:pPr>
        <w:spacing w:line="27" w:lineRule="exact"/>
        <w:ind w:right="-851"/>
        <w:rPr>
          <w:sz w:val="21"/>
          <w:szCs w:val="21"/>
        </w:rPr>
      </w:pPr>
    </w:p>
    <w:p w:rsidR="00E7761D" w:rsidRPr="00260B47" w:rsidRDefault="00E7761D" w:rsidP="005E613E">
      <w:pPr>
        <w:spacing w:line="27" w:lineRule="exact"/>
        <w:ind w:right="-851"/>
        <w:rPr>
          <w:sz w:val="21"/>
          <w:szCs w:val="21"/>
        </w:rPr>
      </w:pPr>
    </w:p>
    <w:p w:rsidR="002379F2" w:rsidRPr="00260B47" w:rsidRDefault="002379F2" w:rsidP="005E613E">
      <w:pPr>
        <w:numPr>
          <w:ilvl w:val="0"/>
          <w:numId w:val="172"/>
        </w:numPr>
        <w:tabs>
          <w:tab w:val="left" w:pos="720"/>
        </w:tabs>
        <w:spacing w:line="227" w:lineRule="auto"/>
        <w:ind w:right="-851"/>
        <w:jc w:val="both"/>
        <w:rPr>
          <w:rFonts w:ascii="Symbol" w:eastAsia="Symbol" w:hAnsi="Symbol" w:cs="Symbol"/>
          <w:sz w:val="21"/>
          <w:szCs w:val="21"/>
        </w:rPr>
      </w:pPr>
      <w:r w:rsidRPr="00260B47">
        <w:rPr>
          <w:rFonts w:eastAsia="Times New Roman"/>
          <w:sz w:val="21"/>
          <w:szCs w:val="21"/>
        </w:rPr>
        <w:t>La fourniture de pesticides ne s'accompagne pas souvent de kit de protection pour les applicateurs ;</w:t>
      </w:r>
    </w:p>
    <w:p w:rsidR="002379F2" w:rsidRPr="00260B47" w:rsidRDefault="002379F2" w:rsidP="005E613E">
      <w:pPr>
        <w:spacing w:line="29" w:lineRule="exact"/>
        <w:ind w:right="-851"/>
        <w:jc w:val="both"/>
        <w:rPr>
          <w:rFonts w:ascii="Symbol" w:eastAsia="Symbol" w:hAnsi="Symbol" w:cs="Symbol"/>
          <w:sz w:val="21"/>
          <w:szCs w:val="21"/>
        </w:rPr>
      </w:pPr>
    </w:p>
    <w:p w:rsidR="002379F2" w:rsidRPr="00260B47" w:rsidRDefault="002379F2" w:rsidP="005E613E">
      <w:pPr>
        <w:numPr>
          <w:ilvl w:val="0"/>
          <w:numId w:val="172"/>
        </w:numPr>
        <w:tabs>
          <w:tab w:val="left" w:pos="720"/>
        </w:tabs>
        <w:spacing w:line="227" w:lineRule="auto"/>
        <w:ind w:right="-851"/>
        <w:jc w:val="both"/>
        <w:rPr>
          <w:rFonts w:ascii="Symbol" w:eastAsia="Symbol" w:hAnsi="Symbol" w:cs="Symbol"/>
          <w:sz w:val="21"/>
          <w:szCs w:val="21"/>
        </w:rPr>
      </w:pPr>
      <w:r w:rsidRPr="00260B47">
        <w:rPr>
          <w:rFonts w:eastAsia="Times New Roman"/>
          <w:sz w:val="21"/>
          <w:szCs w:val="21"/>
        </w:rPr>
        <w:t>La plupart des agriculteurs ignorent encore l’usage adéquat et pertinent des pesticides et les différentes méthodes alternatives notamment dans le cadre de la gestion intégrée des pestes.</w:t>
      </w:r>
    </w:p>
    <w:p w:rsidR="002379F2" w:rsidRPr="00260B47" w:rsidRDefault="002379F2" w:rsidP="005E613E">
      <w:pPr>
        <w:spacing w:line="1" w:lineRule="exact"/>
        <w:ind w:right="-851"/>
        <w:jc w:val="both"/>
        <w:rPr>
          <w:rFonts w:ascii="Symbol" w:eastAsia="Symbol" w:hAnsi="Symbol" w:cs="Symbol"/>
          <w:sz w:val="21"/>
          <w:szCs w:val="21"/>
        </w:rPr>
      </w:pPr>
    </w:p>
    <w:p w:rsidR="002379F2" w:rsidRPr="00260B47" w:rsidRDefault="002379F2" w:rsidP="005E613E">
      <w:pPr>
        <w:numPr>
          <w:ilvl w:val="0"/>
          <w:numId w:val="172"/>
        </w:numPr>
        <w:tabs>
          <w:tab w:val="left" w:pos="720"/>
        </w:tabs>
        <w:spacing w:line="237" w:lineRule="auto"/>
        <w:ind w:right="-851"/>
        <w:jc w:val="both"/>
        <w:rPr>
          <w:rFonts w:ascii="Symbol" w:eastAsia="Symbol" w:hAnsi="Symbol" w:cs="Symbol"/>
          <w:sz w:val="21"/>
          <w:szCs w:val="21"/>
        </w:rPr>
      </w:pPr>
      <w:r w:rsidRPr="00260B47">
        <w:rPr>
          <w:rFonts w:eastAsia="Times New Roman"/>
          <w:sz w:val="21"/>
          <w:szCs w:val="21"/>
        </w:rPr>
        <w:t>Les méthodes alternatives sont rarement utilisées pour venir à bout des ennemis de cultures ;</w:t>
      </w:r>
    </w:p>
    <w:p w:rsidR="002379F2" w:rsidRPr="00260B47" w:rsidRDefault="002379F2" w:rsidP="005E613E">
      <w:pPr>
        <w:numPr>
          <w:ilvl w:val="0"/>
          <w:numId w:val="172"/>
        </w:numPr>
        <w:tabs>
          <w:tab w:val="left" w:pos="720"/>
        </w:tabs>
        <w:ind w:right="-851"/>
        <w:jc w:val="both"/>
        <w:rPr>
          <w:rFonts w:ascii="Symbol" w:eastAsia="Symbol" w:hAnsi="Symbol" w:cs="Symbol"/>
          <w:sz w:val="21"/>
          <w:szCs w:val="21"/>
        </w:rPr>
      </w:pPr>
      <w:r w:rsidRPr="00260B47">
        <w:rPr>
          <w:rFonts w:eastAsia="Times New Roman"/>
          <w:sz w:val="21"/>
          <w:szCs w:val="21"/>
        </w:rPr>
        <w:t>Dans bien des cas les méthodes alternatives sont jugées peu efficace ;</w:t>
      </w:r>
    </w:p>
    <w:p w:rsidR="002379F2" w:rsidRPr="00260B47" w:rsidRDefault="002379F2" w:rsidP="005E613E">
      <w:pPr>
        <w:spacing w:line="20" w:lineRule="exact"/>
        <w:ind w:right="-851"/>
        <w:jc w:val="both"/>
        <w:rPr>
          <w:sz w:val="21"/>
          <w:szCs w:val="21"/>
        </w:rPr>
      </w:pPr>
    </w:p>
    <w:p w:rsidR="009623EA" w:rsidRPr="00A55914" w:rsidRDefault="002379F2" w:rsidP="005E613E">
      <w:pPr>
        <w:numPr>
          <w:ilvl w:val="0"/>
          <w:numId w:val="172"/>
        </w:numPr>
        <w:tabs>
          <w:tab w:val="left" w:pos="720"/>
        </w:tabs>
        <w:spacing w:line="227" w:lineRule="auto"/>
        <w:ind w:right="-851"/>
        <w:jc w:val="both"/>
        <w:rPr>
          <w:rFonts w:eastAsia="Times New Roman"/>
          <w:sz w:val="21"/>
          <w:szCs w:val="21"/>
        </w:rPr>
      </w:pPr>
      <w:bookmarkStart w:id="543" w:name="page19"/>
      <w:bookmarkEnd w:id="543"/>
      <w:r w:rsidRPr="00260B47">
        <w:rPr>
          <w:rFonts w:eastAsia="Times New Roman"/>
          <w:sz w:val="21"/>
          <w:szCs w:val="21"/>
        </w:rPr>
        <w:t>les contenants vides ne sont pas pris en charge de manière adéquate et sont souvent réutilisés par les populations pour le conditionnement du vin ou de l'huile.</w:t>
      </w:r>
    </w:p>
    <w:p w:rsidR="00334DC6" w:rsidRPr="00334DC6" w:rsidRDefault="00334DC6" w:rsidP="005E613E">
      <w:pPr>
        <w:numPr>
          <w:ilvl w:val="0"/>
          <w:numId w:val="172"/>
        </w:numPr>
        <w:tabs>
          <w:tab w:val="left" w:pos="720"/>
        </w:tabs>
        <w:spacing w:line="227" w:lineRule="auto"/>
        <w:ind w:right="-851"/>
        <w:jc w:val="both"/>
        <w:rPr>
          <w:rFonts w:eastAsia="Times New Roman"/>
          <w:sz w:val="21"/>
          <w:szCs w:val="21"/>
        </w:rPr>
      </w:pPr>
      <w:r w:rsidRPr="00334DC6">
        <w:rPr>
          <w:rFonts w:eastAsia="Times New Roman"/>
          <w:sz w:val="21"/>
          <w:szCs w:val="21"/>
        </w:rPr>
        <w:t xml:space="preserve">Le manque de personnel qualifié et assermenté, d’où la priorité dans la formation des cadres du Ministère de l’Agriculture ; </w:t>
      </w:r>
    </w:p>
    <w:p w:rsidR="00334DC6" w:rsidRPr="00334DC6" w:rsidRDefault="00334DC6" w:rsidP="005E613E">
      <w:pPr>
        <w:numPr>
          <w:ilvl w:val="0"/>
          <w:numId w:val="172"/>
        </w:numPr>
        <w:tabs>
          <w:tab w:val="left" w:pos="720"/>
        </w:tabs>
        <w:spacing w:line="227" w:lineRule="auto"/>
        <w:ind w:right="-851"/>
        <w:jc w:val="both"/>
        <w:rPr>
          <w:rFonts w:eastAsia="Times New Roman"/>
          <w:sz w:val="21"/>
          <w:szCs w:val="21"/>
        </w:rPr>
      </w:pPr>
      <w:r w:rsidRPr="00334DC6">
        <w:rPr>
          <w:rFonts w:eastAsia="Times New Roman"/>
          <w:sz w:val="21"/>
          <w:szCs w:val="21"/>
        </w:rPr>
        <w:t xml:space="preserve">Le manque de matériel de travail (moyens logistiques et technique) ; </w:t>
      </w:r>
    </w:p>
    <w:p w:rsidR="00334DC6" w:rsidRPr="00334DC6" w:rsidRDefault="00334DC6" w:rsidP="005E613E">
      <w:pPr>
        <w:numPr>
          <w:ilvl w:val="0"/>
          <w:numId w:val="172"/>
        </w:numPr>
        <w:tabs>
          <w:tab w:val="left" w:pos="720"/>
        </w:tabs>
        <w:spacing w:line="227" w:lineRule="auto"/>
        <w:ind w:right="-851"/>
        <w:jc w:val="both"/>
        <w:rPr>
          <w:rFonts w:eastAsia="Times New Roman"/>
          <w:sz w:val="21"/>
          <w:szCs w:val="21"/>
        </w:rPr>
      </w:pPr>
      <w:r w:rsidRPr="00334DC6">
        <w:rPr>
          <w:rFonts w:eastAsia="Times New Roman"/>
          <w:sz w:val="21"/>
          <w:szCs w:val="21"/>
        </w:rPr>
        <w:t xml:space="preserve">Le manque de mise en application effective des textes régissant l’activité phytosanitaire ; </w:t>
      </w:r>
    </w:p>
    <w:p w:rsidR="00334DC6" w:rsidRPr="00334DC6" w:rsidRDefault="00334DC6" w:rsidP="005E613E">
      <w:pPr>
        <w:numPr>
          <w:ilvl w:val="0"/>
          <w:numId w:val="172"/>
        </w:numPr>
        <w:tabs>
          <w:tab w:val="left" w:pos="720"/>
        </w:tabs>
        <w:spacing w:line="227" w:lineRule="auto"/>
        <w:ind w:right="-851"/>
        <w:jc w:val="both"/>
        <w:rPr>
          <w:rFonts w:eastAsia="Times New Roman"/>
          <w:sz w:val="21"/>
          <w:szCs w:val="21"/>
        </w:rPr>
      </w:pPr>
      <w:r w:rsidRPr="00334DC6">
        <w:rPr>
          <w:rFonts w:eastAsia="Times New Roman"/>
          <w:sz w:val="21"/>
          <w:szCs w:val="21"/>
        </w:rPr>
        <w:t xml:space="preserve">La non maîtrise des structures de production, vente et distribution de pesticides ; </w:t>
      </w:r>
    </w:p>
    <w:p w:rsidR="00334DC6" w:rsidRPr="008371D1" w:rsidRDefault="00334DC6" w:rsidP="005E613E">
      <w:pPr>
        <w:numPr>
          <w:ilvl w:val="0"/>
          <w:numId w:val="172"/>
        </w:numPr>
        <w:tabs>
          <w:tab w:val="left" w:pos="720"/>
        </w:tabs>
        <w:spacing w:line="227" w:lineRule="auto"/>
        <w:ind w:right="-851"/>
        <w:jc w:val="both"/>
        <w:rPr>
          <w:rFonts w:eastAsia="Times New Roman"/>
          <w:sz w:val="21"/>
          <w:szCs w:val="21"/>
        </w:rPr>
      </w:pPr>
      <w:r w:rsidRPr="00334DC6">
        <w:rPr>
          <w:rFonts w:eastAsia="Times New Roman"/>
          <w:sz w:val="21"/>
          <w:szCs w:val="21"/>
        </w:rPr>
        <w:t>Le manque de laboratoire d’analyse des données récoltées.</w:t>
      </w:r>
    </w:p>
    <w:p w:rsidR="002379F2" w:rsidRPr="00260B47" w:rsidRDefault="002379F2" w:rsidP="005E613E">
      <w:pPr>
        <w:spacing w:line="255" w:lineRule="exact"/>
        <w:ind w:right="-851"/>
        <w:rPr>
          <w:sz w:val="21"/>
          <w:szCs w:val="21"/>
        </w:rPr>
      </w:pPr>
    </w:p>
    <w:p w:rsidR="002379F2" w:rsidRPr="00260B47" w:rsidRDefault="002379F2" w:rsidP="005E613E">
      <w:pPr>
        <w:ind w:left="284" w:right="-851"/>
        <w:jc w:val="both"/>
        <w:rPr>
          <w:sz w:val="21"/>
          <w:szCs w:val="21"/>
        </w:rPr>
      </w:pPr>
      <w:r w:rsidRPr="00283500">
        <w:rPr>
          <w:sz w:val="21"/>
          <w:szCs w:val="21"/>
        </w:rPr>
        <w:t>Ces conclusions appellent les pistes d’actions suivantes :</w:t>
      </w:r>
    </w:p>
    <w:p w:rsidR="002379F2" w:rsidRPr="00260B47" w:rsidRDefault="002379F2" w:rsidP="005E613E">
      <w:pPr>
        <w:spacing w:line="27" w:lineRule="exact"/>
        <w:ind w:right="-851"/>
        <w:rPr>
          <w:sz w:val="21"/>
          <w:szCs w:val="21"/>
        </w:rPr>
      </w:pPr>
    </w:p>
    <w:p w:rsidR="002379F2" w:rsidRPr="00260B47" w:rsidRDefault="002379F2" w:rsidP="005E613E">
      <w:pPr>
        <w:numPr>
          <w:ilvl w:val="0"/>
          <w:numId w:val="148"/>
        </w:numPr>
        <w:tabs>
          <w:tab w:val="left" w:pos="720"/>
        </w:tabs>
        <w:spacing w:line="227" w:lineRule="auto"/>
        <w:ind w:left="720" w:right="-851" w:hanging="364"/>
        <w:jc w:val="both"/>
        <w:rPr>
          <w:rFonts w:ascii="Symbol" w:eastAsia="Symbol" w:hAnsi="Symbol" w:cs="Symbol"/>
          <w:sz w:val="21"/>
          <w:szCs w:val="21"/>
        </w:rPr>
      </w:pPr>
      <w:r w:rsidRPr="00260B47">
        <w:rPr>
          <w:rFonts w:eastAsia="Times New Roman"/>
          <w:sz w:val="21"/>
          <w:szCs w:val="21"/>
        </w:rPr>
        <w:t>le renforcement des capacités notamment la formation sur l’utilisation des pesticides et les méthodes alternatives;</w:t>
      </w:r>
    </w:p>
    <w:p w:rsidR="002379F2" w:rsidRPr="00260B47" w:rsidRDefault="002379F2" w:rsidP="005E613E">
      <w:pPr>
        <w:spacing w:line="1" w:lineRule="exact"/>
        <w:ind w:right="-851"/>
        <w:jc w:val="both"/>
        <w:rPr>
          <w:rFonts w:ascii="Symbol" w:eastAsia="Symbol" w:hAnsi="Symbol" w:cs="Symbol"/>
          <w:sz w:val="21"/>
          <w:szCs w:val="21"/>
        </w:rPr>
      </w:pPr>
    </w:p>
    <w:p w:rsidR="002379F2" w:rsidRPr="00260B47" w:rsidRDefault="002379F2" w:rsidP="005E613E">
      <w:pPr>
        <w:numPr>
          <w:ilvl w:val="0"/>
          <w:numId w:val="148"/>
        </w:numPr>
        <w:tabs>
          <w:tab w:val="left" w:pos="720"/>
        </w:tabs>
        <w:spacing w:line="237" w:lineRule="auto"/>
        <w:ind w:left="720" w:right="-851" w:hanging="364"/>
        <w:jc w:val="both"/>
        <w:rPr>
          <w:rFonts w:ascii="Symbol" w:eastAsia="Symbol" w:hAnsi="Symbol" w:cs="Symbol"/>
          <w:sz w:val="21"/>
          <w:szCs w:val="21"/>
        </w:rPr>
      </w:pPr>
      <w:r w:rsidRPr="00260B47">
        <w:rPr>
          <w:rFonts w:eastAsia="Times New Roman"/>
          <w:sz w:val="21"/>
          <w:szCs w:val="21"/>
        </w:rPr>
        <w:t>le renforcement de la sensibilisation sur l'importance de la lutte biologique;</w:t>
      </w:r>
    </w:p>
    <w:p w:rsidR="002379F2" w:rsidRPr="00260B47" w:rsidRDefault="002379F2" w:rsidP="005E613E">
      <w:pPr>
        <w:numPr>
          <w:ilvl w:val="0"/>
          <w:numId w:val="148"/>
        </w:numPr>
        <w:tabs>
          <w:tab w:val="left" w:pos="720"/>
        </w:tabs>
        <w:ind w:left="720" w:right="-851" w:hanging="364"/>
        <w:jc w:val="both"/>
        <w:rPr>
          <w:rFonts w:ascii="Symbol" w:eastAsia="Symbol" w:hAnsi="Symbol" w:cs="Symbol"/>
          <w:sz w:val="21"/>
          <w:szCs w:val="21"/>
        </w:rPr>
      </w:pPr>
      <w:r w:rsidRPr="00260B47">
        <w:rPr>
          <w:rFonts w:eastAsia="Times New Roman"/>
          <w:sz w:val="21"/>
          <w:szCs w:val="21"/>
        </w:rPr>
        <w:t>la vulgarisation du manuel de bonnes pratiques  concernant l'utilisation des pesticides</w:t>
      </w:r>
    </w:p>
    <w:p w:rsidR="002379F2" w:rsidRPr="00260B47" w:rsidRDefault="002379F2" w:rsidP="005E613E">
      <w:pPr>
        <w:numPr>
          <w:ilvl w:val="0"/>
          <w:numId w:val="148"/>
        </w:numPr>
        <w:tabs>
          <w:tab w:val="left" w:pos="720"/>
        </w:tabs>
        <w:ind w:left="720" w:right="-851" w:hanging="364"/>
        <w:jc w:val="both"/>
        <w:rPr>
          <w:rFonts w:ascii="Symbol" w:eastAsia="Symbol" w:hAnsi="Symbol" w:cs="Symbol"/>
          <w:sz w:val="21"/>
          <w:szCs w:val="21"/>
        </w:rPr>
      </w:pPr>
      <w:r w:rsidRPr="00260B47">
        <w:rPr>
          <w:rFonts w:eastAsia="Times New Roman"/>
          <w:sz w:val="21"/>
          <w:szCs w:val="21"/>
        </w:rPr>
        <w:t>La sensibilisation de toutes les parties prenantes à la bonne gestion des pesticides</w:t>
      </w:r>
    </w:p>
    <w:p w:rsidR="002379F2" w:rsidRPr="00260B47" w:rsidRDefault="002379F2" w:rsidP="005E613E">
      <w:pPr>
        <w:numPr>
          <w:ilvl w:val="0"/>
          <w:numId w:val="148"/>
        </w:numPr>
        <w:tabs>
          <w:tab w:val="left" w:pos="720"/>
        </w:tabs>
        <w:ind w:left="720" w:right="-851" w:hanging="364"/>
        <w:jc w:val="both"/>
        <w:rPr>
          <w:rFonts w:ascii="Symbol" w:eastAsia="Symbol" w:hAnsi="Symbol" w:cs="Symbol"/>
          <w:sz w:val="21"/>
          <w:szCs w:val="21"/>
        </w:rPr>
      </w:pPr>
      <w:r w:rsidRPr="00260B47">
        <w:rPr>
          <w:rFonts w:eastAsia="Times New Roman"/>
          <w:sz w:val="21"/>
          <w:szCs w:val="21"/>
        </w:rPr>
        <w:t>Formation sensibilisation sur les techniques d’élimination des emballages vides.</w:t>
      </w:r>
    </w:p>
    <w:p w:rsidR="002379F2" w:rsidRPr="00260B47" w:rsidRDefault="002379F2" w:rsidP="005E613E">
      <w:pPr>
        <w:spacing w:line="258" w:lineRule="exact"/>
        <w:ind w:right="-851"/>
        <w:rPr>
          <w:sz w:val="21"/>
          <w:szCs w:val="21"/>
        </w:rPr>
      </w:pPr>
    </w:p>
    <w:p w:rsidR="002379F2" w:rsidRPr="00260B47" w:rsidRDefault="002379F2" w:rsidP="005E613E">
      <w:pPr>
        <w:ind w:right="-851"/>
        <w:rPr>
          <w:sz w:val="21"/>
          <w:szCs w:val="21"/>
        </w:rPr>
      </w:pPr>
      <w:r w:rsidRPr="00260B47">
        <w:rPr>
          <w:rFonts w:eastAsia="Times New Roman"/>
          <w:b/>
          <w:bCs/>
          <w:i/>
          <w:iCs/>
          <w:sz w:val="21"/>
          <w:szCs w:val="21"/>
          <w:u w:val="single"/>
        </w:rPr>
        <w:t>La formation et le renforcement des capacités des acteurs</w:t>
      </w:r>
    </w:p>
    <w:p w:rsidR="002379F2" w:rsidRPr="00260B47" w:rsidRDefault="002379F2" w:rsidP="005E613E">
      <w:pPr>
        <w:ind w:left="284" w:right="-851"/>
        <w:jc w:val="both"/>
        <w:rPr>
          <w:sz w:val="21"/>
          <w:szCs w:val="21"/>
        </w:rPr>
      </w:pPr>
      <w:r w:rsidRPr="00260B47">
        <w:rPr>
          <w:sz w:val="21"/>
          <w:szCs w:val="21"/>
        </w:rPr>
        <w:t xml:space="preserve">Il s'agira de former </w:t>
      </w:r>
      <w:r w:rsidR="004C4F3D" w:rsidRPr="00260B47">
        <w:rPr>
          <w:sz w:val="21"/>
          <w:szCs w:val="21"/>
        </w:rPr>
        <w:t>un certain membre</w:t>
      </w:r>
      <w:r w:rsidRPr="00260B47">
        <w:rPr>
          <w:sz w:val="21"/>
          <w:szCs w:val="21"/>
        </w:rPr>
        <w:t xml:space="preserve"> d’Organisation de Producteurs et des applicateurs informels identifiés sur toute la filière de gestion des pesticides avec un accent particulier sur les aspects épandage, traçabilité des produits.</w:t>
      </w:r>
    </w:p>
    <w:p w:rsidR="002379F2" w:rsidRPr="00260B47" w:rsidRDefault="002379F2" w:rsidP="005E613E">
      <w:pPr>
        <w:ind w:left="284" w:right="-851"/>
        <w:jc w:val="both"/>
        <w:rPr>
          <w:sz w:val="21"/>
          <w:szCs w:val="21"/>
        </w:rPr>
      </w:pPr>
      <w:r w:rsidRPr="00260B47">
        <w:rPr>
          <w:sz w:val="21"/>
          <w:szCs w:val="21"/>
        </w:rPr>
        <w:t>Afin d'éviter les déperditions d'informations clés une formation itinérante sera mise en place. Il s'agira d'organiser des sessions dans chaque région avec l'appui des directeurs régionaux.</w:t>
      </w:r>
    </w:p>
    <w:p w:rsidR="002379F2" w:rsidRPr="00260B47" w:rsidRDefault="002379F2" w:rsidP="005E613E">
      <w:pPr>
        <w:ind w:left="284" w:right="-851"/>
        <w:jc w:val="both"/>
        <w:rPr>
          <w:sz w:val="21"/>
          <w:szCs w:val="21"/>
        </w:rPr>
      </w:pPr>
      <w:r w:rsidRPr="00260B47">
        <w:rPr>
          <w:sz w:val="21"/>
          <w:szCs w:val="21"/>
        </w:rPr>
        <w:t xml:space="preserve">Ainsi, le point focal de la DPV </w:t>
      </w:r>
      <w:r w:rsidR="009651A4">
        <w:rPr>
          <w:sz w:val="21"/>
          <w:szCs w:val="21"/>
        </w:rPr>
        <w:t>doit</w:t>
      </w:r>
      <w:r w:rsidRPr="00260B47">
        <w:rPr>
          <w:sz w:val="21"/>
          <w:szCs w:val="21"/>
        </w:rPr>
        <w:t xml:space="preserve"> </w:t>
      </w:r>
      <w:r w:rsidR="009651A4" w:rsidRPr="00260B47">
        <w:rPr>
          <w:sz w:val="21"/>
          <w:szCs w:val="21"/>
        </w:rPr>
        <w:t>élaborer</w:t>
      </w:r>
      <w:r w:rsidRPr="00260B47">
        <w:rPr>
          <w:sz w:val="21"/>
          <w:szCs w:val="21"/>
        </w:rPr>
        <w:t xml:space="preserve"> un manuel de bonnes pratiques sur l'utilisation des pesticides</w:t>
      </w:r>
      <w:r w:rsidR="00570081">
        <w:rPr>
          <w:sz w:val="21"/>
          <w:szCs w:val="21"/>
        </w:rPr>
        <w:t xml:space="preserve"> et que c</w:t>
      </w:r>
      <w:r w:rsidRPr="00260B47">
        <w:rPr>
          <w:sz w:val="21"/>
          <w:szCs w:val="21"/>
        </w:rPr>
        <w:t xml:space="preserve">haque </w:t>
      </w:r>
      <w:r w:rsidR="00570081">
        <w:rPr>
          <w:sz w:val="21"/>
          <w:szCs w:val="21"/>
        </w:rPr>
        <w:t xml:space="preserve">acteur </w:t>
      </w:r>
      <w:r w:rsidRPr="00260B47">
        <w:rPr>
          <w:sz w:val="21"/>
          <w:szCs w:val="21"/>
        </w:rPr>
        <w:t>formé devra disposer d'un manuel afin de pouvoir s'en référer en cas de besoin.</w:t>
      </w:r>
    </w:p>
    <w:p w:rsidR="002379F2" w:rsidRPr="00260B47" w:rsidRDefault="002379F2" w:rsidP="005E613E">
      <w:pPr>
        <w:ind w:left="284" w:right="-851"/>
        <w:jc w:val="both"/>
        <w:rPr>
          <w:sz w:val="21"/>
          <w:szCs w:val="21"/>
        </w:rPr>
      </w:pPr>
      <w:r w:rsidRPr="00260B47">
        <w:rPr>
          <w:sz w:val="21"/>
          <w:szCs w:val="21"/>
        </w:rPr>
        <w:t>Aussi, les Agents de protection des végétaux, les agents de vulgarisation au niveau régional vont recevoir une formation de rafraîchissement sur la gestion des pesticides sous forme de séminaire atelier.</w:t>
      </w:r>
    </w:p>
    <w:p w:rsidR="002379F2" w:rsidRPr="00260B47" w:rsidRDefault="002379F2" w:rsidP="005E613E">
      <w:pPr>
        <w:spacing w:line="258" w:lineRule="exact"/>
        <w:ind w:right="-851"/>
        <w:rPr>
          <w:sz w:val="21"/>
          <w:szCs w:val="21"/>
        </w:rPr>
      </w:pPr>
    </w:p>
    <w:p w:rsidR="002379F2" w:rsidRPr="00260B47" w:rsidRDefault="002379F2" w:rsidP="005E613E">
      <w:pPr>
        <w:ind w:right="-851"/>
        <w:rPr>
          <w:sz w:val="21"/>
          <w:szCs w:val="21"/>
        </w:rPr>
      </w:pPr>
      <w:r w:rsidRPr="00260B47">
        <w:rPr>
          <w:rFonts w:eastAsia="Times New Roman"/>
          <w:b/>
          <w:bCs/>
          <w:i/>
          <w:iCs/>
          <w:sz w:val="21"/>
          <w:szCs w:val="21"/>
          <w:u w:val="single"/>
        </w:rPr>
        <w:t>Promotion de l’usage des stratégies alternatives de lutte</w:t>
      </w:r>
    </w:p>
    <w:p w:rsidR="002379F2" w:rsidRPr="00260B47" w:rsidRDefault="002379F2" w:rsidP="005E613E">
      <w:pPr>
        <w:ind w:left="284" w:right="-851"/>
        <w:jc w:val="both"/>
        <w:rPr>
          <w:sz w:val="21"/>
          <w:szCs w:val="21"/>
        </w:rPr>
      </w:pPr>
      <w:r w:rsidRPr="00260B47">
        <w:rPr>
          <w:sz w:val="21"/>
          <w:szCs w:val="21"/>
        </w:rPr>
        <w:t>Les méthodes alternatives sont rarement utilisées pour venir à bout des ennemis de cultures ou des insectes vecteurs de maladie. La promotion de l’usage des stratégies alternatives passe par le renforcement des mécanismes d’apprentissage sur le terrain, de la vulgarisation/appui conseil et d’information.</w:t>
      </w:r>
    </w:p>
    <w:p w:rsidR="002379F2" w:rsidRPr="00260B47" w:rsidRDefault="002379F2" w:rsidP="005E613E">
      <w:pPr>
        <w:ind w:left="284" w:right="-851"/>
        <w:jc w:val="both"/>
        <w:rPr>
          <w:sz w:val="21"/>
          <w:szCs w:val="21"/>
        </w:rPr>
      </w:pPr>
    </w:p>
    <w:p w:rsidR="002379F2" w:rsidRPr="00260B47" w:rsidRDefault="002379F2" w:rsidP="005E613E">
      <w:pPr>
        <w:ind w:right="-851"/>
        <w:rPr>
          <w:sz w:val="21"/>
          <w:szCs w:val="21"/>
        </w:rPr>
      </w:pPr>
      <w:r w:rsidRPr="00260B47">
        <w:rPr>
          <w:rFonts w:eastAsia="Times New Roman"/>
          <w:b/>
          <w:bCs/>
          <w:i/>
          <w:iCs/>
          <w:sz w:val="21"/>
          <w:szCs w:val="21"/>
          <w:u w:val="single"/>
        </w:rPr>
        <w:t>Sensibilisation à la bonne gestion des pesticides</w:t>
      </w:r>
    </w:p>
    <w:p w:rsidR="002379F2" w:rsidRPr="00260B47" w:rsidRDefault="002379F2" w:rsidP="005E613E">
      <w:pPr>
        <w:ind w:left="284" w:right="-851"/>
        <w:jc w:val="both"/>
        <w:rPr>
          <w:sz w:val="21"/>
          <w:szCs w:val="21"/>
        </w:rPr>
      </w:pPr>
      <w:r w:rsidRPr="00260B47">
        <w:rPr>
          <w:sz w:val="21"/>
          <w:szCs w:val="21"/>
        </w:rPr>
        <w:t>La gestion des pesticides ne peut être efficace que si un large écho est donné aux pratiques saines et mesures de précaution, les risques sur l’environnement et la santé. Cette sensibilisation élargie nécessite l’utilisation de canaux de large audience.</w:t>
      </w:r>
    </w:p>
    <w:p w:rsidR="002379F2" w:rsidRPr="00260B47" w:rsidRDefault="002379F2" w:rsidP="005E613E">
      <w:pPr>
        <w:ind w:left="284" w:right="-851"/>
        <w:jc w:val="both"/>
        <w:rPr>
          <w:sz w:val="21"/>
          <w:szCs w:val="21"/>
        </w:rPr>
      </w:pPr>
      <w:r w:rsidRPr="00260B47">
        <w:rPr>
          <w:sz w:val="21"/>
          <w:szCs w:val="21"/>
        </w:rPr>
        <w:t>Il s’agit d’inciter à utiliser des messages concernant la gestion des pestes, des pesticides et les méthodes alternatives concernant les pestes les plus fréquents selon les régions.</w:t>
      </w:r>
    </w:p>
    <w:p w:rsidR="002379F2" w:rsidRPr="00260B47" w:rsidRDefault="002379F2" w:rsidP="005E613E">
      <w:pPr>
        <w:ind w:left="284" w:right="-851"/>
        <w:jc w:val="both"/>
        <w:rPr>
          <w:sz w:val="21"/>
          <w:szCs w:val="21"/>
        </w:rPr>
      </w:pPr>
      <w:r w:rsidRPr="00260B47">
        <w:rPr>
          <w:sz w:val="21"/>
          <w:szCs w:val="21"/>
        </w:rPr>
        <w:t>Les organisations de producteurs seront chargées du relais d’information s’agissant de la gestion des pestes et des pesticides. Des causeries et échanges de bonnes pratiques ou de méthodes d’utilisation saines pourront être partagées en séances collectives ; les activités seront menées en rapport avec la coordination régionale de l'agriculture.</w:t>
      </w:r>
    </w:p>
    <w:p w:rsidR="002379F2" w:rsidRPr="00260B47" w:rsidRDefault="002379F2" w:rsidP="005E613E">
      <w:pPr>
        <w:spacing w:line="259" w:lineRule="exact"/>
        <w:ind w:right="-851"/>
        <w:rPr>
          <w:sz w:val="21"/>
          <w:szCs w:val="21"/>
        </w:rPr>
      </w:pPr>
    </w:p>
    <w:p w:rsidR="002379F2" w:rsidRPr="00260B47" w:rsidRDefault="002379F2" w:rsidP="005E613E">
      <w:pPr>
        <w:ind w:right="-851"/>
        <w:rPr>
          <w:sz w:val="21"/>
          <w:szCs w:val="21"/>
        </w:rPr>
      </w:pPr>
      <w:r w:rsidRPr="00260B47">
        <w:rPr>
          <w:rFonts w:eastAsia="Times New Roman"/>
          <w:b/>
          <w:bCs/>
          <w:i/>
          <w:iCs/>
          <w:sz w:val="21"/>
          <w:szCs w:val="21"/>
          <w:u w:val="single"/>
        </w:rPr>
        <w:t>Formation Sensibilisation sur la Gestion des contenants vides</w:t>
      </w:r>
    </w:p>
    <w:p w:rsidR="002379F2" w:rsidRPr="00260B47" w:rsidRDefault="002379F2" w:rsidP="005E613E">
      <w:pPr>
        <w:ind w:left="284" w:right="-851"/>
        <w:jc w:val="both"/>
        <w:rPr>
          <w:sz w:val="21"/>
          <w:szCs w:val="21"/>
        </w:rPr>
      </w:pPr>
      <w:r w:rsidRPr="00283500">
        <w:rPr>
          <w:sz w:val="21"/>
          <w:szCs w:val="21"/>
        </w:rPr>
        <w:t>Un module spécial sera introduit en ce qui concerne le conditionnement et de l’enfouissement des contenants décontaminés.</w:t>
      </w:r>
    </w:p>
    <w:p w:rsidR="002379F2" w:rsidRPr="00260B47" w:rsidRDefault="002379F2" w:rsidP="005E613E">
      <w:pPr>
        <w:ind w:left="284" w:right="-851"/>
        <w:jc w:val="both"/>
        <w:rPr>
          <w:sz w:val="21"/>
          <w:szCs w:val="21"/>
        </w:rPr>
      </w:pPr>
    </w:p>
    <w:p w:rsidR="002379F2" w:rsidRPr="00260B47" w:rsidRDefault="002379F2" w:rsidP="005E613E">
      <w:pPr>
        <w:ind w:left="284" w:right="-851"/>
        <w:jc w:val="both"/>
        <w:rPr>
          <w:sz w:val="21"/>
          <w:szCs w:val="21"/>
        </w:rPr>
      </w:pPr>
      <w:bookmarkStart w:id="544" w:name="page20"/>
      <w:bookmarkEnd w:id="544"/>
      <w:r w:rsidRPr="00283500">
        <w:rPr>
          <w:sz w:val="21"/>
          <w:szCs w:val="21"/>
        </w:rPr>
        <w:t>Les contenants et récipients vides ayant renfermé des pesticides ne devraient pas être réutilisés. En fonction de la nature et de la capacité du contenant plusieurs options sont possibles pour l’élimination. Dépendamment du type d’emballage, le processus d’élimination diffère. Ainsi, une formation sera délivrée dans ce sens aux Organisations de producteurs par la DPV. Le</w:t>
      </w:r>
      <w:r w:rsidRPr="00260B47">
        <w:rPr>
          <w:rFonts w:eastAsia="Times New Roman"/>
          <w:sz w:val="21"/>
          <w:szCs w:val="21"/>
        </w:rPr>
        <w:t xml:space="preserve"> traitement des contenants vides s’articule autour de deux opérations fondamentales : la décontamination et l’élimination à proprement parler avec son préalable de conditionnement.</w:t>
      </w:r>
    </w:p>
    <w:p w:rsidR="002379F2" w:rsidRPr="00260B47" w:rsidRDefault="002379F2" w:rsidP="005E613E">
      <w:pPr>
        <w:spacing w:line="254" w:lineRule="exact"/>
        <w:ind w:right="-851"/>
        <w:jc w:val="both"/>
        <w:rPr>
          <w:sz w:val="21"/>
          <w:szCs w:val="21"/>
        </w:rPr>
      </w:pPr>
    </w:p>
    <w:p w:rsidR="002379F2" w:rsidRPr="00260B47" w:rsidRDefault="002379F2" w:rsidP="005E613E">
      <w:pPr>
        <w:ind w:left="284" w:right="-851"/>
        <w:jc w:val="both"/>
        <w:rPr>
          <w:sz w:val="21"/>
          <w:szCs w:val="21"/>
        </w:rPr>
      </w:pPr>
      <w:r w:rsidRPr="00283500">
        <w:rPr>
          <w:sz w:val="21"/>
          <w:szCs w:val="21"/>
        </w:rPr>
        <w:t>a) La décontamination</w:t>
      </w:r>
    </w:p>
    <w:p w:rsidR="002379F2" w:rsidRPr="00260B47" w:rsidRDefault="002379F2" w:rsidP="005E613E">
      <w:pPr>
        <w:ind w:left="284" w:right="-851"/>
        <w:jc w:val="both"/>
        <w:rPr>
          <w:sz w:val="21"/>
          <w:szCs w:val="21"/>
        </w:rPr>
      </w:pPr>
      <w:r w:rsidRPr="00283500">
        <w:rPr>
          <w:sz w:val="21"/>
          <w:szCs w:val="21"/>
        </w:rPr>
        <w:t>Elle comprend trois étapes et concerne tous les récipients de pesticides :</w:t>
      </w:r>
    </w:p>
    <w:p w:rsidR="002379F2" w:rsidRPr="00260B47" w:rsidRDefault="002379F2" w:rsidP="005E613E">
      <w:pPr>
        <w:spacing w:line="26" w:lineRule="exact"/>
        <w:ind w:right="-851"/>
        <w:jc w:val="both"/>
        <w:rPr>
          <w:sz w:val="21"/>
          <w:szCs w:val="21"/>
        </w:rPr>
      </w:pPr>
    </w:p>
    <w:p w:rsidR="002379F2" w:rsidRPr="00260B47" w:rsidRDefault="00B00248" w:rsidP="005E613E">
      <w:pPr>
        <w:numPr>
          <w:ilvl w:val="0"/>
          <w:numId w:val="149"/>
        </w:numPr>
        <w:tabs>
          <w:tab w:val="left" w:pos="724"/>
        </w:tabs>
        <w:spacing w:line="232" w:lineRule="auto"/>
        <w:ind w:left="724" w:right="-851" w:hanging="364"/>
        <w:jc w:val="both"/>
        <w:rPr>
          <w:rFonts w:ascii="Symbol" w:eastAsia="Symbol" w:hAnsi="Symbol" w:cs="Symbol"/>
          <w:sz w:val="21"/>
          <w:szCs w:val="21"/>
        </w:rPr>
      </w:pPr>
      <w:r w:rsidRPr="00260B47">
        <w:rPr>
          <w:rFonts w:eastAsia="Times New Roman"/>
          <w:sz w:val="21"/>
          <w:szCs w:val="21"/>
        </w:rPr>
        <w:t>S’assurer</w:t>
      </w:r>
      <w:r w:rsidR="002379F2" w:rsidRPr="00260B47">
        <w:rPr>
          <w:rFonts w:eastAsia="Times New Roman"/>
          <w:sz w:val="21"/>
          <w:szCs w:val="21"/>
        </w:rPr>
        <w:t xml:space="preserve"> de la vidange maximale du produit et égouttage pendant 30 secondes (le contenu est vidé dans un récipient à mélange, dans un verre pour le dernier dosage s’agissant de l’imprégnation) ;</w:t>
      </w:r>
    </w:p>
    <w:p w:rsidR="002379F2" w:rsidRPr="00260B47" w:rsidRDefault="00B00248" w:rsidP="005E613E">
      <w:pPr>
        <w:numPr>
          <w:ilvl w:val="0"/>
          <w:numId w:val="149"/>
        </w:numPr>
        <w:tabs>
          <w:tab w:val="left" w:pos="724"/>
        </w:tabs>
        <w:spacing w:line="237" w:lineRule="auto"/>
        <w:ind w:left="724" w:right="-851" w:hanging="364"/>
        <w:jc w:val="both"/>
        <w:rPr>
          <w:rFonts w:ascii="Symbol" w:eastAsia="Symbol" w:hAnsi="Symbol" w:cs="Symbol"/>
          <w:sz w:val="21"/>
          <w:szCs w:val="21"/>
        </w:rPr>
      </w:pPr>
      <w:r w:rsidRPr="00260B47">
        <w:rPr>
          <w:rFonts w:eastAsia="Times New Roman"/>
          <w:sz w:val="21"/>
          <w:szCs w:val="21"/>
        </w:rPr>
        <w:t>Rincer</w:t>
      </w:r>
      <w:r w:rsidR="002379F2" w:rsidRPr="00260B47">
        <w:rPr>
          <w:rFonts w:eastAsia="Times New Roman"/>
          <w:sz w:val="21"/>
          <w:szCs w:val="21"/>
        </w:rPr>
        <w:t xml:space="preserve"> le récipient au moins trois fois avec un volume d’eau qui ne doit pas être inférieur à</w:t>
      </w:r>
    </w:p>
    <w:p w:rsidR="002379F2" w:rsidRPr="00260B47" w:rsidRDefault="002379F2" w:rsidP="005E613E">
      <w:pPr>
        <w:spacing w:line="2" w:lineRule="exact"/>
        <w:ind w:right="-851"/>
        <w:jc w:val="both"/>
        <w:rPr>
          <w:rFonts w:ascii="Symbol" w:eastAsia="Symbol" w:hAnsi="Symbol" w:cs="Symbol"/>
          <w:sz w:val="21"/>
          <w:szCs w:val="21"/>
        </w:rPr>
      </w:pPr>
    </w:p>
    <w:p w:rsidR="002379F2" w:rsidRPr="00260B47" w:rsidRDefault="002379F2" w:rsidP="005E613E">
      <w:pPr>
        <w:ind w:left="724" w:right="-851"/>
        <w:jc w:val="both"/>
        <w:rPr>
          <w:rFonts w:ascii="Symbol" w:eastAsia="Symbol" w:hAnsi="Symbol" w:cs="Symbol"/>
          <w:sz w:val="21"/>
          <w:szCs w:val="21"/>
        </w:rPr>
      </w:pPr>
      <w:r w:rsidRPr="00260B47">
        <w:rPr>
          <w:rFonts w:eastAsia="Times New Roman"/>
          <w:sz w:val="21"/>
          <w:szCs w:val="21"/>
        </w:rPr>
        <w:t>10% du volume total du récipient ;</w:t>
      </w:r>
    </w:p>
    <w:p w:rsidR="002379F2" w:rsidRPr="00260B47" w:rsidRDefault="00B00248" w:rsidP="005E613E">
      <w:pPr>
        <w:numPr>
          <w:ilvl w:val="0"/>
          <w:numId w:val="149"/>
        </w:numPr>
        <w:tabs>
          <w:tab w:val="left" w:pos="724"/>
        </w:tabs>
        <w:ind w:left="724" w:right="-851" w:hanging="364"/>
        <w:jc w:val="both"/>
        <w:rPr>
          <w:rFonts w:ascii="Symbol" w:eastAsia="Symbol" w:hAnsi="Symbol" w:cs="Symbol"/>
          <w:sz w:val="21"/>
          <w:szCs w:val="21"/>
        </w:rPr>
      </w:pPr>
      <w:r w:rsidRPr="00260B47">
        <w:rPr>
          <w:rFonts w:eastAsia="Times New Roman"/>
          <w:sz w:val="21"/>
          <w:szCs w:val="21"/>
        </w:rPr>
        <w:t>Verser</w:t>
      </w:r>
      <w:r w:rsidR="002379F2" w:rsidRPr="00260B47">
        <w:rPr>
          <w:rFonts w:eastAsia="Times New Roman"/>
          <w:sz w:val="21"/>
          <w:szCs w:val="21"/>
        </w:rPr>
        <w:t xml:space="preserve"> les eaux de rinçage dans un pulvérisateur, dans une fosse (imprégnation).</w:t>
      </w:r>
    </w:p>
    <w:p w:rsidR="002379F2" w:rsidRPr="00260B47" w:rsidRDefault="002379F2" w:rsidP="005E613E">
      <w:pPr>
        <w:ind w:left="284" w:right="-851"/>
        <w:jc w:val="both"/>
        <w:rPr>
          <w:sz w:val="21"/>
          <w:szCs w:val="21"/>
        </w:rPr>
      </w:pPr>
      <w:r w:rsidRPr="00283500">
        <w:rPr>
          <w:sz w:val="21"/>
          <w:szCs w:val="21"/>
        </w:rPr>
        <w:t>Un contenant décontaminé n’est cependant pas éligible pour le stockage de produits d’alimentation humaine ou animale ou d’eau pour la consommation domestique.</w:t>
      </w:r>
    </w:p>
    <w:p w:rsidR="002379F2" w:rsidRPr="00260B47" w:rsidRDefault="002379F2" w:rsidP="005E613E">
      <w:pPr>
        <w:spacing w:line="254" w:lineRule="exact"/>
        <w:ind w:right="-851"/>
        <w:jc w:val="both"/>
        <w:rPr>
          <w:sz w:val="21"/>
          <w:szCs w:val="21"/>
        </w:rPr>
      </w:pPr>
    </w:p>
    <w:p w:rsidR="002379F2" w:rsidRPr="00260B47" w:rsidRDefault="002379F2" w:rsidP="005E613E">
      <w:pPr>
        <w:ind w:left="284" w:right="-851"/>
        <w:jc w:val="both"/>
        <w:rPr>
          <w:sz w:val="21"/>
          <w:szCs w:val="21"/>
        </w:rPr>
      </w:pPr>
      <w:r w:rsidRPr="00283500">
        <w:rPr>
          <w:sz w:val="21"/>
          <w:szCs w:val="21"/>
        </w:rPr>
        <w:t>b) L’élimination</w:t>
      </w:r>
    </w:p>
    <w:p w:rsidR="002379F2" w:rsidRPr="00283500" w:rsidRDefault="002379F2" w:rsidP="005E613E">
      <w:pPr>
        <w:ind w:left="284" w:right="-851"/>
        <w:jc w:val="both"/>
        <w:rPr>
          <w:sz w:val="21"/>
          <w:szCs w:val="21"/>
        </w:rPr>
      </w:pPr>
      <w:r w:rsidRPr="00283500">
        <w:rPr>
          <w:sz w:val="21"/>
          <w:szCs w:val="21"/>
        </w:rPr>
        <w:t xml:space="preserve">Sauf </w:t>
      </w:r>
      <w:r w:rsidR="00B00248" w:rsidRPr="00283500">
        <w:rPr>
          <w:sz w:val="21"/>
          <w:szCs w:val="21"/>
        </w:rPr>
        <w:t>s’il</w:t>
      </w:r>
      <w:r w:rsidRPr="00283500">
        <w:rPr>
          <w:sz w:val="21"/>
          <w:szCs w:val="21"/>
        </w:rPr>
        <w:t xml:space="preserve"> est envisagé que les contenants soient récupérés, la première opération d’élimination consiste</w:t>
      </w:r>
      <w:r w:rsidR="00B00248" w:rsidRPr="00283500">
        <w:rPr>
          <w:sz w:val="21"/>
          <w:szCs w:val="21"/>
        </w:rPr>
        <w:t xml:space="preserve"> à </w:t>
      </w:r>
      <w:r w:rsidRPr="00283500">
        <w:rPr>
          <w:sz w:val="21"/>
          <w:szCs w:val="21"/>
        </w:rPr>
        <w:t xml:space="preserve">les rendre inutilisables à d’autres fins : « conditionnement ». Aussi il faut veiller à faire des trous avec un outil pointu et aplanir le récipient lorsqu’il s’agit de bidons en métal et pour les fûts ; les bouteilles en verre doivent être </w:t>
      </w:r>
      <w:r w:rsidR="00B00248" w:rsidRPr="00283500">
        <w:rPr>
          <w:sz w:val="21"/>
          <w:szCs w:val="21"/>
        </w:rPr>
        <w:t>classées</w:t>
      </w:r>
      <w:r w:rsidRPr="00283500">
        <w:rPr>
          <w:sz w:val="21"/>
          <w:szCs w:val="21"/>
        </w:rPr>
        <w:t xml:space="preserve"> dans un sac pour éviter les esquilles ; les plastiques sont déchiquetés et broyés. Les bondes ou capsules sont auparavant retirés.</w:t>
      </w:r>
    </w:p>
    <w:p w:rsidR="002379F2" w:rsidRPr="00260B47" w:rsidRDefault="002379F2" w:rsidP="005E613E">
      <w:pPr>
        <w:ind w:left="284" w:right="-851"/>
        <w:jc w:val="both"/>
        <w:rPr>
          <w:sz w:val="21"/>
          <w:szCs w:val="21"/>
        </w:rPr>
      </w:pPr>
      <w:r w:rsidRPr="00283500">
        <w:rPr>
          <w:sz w:val="21"/>
          <w:szCs w:val="21"/>
        </w:rPr>
        <w:t>Les récipients combustibles sont éliminés par voie de brûlage surveillé (emballages en papier et en plastique [les bidons en PVC ne devront pas être brûlés], carton) ou déposés dans une décharge publique acceptant les déchets toxiques de cette nature (mettre en pièces les bidons en plastique, en verre et en métal) ; les cendres résultant du brûlage à nu sont enfouies. Cependant, l’étiquette collée sur le récipient peut porter une mention déconseillant le brûlage. En effet le brûlage par exemple de certains récipients d’herbicides (à base d’acide phénoxy) peut entraîner le dégagement de vapeurs toxiques pour l’homme ou la flore environnante.</w:t>
      </w:r>
    </w:p>
    <w:p w:rsidR="002379F2" w:rsidRPr="00260B47" w:rsidRDefault="002379F2" w:rsidP="005E613E">
      <w:pPr>
        <w:ind w:left="284" w:right="-851"/>
        <w:jc w:val="both"/>
        <w:rPr>
          <w:sz w:val="21"/>
          <w:szCs w:val="21"/>
        </w:rPr>
      </w:pPr>
    </w:p>
    <w:p w:rsidR="002379F2" w:rsidRPr="00260B47" w:rsidRDefault="002379F2" w:rsidP="005E613E">
      <w:pPr>
        <w:ind w:left="284" w:right="-851"/>
        <w:jc w:val="both"/>
        <w:rPr>
          <w:sz w:val="21"/>
          <w:szCs w:val="21"/>
        </w:rPr>
      </w:pPr>
      <w:r w:rsidRPr="00283500">
        <w:rPr>
          <w:sz w:val="21"/>
          <w:szCs w:val="21"/>
        </w:rPr>
        <w:t>Précautions : la combustion ne doit avoir lieu que dans des conditions où le vent ne risque pas de pousser la fumée toxique en direction des maisons d’habitation, de personnes, de bétail ou de cultures se trouvant à proximité, ni vers ceux qui réalisent l’opération.</w:t>
      </w:r>
    </w:p>
    <w:p w:rsidR="002379F2" w:rsidRPr="00260B47" w:rsidRDefault="002379F2" w:rsidP="005E613E">
      <w:pPr>
        <w:spacing w:line="254" w:lineRule="exact"/>
        <w:ind w:right="-851"/>
        <w:jc w:val="both"/>
        <w:rPr>
          <w:sz w:val="21"/>
          <w:szCs w:val="21"/>
        </w:rPr>
      </w:pPr>
    </w:p>
    <w:p w:rsidR="002379F2" w:rsidRPr="00260B47" w:rsidRDefault="002379F2" w:rsidP="005E613E">
      <w:pPr>
        <w:ind w:left="284" w:right="-851"/>
        <w:jc w:val="both"/>
        <w:rPr>
          <w:sz w:val="21"/>
          <w:szCs w:val="21"/>
        </w:rPr>
      </w:pPr>
      <w:r w:rsidRPr="00283500">
        <w:rPr>
          <w:sz w:val="21"/>
          <w:szCs w:val="21"/>
        </w:rPr>
        <w:t>Les grands récipients non combustibles 50 à 200 litres peuvent suivent les filières suivantes :</w:t>
      </w:r>
    </w:p>
    <w:p w:rsidR="002379F2" w:rsidRPr="00260B47" w:rsidRDefault="002379F2" w:rsidP="005E613E">
      <w:pPr>
        <w:numPr>
          <w:ilvl w:val="0"/>
          <w:numId w:val="150"/>
        </w:numPr>
        <w:tabs>
          <w:tab w:val="left" w:pos="724"/>
        </w:tabs>
        <w:spacing w:line="238" w:lineRule="auto"/>
        <w:ind w:left="724" w:right="-851" w:hanging="364"/>
        <w:jc w:val="both"/>
        <w:rPr>
          <w:rFonts w:ascii="Symbol" w:eastAsia="Symbol" w:hAnsi="Symbol" w:cs="Symbol"/>
          <w:sz w:val="21"/>
          <w:szCs w:val="21"/>
        </w:rPr>
      </w:pPr>
      <w:r w:rsidRPr="00260B47">
        <w:rPr>
          <w:rFonts w:eastAsia="Times New Roman"/>
          <w:sz w:val="21"/>
          <w:szCs w:val="21"/>
        </w:rPr>
        <w:t>renvoi au fournisseur</w:t>
      </w:r>
    </w:p>
    <w:p w:rsidR="002379F2" w:rsidRPr="00260B47" w:rsidRDefault="002379F2" w:rsidP="005E613E">
      <w:pPr>
        <w:spacing w:line="27" w:lineRule="exact"/>
        <w:ind w:right="-851"/>
        <w:jc w:val="both"/>
        <w:rPr>
          <w:rFonts w:ascii="Symbol" w:eastAsia="Symbol" w:hAnsi="Symbol" w:cs="Symbol"/>
          <w:sz w:val="21"/>
          <w:szCs w:val="21"/>
        </w:rPr>
      </w:pPr>
    </w:p>
    <w:p w:rsidR="002379F2" w:rsidRPr="00260B47" w:rsidRDefault="002379F2" w:rsidP="005E613E">
      <w:pPr>
        <w:numPr>
          <w:ilvl w:val="0"/>
          <w:numId w:val="150"/>
        </w:numPr>
        <w:tabs>
          <w:tab w:val="left" w:pos="724"/>
        </w:tabs>
        <w:spacing w:line="232" w:lineRule="auto"/>
        <w:ind w:left="724" w:right="-851" w:hanging="364"/>
        <w:jc w:val="both"/>
        <w:rPr>
          <w:rFonts w:ascii="Symbol" w:eastAsia="Symbol" w:hAnsi="Symbol" w:cs="Symbol"/>
          <w:sz w:val="21"/>
          <w:szCs w:val="21"/>
        </w:rPr>
      </w:pPr>
      <w:r w:rsidRPr="00260B47">
        <w:rPr>
          <w:rFonts w:eastAsia="Times New Roman"/>
          <w:sz w:val="21"/>
          <w:szCs w:val="21"/>
        </w:rPr>
        <w:t>vente/récupération /par une entreprise spécialisée dans le commerce des fûts et barils usagés possédant la technologie de neutralisation de la toxicité des matières adhérentes qui peut aussi procéder à leur récupération</w:t>
      </w:r>
    </w:p>
    <w:p w:rsidR="002379F2" w:rsidRPr="00260B47" w:rsidRDefault="002379F2" w:rsidP="005E613E">
      <w:pPr>
        <w:spacing w:line="25" w:lineRule="exact"/>
        <w:ind w:right="-851"/>
        <w:jc w:val="both"/>
        <w:rPr>
          <w:rFonts w:ascii="Symbol" w:eastAsia="Symbol" w:hAnsi="Symbol" w:cs="Symbol"/>
          <w:sz w:val="21"/>
          <w:szCs w:val="21"/>
        </w:rPr>
      </w:pPr>
    </w:p>
    <w:p w:rsidR="002379F2" w:rsidRPr="00260B47" w:rsidRDefault="002379F2" w:rsidP="005E613E">
      <w:pPr>
        <w:numPr>
          <w:ilvl w:val="0"/>
          <w:numId w:val="150"/>
        </w:numPr>
        <w:tabs>
          <w:tab w:val="left" w:pos="724"/>
        </w:tabs>
        <w:spacing w:line="227" w:lineRule="auto"/>
        <w:ind w:left="724" w:right="-851" w:hanging="364"/>
        <w:jc w:val="both"/>
        <w:rPr>
          <w:rFonts w:ascii="Symbol" w:eastAsia="Symbol" w:hAnsi="Symbol" w:cs="Symbol"/>
          <w:sz w:val="21"/>
          <w:szCs w:val="21"/>
        </w:rPr>
      </w:pPr>
      <w:r w:rsidRPr="00260B47">
        <w:rPr>
          <w:rFonts w:eastAsia="Times New Roman"/>
          <w:sz w:val="21"/>
          <w:szCs w:val="21"/>
        </w:rPr>
        <w:t>évacuation vers une décharge contrôlée dont l’exploitant est informée du contenu des fûts et est prévenu du potentiel dégagement de vapeurs toxiques si on applique une combustion.</w:t>
      </w:r>
    </w:p>
    <w:p w:rsidR="002379F2" w:rsidRPr="00260B47" w:rsidRDefault="002379F2" w:rsidP="005E613E">
      <w:pPr>
        <w:spacing w:line="29" w:lineRule="exact"/>
        <w:ind w:right="-851"/>
        <w:jc w:val="both"/>
        <w:rPr>
          <w:rFonts w:ascii="Symbol" w:eastAsia="Symbol" w:hAnsi="Symbol" w:cs="Symbol"/>
          <w:sz w:val="21"/>
          <w:szCs w:val="21"/>
        </w:rPr>
      </w:pPr>
    </w:p>
    <w:p w:rsidR="002379F2" w:rsidRPr="00260B47" w:rsidRDefault="002379F2" w:rsidP="005E613E">
      <w:pPr>
        <w:numPr>
          <w:ilvl w:val="0"/>
          <w:numId w:val="150"/>
        </w:numPr>
        <w:tabs>
          <w:tab w:val="left" w:pos="724"/>
        </w:tabs>
        <w:spacing w:line="227" w:lineRule="auto"/>
        <w:ind w:left="724" w:right="-851" w:hanging="364"/>
        <w:jc w:val="both"/>
        <w:rPr>
          <w:rFonts w:ascii="Symbol" w:eastAsia="Symbol" w:hAnsi="Symbol" w:cs="Symbol"/>
          <w:sz w:val="21"/>
          <w:szCs w:val="21"/>
        </w:rPr>
      </w:pPr>
      <w:r w:rsidRPr="00260B47">
        <w:rPr>
          <w:rFonts w:eastAsia="Times New Roman"/>
          <w:sz w:val="21"/>
          <w:szCs w:val="21"/>
        </w:rPr>
        <w:t>évacuation vers un site privé, clôturé, gardienné, respectant les normes environnementales et utilisé spécifiquement pour les pesticides.</w:t>
      </w:r>
    </w:p>
    <w:p w:rsidR="002379F2" w:rsidRPr="00260B47" w:rsidRDefault="002379F2" w:rsidP="005E613E">
      <w:pPr>
        <w:spacing w:line="253" w:lineRule="exact"/>
        <w:ind w:right="-851"/>
        <w:jc w:val="both"/>
        <w:rPr>
          <w:sz w:val="21"/>
          <w:szCs w:val="21"/>
        </w:rPr>
      </w:pPr>
    </w:p>
    <w:p w:rsidR="002379F2" w:rsidRPr="00260B47" w:rsidRDefault="002379F2" w:rsidP="005E613E">
      <w:pPr>
        <w:ind w:left="284" w:right="-851"/>
        <w:jc w:val="both"/>
        <w:rPr>
          <w:sz w:val="21"/>
          <w:szCs w:val="21"/>
        </w:rPr>
      </w:pPr>
      <w:r w:rsidRPr="00283500">
        <w:rPr>
          <w:sz w:val="21"/>
          <w:szCs w:val="21"/>
        </w:rPr>
        <w:t xml:space="preserve">Les petits récipients non combustibles jusqu’à 20 litres </w:t>
      </w:r>
      <w:r w:rsidR="0001635C" w:rsidRPr="00283500">
        <w:rPr>
          <w:sz w:val="21"/>
          <w:szCs w:val="21"/>
        </w:rPr>
        <w:t>ont</w:t>
      </w:r>
      <w:r w:rsidRPr="00283500">
        <w:rPr>
          <w:sz w:val="21"/>
          <w:szCs w:val="21"/>
        </w:rPr>
        <w:t xml:space="preserve"> </w:t>
      </w:r>
      <w:r w:rsidR="00B00248" w:rsidRPr="00283500">
        <w:rPr>
          <w:sz w:val="21"/>
          <w:szCs w:val="21"/>
        </w:rPr>
        <w:t>été</w:t>
      </w:r>
      <w:r w:rsidRPr="00283500">
        <w:rPr>
          <w:sz w:val="21"/>
          <w:szCs w:val="21"/>
        </w:rPr>
        <w:t xml:space="preserve"> :</w:t>
      </w:r>
    </w:p>
    <w:p w:rsidR="002379F2" w:rsidRPr="00260B47" w:rsidRDefault="002379F2" w:rsidP="005E613E">
      <w:pPr>
        <w:numPr>
          <w:ilvl w:val="0"/>
          <w:numId w:val="151"/>
        </w:numPr>
        <w:tabs>
          <w:tab w:val="left" w:pos="724"/>
        </w:tabs>
        <w:ind w:left="724" w:right="-851" w:hanging="364"/>
        <w:jc w:val="both"/>
        <w:rPr>
          <w:rFonts w:ascii="Symbol" w:eastAsia="Symbol" w:hAnsi="Symbol" w:cs="Symbol"/>
          <w:sz w:val="21"/>
          <w:szCs w:val="21"/>
        </w:rPr>
      </w:pPr>
      <w:r w:rsidRPr="00260B47">
        <w:rPr>
          <w:rFonts w:eastAsia="Times New Roman"/>
          <w:sz w:val="21"/>
          <w:szCs w:val="21"/>
        </w:rPr>
        <w:t>acheminés vers la décharge publique</w:t>
      </w:r>
    </w:p>
    <w:p w:rsidR="002379F2" w:rsidRPr="00260B47" w:rsidRDefault="002379F2" w:rsidP="005E613E">
      <w:pPr>
        <w:spacing w:line="26" w:lineRule="exact"/>
        <w:ind w:right="-851"/>
        <w:jc w:val="both"/>
        <w:rPr>
          <w:rFonts w:ascii="Symbol" w:eastAsia="Symbol" w:hAnsi="Symbol" w:cs="Symbol"/>
          <w:sz w:val="21"/>
          <w:szCs w:val="21"/>
        </w:rPr>
      </w:pPr>
    </w:p>
    <w:p w:rsidR="002379F2" w:rsidRPr="00260B47" w:rsidRDefault="002379F2" w:rsidP="005E613E">
      <w:pPr>
        <w:numPr>
          <w:ilvl w:val="0"/>
          <w:numId w:val="151"/>
        </w:numPr>
        <w:tabs>
          <w:tab w:val="left" w:pos="724"/>
        </w:tabs>
        <w:spacing w:line="231" w:lineRule="auto"/>
        <w:ind w:left="724" w:right="-851" w:hanging="364"/>
        <w:jc w:val="both"/>
        <w:rPr>
          <w:rFonts w:ascii="Symbol" w:eastAsia="Symbol" w:hAnsi="Symbol" w:cs="Symbol"/>
          <w:sz w:val="21"/>
          <w:szCs w:val="21"/>
        </w:rPr>
      </w:pPr>
      <w:r w:rsidRPr="00260B47">
        <w:rPr>
          <w:rFonts w:eastAsia="Times New Roman"/>
          <w:sz w:val="21"/>
          <w:szCs w:val="21"/>
        </w:rPr>
        <w:t>enfouis sur site privé après retrait des capsules ou couvercles, perforations des récipients, brisure des récipients en verre. La fosse 1m à 1,5m de profondeur utilisée à des fins d’enfouissement sera rempli jusqu’à 50 cm de la surface du sol et recouvert ensuite de terre.</w:t>
      </w:r>
    </w:p>
    <w:p w:rsidR="002379F2" w:rsidRPr="00260B47" w:rsidRDefault="002379F2" w:rsidP="005E613E">
      <w:pPr>
        <w:spacing w:line="20" w:lineRule="exact"/>
        <w:ind w:right="-851"/>
        <w:rPr>
          <w:sz w:val="21"/>
          <w:szCs w:val="21"/>
        </w:rPr>
      </w:pPr>
    </w:p>
    <w:p w:rsidR="002379F2" w:rsidRPr="00260B47" w:rsidRDefault="002379F2" w:rsidP="005E613E">
      <w:pPr>
        <w:ind w:left="284" w:right="-851"/>
        <w:jc w:val="both"/>
        <w:rPr>
          <w:sz w:val="21"/>
          <w:szCs w:val="21"/>
        </w:rPr>
      </w:pPr>
      <w:bookmarkStart w:id="545" w:name="page21"/>
      <w:bookmarkEnd w:id="545"/>
      <w:r w:rsidRPr="00283500">
        <w:rPr>
          <w:sz w:val="21"/>
          <w:szCs w:val="21"/>
        </w:rPr>
        <w:t>Le site sera éloigné des habitations et des points d’eau (puits, mares, cours d’eau), doit être non cultivé et ne sera pas en zone inondable ; la nappe aquifère doit se trouver à au moins 3 m de la surface du sol, la terre doit y être imperméable (argileuse ou franche). Le site sera clôturé et identifié.</w:t>
      </w:r>
    </w:p>
    <w:p w:rsidR="002379F2" w:rsidRPr="00260B47" w:rsidRDefault="002379F2" w:rsidP="005E613E">
      <w:pPr>
        <w:spacing w:line="254" w:lineRule="exact"/>
        <w:ind w:right="-851"/>
        <w:rPr>
          <w:sz w:val="21"/>
          <w:szCs w:val="21"/>
        </w:rPr>
      </w:pPr>
    </w:p>
    <w:p w:rsidR="002379F2" w:rsidRPr="00260B47" w:rsidRDefault="002379F2" w:rsidP="00D75995">
      <w:pPr>
        <w:ind w:left="120" w:right="-50"/>
        <w:rPr>
          <w:sz w:val="21"/>
          <w:szCs w:val="21"/>
        </w:rPr>
      </w:pPr>
      <w:r w:rsidRPr="00260B47">
        <w:rPr>
          <w:rFonts w:eastAsia="Times New Roman"/>
          <w:sz w:val="21"/>
          <w:szCs w:val="21"/>
        </w:rPr>
        <w:t>Le tableau ci-après résume ces aspects en rapport avec le type de contenant.</w:t>
      </w:r>
    </w:p>
    <w:tbl>
      <w:tblPr>
        <w:tblW w:w="9280" w:type="dxa"/>
        <w:tblInd w:w="50" w:type="dxa"/>
        <w:tblLayout w:type="fixed"/>
        <w:tblCellMar>
          <w:left w:w="0" w:type="dxa"/>
          <w:right w:w="0" w:type="dxa"/>
        </w:tblCellMar>
        <w:tblLook w:val="04A0" w:firstRow="1" w:lastRow="0" w:firstColumn="1" w:lastColumn="0" w:noHBand="0" w:noVBand="1"/>
      </w:tblPr>
      <w:tblGrid>
        <w:gridCol w:w="2240"/>
        <w:gridCol w:w="900"/>
        <w:gridCol w:w="740"/>
        <w:gridCol w:w="740"/>
        <w:gridCol w:w="700"/>
        <w:gridCol w:w="1080"/>
        <w:gridCol w:w="920"/>
        <w:gridCol w:w="1260"/>
        <w:gridCol w:w="700"/>
      </w:tblGrid>
      <w:tr w:rsidR="002379F2" w:rsidRPr="00260B47" w:rsidTr="005C5F10">
        <w:trPr>
          <w:trHeight w:val="238"/>
        </w:trPr>
        <w:tc>
          <w:tcPr>
            <w:tcW w:w="2240" w:type="dxa"/>
            <w:tcBorders>
              <w:top w:val="single" w:sz="8" w:space="0" w:color="auto"/>
              <w:left w:val="single" w:sz="8" w:space="0" w:color="auto"/>
              <w:bottom w:val="single" w:sz="8" w:space="0" w:color="auto"/>
            </w:tcBorders>
            <w:vAlign w:val="bottom"/>
          </w:tcPr>
          <w:p w:rsidR="002379F2" w:rsidRPr="00260B47" w:rsidRDefault="002379F2" w:rsidP="00D75995">
            <w:pPr>
              <w:ind w:left="80" w:right="-50"/>
              <w:rPr>
                <w:sz w:val="21"/>
                <w:szCs w:val="21"/>
              </w:rPr>
            </w:pPr>
            <w:r w:rsidRPr="00260B47">
              <w:rPr>
                <w:rFonts w:eastAsia="Times New Roman"/>
                <w:b/>
                <w:bCs/>
                <w:sz w:val="21"/>
                <w:szCs w:val="21"/>
              </w:rPr>
              <w:t>Traitement</w:t>
            </w:r>
          </w:p>
        </w:tc>
        <w:tc>
          <w:tcPr>
            <w:tcW w:w="900" w:type="dxa"/>
            <w:tcBorders>
              <w:top w:val="single" w:sz="8" w:space="0" w:color="auto"/>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top w:val="single" w:sz="8" w:space="0" w:color="auto"/>
              <w:bottom w:val="single" w:sz="8" w:space="0" w:color="auto"/>
            </w:tcBorders>
            <w:vAlign w:val="bottom"/>
          </w:tcPr>
          <w:p w:rsidR="002379F2" w:rsidRPr="00260B47" w:rsidRDefault="002379F2" w:rsidP="00D75995">
            <w:pPr>
              <w:ind w:left="40" w:right="-50"/>
              <w:rPr>
                <w:sz w:val="21"/>
                <w:szCs w:val="21"/>
              </w:rPr>
            </w:pPr>
            <w:r w:rsidRPr="00260B47">
              <w:rPr>
                <w:rFonts w:eastAsia="Times New Roman"/>
                <w:b/>
                <w:bCs/>
                <w:sz w:val="21"/>
                <w:szCs w:val="21"/>
              </w:rPr>
              <w:t>Type</w:t>
            </w:r>
          </w:p>
        </w:tc>
        <w:tc>
          <w:tcPr>
            <w:tcW w:w="740" w:type="dxa"/>
            <w:tcBorders>
              <w:top w:val="single" w:sz="8" w:space="0" w:color="auto"/>
              <w:bottom w:val="single" w:sz="8" w:space="0" w:color="auto"/>
            </w:tcBorders>
            <w:vAlign w:val="bottom"/>
          </w:tcPr>
          <w:p w:rsidR="002379F2" w:rsidRPr="00260B47" w:rsidRDefault="002379F2" w:rsidP="00D75995">
            <w:pPr>
              <w:ind w:right="-50"/>
              <w:rPr>
                <w:sz w:val="21"/>
                <w:szCs w:val="21"/>
              </w:rPr>
            </w:pPr>
          </w:p>
        </w:tc>
        <w:tc>
          <w:tcPr>
            <w:tcW w:w="700" w:type="dxa"/>
            <w:tcBorders>
              <w:top w:val="single" w:sz="8" w:space="0" w:color="auto"/>
              <w:bottom w:val="single" w:sz="8" w:space="0" w:color="auto"/>
            </w:tcBorders>
            <w:vAlign w:val="bottom"/>
          </w:tcPr>
          <w:p w:rsidR="002379F2" w:rsidRPr="00260B47" w:rsidRDefault="002379F2" w:rsidP="00D75995">
            <w:pPr>
              <w:ind w:right="-50"/>
              <w:rPr>
                <w:sz w:val="21"/>
                <w:szCs w:val="21"/>
              </w:rPr>
            </w:pPr>
          </w:p>
        </w:tc>
        <w:tc>
          <w:tcPr>
            <w:tcW w:w="1080" w:type="dxa"/>
            <w:tcBorders>
              <w:top w:val="single" w:sz="8" w:space="0" w:color="auto"/>
              <w:bottom w:val="single" w:sz="8" w:space="0" w:color="auto"/>
            </w:tcBorders>
            <w:vAlign w:val="bottom"/>
          </w:tcPr>
          <w:p w:rsidR="002379F2" w:rsidRPr="00260B47" w:rsidRDefault="002379F2" w:rsidP="00D75995">
            <w:pPr>
              <w:ind w:right="-50"/>
              <w:rPr>
                <w:sz w:val="21"/>
                <w:szCs w:val="21"/>
              </w:rPr>
            </w:pPr>
          </w:p>
        </w:tc>
        <w:tc>
          <w:tcPr>
            <w:tcW w:w="920" w:type="dxa"/>
            <w:tcBorders>
              <w:top w:val="single" w:sz="8" w:space="0" w:color="auto"/>
              <w:bottom w:val="single" w:sz="8" w:space="0" w:color="auto"/>
            </w:tcBorders>
            <w:vAlign w:val="bottom"/>
          </w:tcPr>
          <w:p w:rsidR="002379F2" w:rsidRPr="00260B47" w:rsidRDefault="002379F2" w:rsidP="00D75995">
            <w:pPr>
              <w:ind w:right="-50"/>
              <w:rPr>
                <w:sz w:val="21"/>
                <w:szCs w:val="21"/>
              </w:rPr>
            </w:pPr>
          </w:p>
        </w:tc>
        <w:tc>
          <w:tcPr>
            <w:tcW w:w="1260" w:type="dxa"/>
            <w:tcBorders>
              <w:top w:val="single" w:sz="8" w:space="0" w:color="auto"/>
              <w:bottom w:val="single" w:sz="8" w:space="0" w:color="auto"/>
            </w:tcBorders>
            <w:vAlign w:val="bottom"/>
          </w:tcPr>
          <w:p w:rsidR="002379F2" w:rsidRPr="00260B47" w:rsidRDefault="002379F2" w:rsidP="00D75995">
            <w:pPr>
              <w:ind w:right="-50"/>
              <w:rPr>
                <w:sz w:val="21"/>
                <w:szCs w:val="21"/>
              </w:rPr>
            </w:pPr>
          </w:p>
        </w:tc>
        <w:tc>
          <w:tcPr>
            <w:tcW w:w="700" w:type="dxa"/>
            <w:tcBorders>
              <w:top w:val="single" w:sz="8" w:space="0" w:color="auto"/>
              <w:bottom w:val="single" w:sz="8" w:space="0" w:color="auto"/>
              <w:right w:val="single" w:sz="8" w:space="0" w:color="auto"/>
            </w:tcBorders>
            <w:vAlign w:val="bottom"/>
          </w:tcPr>
          <w:p w:rsidR="002379F2" w:rsidRPr="00260B47" w:rsidRDefault="002379F2" w:rsidP="00D75995">
            <w:pPr>
              <w:ind w:right="-50"/>
              <w:rPr>
                <w:sz w:val="21"/>
                <w:szCs w:val="21"/>
              </w:rPr>
            </w:pPr>
          </w:p>
        </w:tc>
      </w:tr>
      <w:tr w:rsidR="005C5F10" w:rsidRPr="00260B47" w:rsidTr="008C4DA8">
        <w:trPr>
          <w:trHeight w:val="86"/>
        </w:trPr>
        <w:tc>
          <w:tcPr>
            <w:tcW w:w="3140" w:type="dxa"/>
            <w:gridSpan w:val="2"/>
            <w:tcBorders>
              <w:left w:val="single" w:sz="8" w:space="0" w:color="auto"/>
              <w:right w:val="single" w:sz="8" w:space="0" w:color="auto"/>
            </w:tcBorders>
            <w:vAlign w:val="bottom"/>
          </w:tcPr>
          <w:p w:rsidR="005C5F10" w:rsidRPr="00260B47" w:rsidRDefault="005C5F10" w:rsidP="00D75995">
            <w:pPr>
              <w:ind w:right="-50"/>
              <w:rPr>
                <w:sz w:val="21"/>
                <w:szCs w:val="21"/>
              </w:rPr>
            </w:pPr>
          </w:p>
        </w:tc>
        <w:tc>
          <w:tcPr>
            <w:tcW w:w="740" w:type="dxa"/>
            <w:tcBorders>
              <w:left w:val="single" w:sz="8" w:space="0" w:color="auto"/>
              <w:right w:val="single" w:sz="8" w:space="0" w:color="auto"/>
            </w:tcBorders>
            <w:vAlign w:val="bottom"/>
          </w:tcPr>
          <w:p w:rsidR="005C5F10" w:rsidRPr="00260B47" w:rsidRDefault="005C5F10" w:rsidP="00D75995">
            <w:pPr>
              <w:spacing w:line="213" w:lineRule="exact"/>
              <w:ind w:left="40" w:right="-50"/>
              <w:rPr>
                <w:sz w:val="21"/>
                <w:szCs w:val="21"/>
              </w:rPr>
            </w:pPr>
            <w:r w:rsidRPr="00260B47">
              <w:rPr>
                <w:rFonts w:eastAsia="Times New Roman"/>
                <w:sz w:val="21"/>
                <w:szCs w:val="21"/>
              </w:rPr>
              <w:t>papier</w:t>
            </w:r>
          </w:p>
        </w:tc>
        <w:tc>
          <w:tcPr>
            <w:tcW w:w="740" w:type="dxa"/>
            <w:tcBorders>
              <w:right w:val="single" w:sz="8" w:space="0" w:color="auto"/>
            </w:tcBorders>
            <w:vAlign w:val="bottom"/>
          </w:tcPr>
          <w:p w:rsidR="005C5F10" w:rsidRPr="00260B47" w:rsidRDefault="005C5F10" w:rsidP="00D75995">
            <w:pPr>
              <w:spacing w:line="213" w:lineRule="exact"/>
              <w:ind w:left="40" w:right="-50"/>
              <w:rPr>
                <w:sz w:val="21"/>
                <w:szCs w:val="21"/>
              </w:rPr>
            </w:pPr>
            <w:r w:rsidRPr="00260B47">
              <w:rPr>
                <w:rFonts w:eastAsia="Times New Roman"/>
                <w:sz w:val="21"/>
                <w:szCs w:val="21"/>
              </w:rPr>
              <w:t>carton</w:t>
            </w:r>
          </w:p>
        </w:tc>
        <w:tc>
          <w:tcPr>
            <w:tcW w:w="700" w:type="dxa"/>
            <w:tcBorders>
              <w:right w:val="single" w:sz="8" w:space="0" w:color="auto"/>
            </w:tcBorders>
            <w:vAlign w:val="bottom"/>
          </w:tcPr>
          <w:p w:rsidR="005C5F10" w:rsidRPr="00260B47" w:rsidRDefault="005C5F10" w:rsidP="00D75995">
            <w:pPr>
              <w:spacing w:line="213" w:lineRule="exact"/>
              <w:ind w:left="40" w:right="-50"/>
              <w:rPr>
                <w:sz w:val="21"/>
                <w:szCs w:val="21"/>
              </w:rPr>
            </w:pPr>
            <w:r w:rsidRPr="00260B47">
              <w:rPr>
                <w:rFonts w:eastAsia="Times New Roman"/>
                <w:sz w:val="21"/>
                <w:szCs w:val="21"/>
              </w:rPr>
              <w:t>fibre</w:t>
            </w:r>
          </w:p>
        </w:tc>
        <w:tc>
          <w:tcPr>
            <w:tcW w:w="1080" w:type="dxa"/>
            <w:tcBorders>
              <w:right w:val="single" w:sz="8" w:space="0" w:color="auto"/>
            </w:tcBorders>
            <w:vAlign w:val="bottom"/>
          </w:tcPr>
          <w:p w:rsidR="005C5F10" w:rsidRPr="00260B47" w:rsidRDefault="005C5F10" w:rsidP="00D75995">
            <w:pPr>
              <w:spacing w:line="213" w:lineRule="exact"/>
              <w:ind w:left="40" w:right="-50"/>
              <w:rPr>
                <w:sz w:val="21"/>
                <w:szCs w:val="21"/>
              </w:rPr>
            </w:pPr>
            <w:r w:rsidRPr="00260B47">
              <w:rPr>
                <w:rFonts w:eastAsia="Times New Roman"/>
                <w:sz w:val="21"/>
                <w:szCs w:val="21"/>
              </w:rPr>
              <w:t>plastique</w:t>
            </w:r>
          </w:p>
        </w:tc>
        <w:tc>
          <w:tcPr>
            <w:tcW w:w="920" w:type="dxa"/>
            <w:tcBorders>
              <w:right w:val="single" w:sz="8" w:space="0" w:color="auto"/>
            </w:tcBorders>
            <w:vAlign w:val="bottom"/>
          </w:tcPr>
          <w:p w:rsidR="005C5F10" w:rsidRPr="00260B47" w:rsidRDefault="005C5F10" w:rsidP="00D75995">
            <w:pPr>
              <w:spacing w:line="213" w:lineRule="exact"/>
              <w:ind w:left="40" w:right="-50"/>
              <w:rPr>
                <w:sz w:val="21"/>
                <w:szCs w:val="21"/>
              </w:rPr>
            </w:pPr>
            <w:r w:rsidRPr="00260B47">
              <w:rPr>
                <w:rFonts w:eastAsia="Times New Roman"/>
                <w:sz w:val="21"/>
                <w:szCs w:val="21"/>
              </w:rPr>
              <w:t>verre</w:t>
            </w:r>
          </w:p>
        </w:tc>
        <w:tc>
          <w:tcPr>
            <w:tcW w:w="1960" w:type="dxa"/>
            <w:gridSpan w:val="2"/>
            <w:tcBorders>
              <w:bottom w:val="single" w:sz="4" w:space="0" w:color="auto"/>
              <w:right w:val="single" w:sz="8" w:space="0" w:color="auto"/>
            </w:tcBorders>
            <w:vAlign w:val="bottom"/>
          </w:tcPr>
          <w:p w:rsidR="005C5F10" w:rsidRPr="00260B47" w:rsidRDefault="005C5F10" w:rsidP="00D75995">
            <w:pPr>
              <w:ind w:right="-50"/>
              <w:rPr>
                <w:sz w:val="21"/>
                <w:szCs w:val="21"/>
              </w:rPr>
            </w:pPr>
            <w:r w:rsidRPr="00260B47">
              <w:rPr>
                <w:rFonts w:eastAsia="Times New Roman"/>
                <w:sz w:val="21"/>
                <w:szCs w:val="21"/>
              </w:rPr>
              <w:t>Fût</w:t>
            </w:r>
          </w:p>
        </w:tc>
      </w:tr>
      <w:tr w:rsidR="005C1878" w:rsidRPr="00260B47" w:rsidTr="005C1878">
        <w:trPr>
          <w:trHeight w:val="111"/>
        </w:trPr>
        <w:tc>
          <w:tcPr>
            <w:tcW w:w="2240" w:type="dxa"/>
            <w:tcBorders>
              <w:left w:val="single" w:sz="8" w:space="0" w:color="auto"/>
              <w:bottom w:val="single" w:sz="4" w:space="0" w:color="auto"/>
            </w:tcBorders>
            <w:vAlign w:val="bottom"/>
          </w:tcPr>
          <w:p w:rsidR="005C1878" w:rsidRPr="00260B47" w:rsidRDefault="005C1878" w:rsidP="00D75995">
            <w:pPr>
              <w:ind w:right="-50"/>
              <w:rPr>
                <w:sz w:val="21"/>
                <w:szCs w:val="21"/>
              </w:rPr>
            </w:pPr>
          </w:p>
        </w:tc>
        <w:tc>
          <w:tcPr>
            <w:tcW w:w="900" w:type="dxa"/>
            <w:tcBorders>
              <w:bottom w:val="single" w:sz="4" w:space="0" w:color="auto"/>
              <w:right w:val="single" w:sz="8" w:space="0" w:color="auto"/>
            </w:tcBorders>
            <w:vAlign w:val="bottom"/>
          </w:tcPr>
          <w:p w:rsidR="005C1878" w:rsidRPr="00260B47" w:rsidRDefault="005C1878" w:rsidP="00D75995">
            <w:pPr>
              <w:ind w:right="-50"/>
              <w:rPr>
                <w:sz w:val="21"/>
                <w:szCs w:val="21"/>
              </w:rPr>
            </w:pPr>
          </w:p>
        </w:tc>
        <w:tc>
          <w:tcPr>
            <w:tcW w:w="740" w:type="dxa"/>
            <w:tcBorders>
              <w:bottom w:val="single" w:sz="4" w:space="0" w:color="auto"/>
              <w:right w:val="single" w:sz="8" w:space="0" w:color="auto"/>
            </w:tcBorders>
            <w:vAlign w:val="bottom"/>
          </w:tcPr>
          <w:p w:rsidR="005C1878" w:rsidRPr="00260B47" w:rsidRDefault="005C1878" w:rsidP="00D75995">
            <w:pPr>
              <w:ind w:right="-50"/>
              <w:rPr>
                <w:sz w:val="21"/>
                <w:szCs w:val="21"/>
              </w:rPr>
            </w:pPr>
          </w:p>
        </w:tc>
        <w:tc>
          <w:tcPr>
            <w:tcW w:w="740" w:type="dxa"/>
            <w:tcBorders>
              <w:bottom w:val="single" w:sz="4" w:space="0" w:color="auto"/>
              <w:right w:val="single" w:sz="8" w:space="0" w:color="auto"/>
            </w:tcBorders>
            <w:vAlign w:val="bottom"/>
          </w:tcPr>
          <w:p w:rsidR="005C1878" w:rsidRPr="00260B47" w:rsidRDefault="005C1878" w:rsidP="00D75995">
            <w:pPr>
              <w:ind w:right="-50"/>
              <w:rPr>
                <w:sz w:val="21"/>
                <w:szCs w:val="21"/>
              </w:rPr>
            </w:pPr>
          </w:p>
        </w:tc>
        <w:tc>
          <w:tcPr>
            <w:tcW w:w="700" w:type="dxa"/>
            <w:tcBorders>
              <w:bottom w:val="single" w:sz="4" w:space="0" w:color="auto"/>
              <w:right w:val="single" w:sz="8" w:space="0" w:color="auto"/>
            </w:tcBorders>
            <w:vAlign w:val="bottom"/>
          </w:tcPr>
          <w:p w:rsidR="005C1878" w:rsidRPr="00260B47" w:rsidRDefault="005C1878" w:rsidP="00D75995">
            <w:pPr>
              <w:ind w:right="-50"/>
              <w:rPr>
                <w:sz w:val="21"/>
                <w:szCs w:val="21"/>
              </w:rPr>
            </w:pPr>
          </w:p>
        </w:tc>
        <w:tc>
          <w:tcPr>
            <w:tcW w:w="1080" w:type="dxa"/>
            <w:tcBorders>
              <w:bottom w:val="single" w:sz="4" w:space="0" w:color="auto"/>
              <w:right w:val="single" w:sz="8" w:space="0" w:color="auto"/>
            </w:tcBorders>
            <w:vAlign w:val="bottom"/>
          </w:tcPr>
          <w:p w:rsidR="005C1878" w:rsidRPr="00260B47" w:rsidRDefault="005C1878" w:rsidP="00D75995">
            <w:pPr>
              <w:ind w:right="-50"/>
              <w:rPr>
                <w:sz w:val="21"/>
                <w:szCs w:val="21"/>
              </w:rPr>
            </w:pPr>
          </w:p>
        </w:tc>
        <w:tc>
          <w:tcPr>
            <w:tcW w:w="920" w:type="dxa"/>
            <w:tcBorders>
              <w:bottom w:val="single" w:sz="4" w:space="0" w:color="auto"/>
              <w:right w:val="single" w:sz="8" w:space="0" w:color="auto"/>
            </w:tcBorders>
            <w:vAlign w:val="bottom"/>
          </w:tcPr>
          <w:p w:rsidR="005C1878" w:rsidRPr="00260B47" w:rsidRDefault="005C1878" w:rsidP="00D75995">
            <w:pPr>
              <w:ind w:right="-50"/>
              <w:rPr>
                <w:sz w:val="21"/>
                <w:szCs w:val="21"/>
              </w:rPr>
            </w:pPr>
          </w:p>
        </w:tc>
        <w:tc>
          <w:tcPr>
            <w:tcW w:w="1260" w:type="dxa"/>
            <w:tcBorders>
              <w:top w:val="single" w:sz="4" w:space="0" w:color="auto"/>
              <w:bottom w:val="single" w:sz="4" w:space="0" w:color="auto"/>
              <w:right w:val="single" w:sz="8" w:space="0" w:color="auto"/>
            </w:tcBorders>
            <w:vAlign w:val="bottom"/>
          </w:tcPr>
          <w:p w:rsidR="005C1878" w:rsidRPr="00260B47" w:rsidRDefault="005C1878" w:rsidP="00D75995">
            <w:pPr>
              <w:spacing w:line="219" w:lineRule="exact"/>
              <w:ind w:left="40" w:right="-50"/>
              <w:rPr>
                <w:sz w:val="21"/>
                <w:szCs w:val="21"/>
              </w:rPr>
            </w:pPr>
            <w:r w:rsidRPr="00260B47">
              <w:rPr>
                <w:rFonts w:eastAsia="Times New Roman"/>
                <w:sz w:val="21"/>
                <w:szCs w:val="21"/>
              </w:rPr>
              <w:t>50 à 200l</w:t>
            </w:r>
          </w:p>
        </w:tc>
        <w:tc>
          <w:tcPr>
            <w:tcW w:w="700" w:type="dxa"/>
            <w:tcBorders>
              <w:top w:val="single" w:sz="4" w:space="0" w:color="auto"/>
              <w:bottom w:val="single" w:sz="4" w:space="0" w:color="auto"/>
              <w:right w:val="single" w:sz="8" w:space="0" w:color="auto"/>
            </w:tcBorders>
            <w:vAlign w:val="bottom"/>
          </w:tcPr>
          <w:p w:rsidR="005C1878" w:rsidRPr="00260B47" w:rsidRDefault="005C1878" w:rsidP="00D75995">
            <w:pPr>
              <w:spacing w:line="232" w:lineRule="exact"/>
              <w:ind w:left="40" w:right="-50"/>
              <w:rPr>
                <w:sz w:val="21"/>
                <w:szCs w:val="21"/>
              </w:rPr>
            </w:pPr>
            <w:r w:rsidRPr="00260B47">
              <w:rPr>
                <w:rFonts w:ascii="Symbol" w:eastAsia="Symbol" w:hAnsi="Symbol" w:cs="Symbol"/>
                <w:sz w:val="21"/>
                <w:szCs w:val="21"/>
              </w:rPr>
              <w:t></w:t>
            </w:r>
            <w:r w:rsidRPr="00260B47">
              <w:rPr>
                <w:rFonts w:eastAsia="Times New Roman"/>
                <w:sz w:val="21"/>
                <w:szCs w:val="21"/>
              </w:rPr>
              <w:t>20l</w:t>
            </w:r>
          </w:p>
        </w:tc>
      </w:tr>
      <w:tr w:rsidR="002379F2" w:rsidRPr="00260B47" w:rsidTr="005C1878">
        <w:trPr>
          <w:trHeight w:val="216"/>
        </w:trPr>
        <w:tc>
          <w:tcPr>
            <w:tcW w:w="2240" w:type="dxa"/>
            <w:tcBorders>
              <w:top w:val="single" w:sz="4" w:space="0" w:color="auto"/>
              <w:left w:val="single" w:sz="8" w:space="0" w:color="auto"/>
              <w:bottom w:val="single" w:sz="8" w:space="0" w:color="auto"/>
            </w:tcBorders>
            <w:vAlign w:val="bottom"/>
          </w:tcPr>
          <w:p w:rsidR="002379F2" w:rsidRPr="00260B47" w:rsidRDefault="002379F2" w:rsidP="00D75995">
            <w:pPr>
              <w:spacing w:line="216" w:lineRule="exact"/>
              <w:ind w:left="80" w:right="-50"/>
              <w:rPr>
                <w:sz w:val="21"/>
                <w:szCs w:val="21"/>
              </w:rPr>
            </w:pPr>
            <w:r w:rsidRPr="00260B47">
              <w:rPr>
                <w:rFonts w:eastAsia="Times New Roman"/>
                <w:sz w:val="21"/>
                <w:szCs w:val="21"/>
              </w:rPr>
              <w:t>Décontamination</w:t>
            </w:r>
          </w:p>
        </w:tc>
        <w:tc>
          <w:tcPr>
            <w:tcW w:w="900" w:type="dxa"/>
            <w:tcBorders>
              <w:top w:val="single" w:sz="4" w:space="0" w:color="auto"/>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top w:val="single" w:sz="4" w:space="0" w:color="auto"/>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top w:val="single" w:sz="4" w:space="0" w:color="auto"/>
              <w:bottom w:val="single" w:sz="8" w:space="0" w:color="auto"/>
              <w:right w:val="single" w:sz="8" w:space="0" w:color="auto"/>
            </w:tcBorders>
            <w:vAlign w:val="bottom"/>
          </w:tcPr>
          <w:p w:rsidR="002379F2" w:rsidRPr="00260B47" w:rsidRDefault="002379F2" w:rsidP="00D75995">
            <w:pPr>
              <w:ind w:right="-50"/>
              <w:rPr>
                <w:sz w:val="21"/>
                <w:szCs w:val="21"/>
              </w:rPr>
            </w:pPr>
          </w:p>
        </w:tc>
        <w:tc>
          <w:tcPr>
            <w:tcW w:w="700" w:type="dxa"/>
            <w:tcBorders>
              <w:top w:val="single" w:sz="4" w:space="0" w:color="auto"/>
              <w:bottom w:val="single" w:sz="8" w:space="0" w:color="auto"/>
              <w:right w:val="single" w:sz="8" w:space="0" w:color="auto"/>
            </w:tcBorders>
            <w:vAlign w:val="bottom"/>
          </w:tcPr>
          <w:p w:rsidR="002379F2" w:rsidRPr="00260B47" w:rsidRDefault="002379F2" w:rsidP="00D75995">
            <w:pPr>
              <w:ind w:right="-50"/>
              <w:rPr>
                <w:sz w:val="21"/>
                <w:szCs w:val="21"/>
              </w:rPr>
            </w:pPr>
          </w:p>
        </w:tc>
        <w:tc>
          <w:tcPr>
            <w:tcW w:w="1080" w:type="dxa"/>
            <w:tcBorders>
              <w:top w:val="single" w:sz="4" w:space="0" w:color="auto"/>
              <w:bottom w:val="single" w:sz="8" w:space="0" w:color="auto"/>
              <w:right w:val="single" w:sz="8" w:space="0" w:color="auto"/>
            </w:tcBorders>
            <w:vAlign w:val="bottom"/>
          </w:tcPr>
          <w:p w:rsidR="002379F2" w:rsidRPr="00260B47" w:rsidRDefault="002379F2" w:rsidP="00D75995">
            <w:pPr>
              <w:spacing w:line="216" w:lineRule="exact"/>
              <w:ind w:left="40" w:right="-50"/>
              <w:rPr>
                <w:sz w:val="21"/>
                <w:szCs w:val="21"/>
              </w:rPr>
            </w:pPr>
            <w:r w:rsidRPr="00260B47">
              <w:rPr>
                <w:rFonts w:eastAsia="Times New Roman"/>
                <w:sz w:val="21"/>
                <w:szCs w:val="21"/>
              </w:rPr>
              <w:t>X</w:t>
            </w:r>
          </w:p>
        </w:tc>
        <w:tc>
          <w:tcPr>
            <w:tcW w:w="920" w:type="dxa"/>
            <w:tcBorders>
              <w:top w:val="single" w:sz="4" w:space="0" w:color="auto"/>
              <w:bottom w:val="single" w:sz="8" w:space="0" w:color="auto"/>
              <w:right w:val="single" w:sz="8" w:space="0" w:color="auto"/>
            </w:tcBorders>
            <w:vAlign w:val="bottom"/>
          </w:tcPr>
          <w:p w:rsidR="002379F2" w:rsidRPr="00260B47" w:rsidRDefault="002379F2" w:rsidP="00D75995">
            <w:pPr>
              <w:spacing w:line="216" w:lineRule="exact"/>
              <w:ind w:left="40" w:right="-50"/>
              <w:rPr>
                <w:sz w:val="21"/>
                <w:szCs w:val="21"/>
              </w:rPr>
            </w:pPr>
            <w:r w:rsidRPr="00260B47">
              <w:rPr>
                <w:rFonts w:eastAsia="Times New Roman"/>
                <w:sz w:val="21"/>
                <w:szCs w:val="21"/>
              </w:rPr>
              <w:t>X</w:t>
            </w:r>
          </w:p>
        </w:tc>
        <w:tc>
          <w:tcPr>
            <w:tcW w:w="1260" w:type="dxa"/>
            <w:tcBorders>
              <w:top w:val="single" w:sz="4" w:space="0" w:color="auto"/>
              <w:bottom w:val="single" w:sz="8" w:space="0" w:color="auto"/>
              <w:right w:val="single" w:sz="8" w:space="0" w:color="auto"/>
            </w:tcBorders>
            <w:vAlign w:val="bottom"/>
          </w:tcPr>
          <w:p w:rsidR="002379F2" w:rsidRPr="00260B47" w:rsidRDefault="002379F2" w:rsidP="00D75995">
            <w:pPr>
              <w:spacing w:line="216" w:lineRule="exact"/>
              <w:ind w:left="40" w:right="-50"/>
              <w:rPr>
                <w:sz w:val="21"/>
                <w:szCs w:val="21"/>
              </w:rPr>
            </w:pPr>
            <w:r w:rsidRPr="00260B47">
              <w:rPr>
                <w:rFonts w:eastAsia="Times New Roman"/>
                <w:sz w:val="21"/>
                <w:szCs w:val="21"/>
              </w:rPr>
              <w:t>X</w:t>
            </w:r>
          </w:p>
        </w:tc>
        <w:tc>
          <w:tcPr>
            <w:tcW w:w="700" w:type="dxa"/>
            <w:tcBorders>
              <w:top w:val="single" w:sz="4" w:space="0" w:color="auto"/>
              <w:bottom w:val="single" w:sz="8" w:space="0" w:color="auto"/>
              <w:right w:val="single" w:sz="8" w:space="0" w:color="auto"/>
            </w:tcBorders>
            <w:vAlign w:val="bottom"/>
          </w:tcPr>
          <w:p w:rsidR="002379F2" w:rsidRPr="00260B47" w:rsidRDefault="002379F2" w:rsidP="00D75995">
            <w:pPr>
              <w:spacing w:line="216" w:lineRule="exact"/>
              <w:ind w:left="40" w:right="-50"/>
              <w:rPr>
                <w:sz w:val="21"/>
                <w:szCs w:val="21"/>
              </w:rPr>
            </w:pPr>
            <w:r w:rsidRPr="00260B47">
              <w:rPr>
                <w:rFonts w:eastAsia="Times New Roman"/>
                <w:sz w:val="21"/>
                <w:szCs w:val="21"/>
              </w:rPr>
              <w:t>X</w:t>
            </w: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2379F2" w:rsidP="00D75995">
            <w:pPr>
              <w:spacing w:line="219" w:lineRule="exact"/>
              <w:ind w:left="80" w:right="-50"/>
              <w:rPr>
                <w:sz w:val="21"/>
                <w:szCs w:val="21"/>
              </w:rPr>
            </w:pPr>
            <w:r w:rsidRPr="00260B47">
              <w:rPr>
                <w:rFonts w:eastAsia="Times New Roman"/>
                <w:sz w:val="21"/>
                <w:szCs w:val="21"/>
              </w:rPr>
              <w:t>Elimination</w:t>
            </w:r>
          </w:p>
        </w:tc>
        <w:tc>
          <w:tcPr>
            <w:tcW w:w="9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bottom w:val="single" w:sz="8" w:space="0" w:color="auto"/>
              <w:right w:val="single" w:sz="8" w:space="0" w:color="auto"/>
            </w:tcBorders>
            <w:shd w:val="clear" w:color="auto" w:fill="000000"/>
            <w:vAlign w:val="bottom"/>
          </w:tcPr>
          <w:p w:rsidR="002379F2" w:rsidRPr="00260B47" w:rsidRDefault="002379F2" w:rsidP="00D75995">
            <w:pPr>
              <w:ind w:right="-50"/>
              <w:rPr>
                <w:sz w:val="21"/>
                <w:szCs w:val="21"/>
              </w:rPr>
            </w:pPr>
          </w:p>
        </w:tc>
        <w:tc>
          <w:tcPr>
            <w:tcW w:w="740" w:type="dxa"/>
            <w:tcBorders>
              <w:bottom w:val="single" w:sz="8" w:space="0" w:color="auto"/>
              <w:right w:val="single" w:sz="8" w:space="0" w:color="auto"/>
            </w:tcBorders>
            <w:shd w:val="clear" w:color="auto" w:fill="000000"/>
            <w:vAlign w:val="bottom"/>
          </w:tcPr>
          <w:p w:rsidR="002379F2" w:rsidRPr="00260B47" w:rsidRDefault="002379F2" w:rsidP="00D75995">
            <w:pPr>
              <w:ind w:right="-50"/>
              <w:rPr>
                <w:sz w:val="21"/>
                <w:szCs w:val="21"/>
              </w:rPr>
            </w:pPr>
          </w:p>
        </w:tc>
        <w:tc>
          <w:tcPr>
            <w:tcW w:w="700" w:type="dxa"/>
            <w:tcBorders>
              <w:bottom w:val="single" w:sz="8" w:space="0" w:color="auto"/>
              <w:right w:val="single" w:sz="8" w:space="0" w:color="auto"/>
            </w:tcBorders>
            <w:shd w:val="clear" w:color="auto" w:fill="000000"/>
            <w:vAlign w:val="bottom"/>
          </w:tcPr>
          <w:p w:rsidR="002379F2" w:rsidRPr="00260B47" w:rsidRDefault="002379F2" w:rsidP="00D75995">
            <w:pPr>
              <w:ind w:right="-50"/>
              <w:rPr>
                <w:sz w:val="21"/>
                <w:szCs w:val="21"/>
              </w:rPr>
            </w:pPr>
          </w:p>
        </w:tc>
        <w:tc>
          <w:tcPr>
            <w:tcW w:w="1080" w:type="dxa"/>
            <w:tcBorders>
              <w:bottom w:val="single" w:sz="8" w:space="0" w:color="auto"/>
              <w:right w:val="single" w:sz="8" w:space="0" w:color="auto"/>
            </w:tcBorders>
            <w:shd w:val="clear" w:color="auto" w:fill="000000"/>
            <w:vAlign w:val="bottom"/>
          </w:tcPr>
          <w:p w:rsidR="002379F2" w:rsidRPr="00260B47" w:rsidRDefault="002379F2" w:rsidP="00D75995">
            <w:pPr>
              <w:ind w:right="-50"/>
              <w:rPr>
                <w:sz w:val="21"/>
                <w:szCs w:val="21"/>
              </w:rPr>
            </w:pPr>
          </w:p>
        </w:tc>
        <w:tc>
          <w:tcPr>
            <w:tcW w:w="920" w:type="dxa"/>
            <w:tcBorders>
              <w:bottom w:val="single" w:sz="8" w:space="0" w:color="auto"/>
              <w:right w:val="single" w:sz="8" w:space="0" w:color="auto"/>
            </w:tcBorders>
            <w:shd w:val="clear" w:color="auto" w:fill="000000"/>
            <w:vAlign w:val="bottom"/>
          </w:tcPr>
          <w:p w:rsidR="002379F2" w:rsidRPr="00260B47" w:rsidRDefault="002379F2" w:rsidP="00D75995">
            <w:pPr>
              <w:ind w:right="-50"/>
              <w:rPr>
                <w:sz w:val="21"/>
                <w:szCs w:val="21"/>
              </w:rPr>
            </w:pPr>
          </w:p>
        </w:tc>
        <w:tc>
          <w:tcPr>
            <w:tcW w:w="1260" w:type="dxa"/>
            <w:tcBorders>
              <w:bottom w:val="single" w:sz="8" w:space="0" w:color="auto"/>
              <w:right w:val="single" w:sz="8" w:space="0" w:color="auto"/>
            </w:tcBorders>
            <w:shd w:val="clear" w:color="auto" w:fill="000000"/>
            <w:vAlign w:val="bottom"/>
          </w:tcPr>
          <w:p w:rsidR="002379F2" w:rsidRPr="00260B47" w:rsidRDefault="002379F2" w:rsidP="00D75995">
            <w:pPr>
              <w:ind w:right="-50"/>
              <w:rPr>
                <w:sz w:val="21"/>
                <w:szCs w:val="21"/>
              </w:rPr>
            </w:pPr>
          </w:p>
        </w:tc>
        <w:tc>
          <w:tcPr>
            <w:tcW w:w="700" w:type="dxa"/>
            <w:tcBorders>
              <w:bottom w:val="single" w:sz="8" w:space="0" w:color="auto"/>
              <w:right w:val="single" w:sz="8" w:space="0" w:color="auto"/>
            </w:tcBorders>
            <w:shd w:val="clear" w:color="auto" w:fill="000000"/>
            <w:vAlign w:val="bottom"/>
          </w:tcPr>
          <w:p w:rsidR="002379F2" w:rsidRPr="00260B47" w:rsidRDefault="002379F2" w:rsidP="00D75995">
            <w:pPr>
              <w:ind w:right="-50"/>
              <w:rPr>
                <w:sz w:val="21"/>
                <w:szCs w:val="21"/>
              </w:rPr>
            </w:pP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2379F2" w:rsidP="00D75995">
            <w:pPr>
              <w:spacing w:line="219" w:lineRule="exact"/>
              <w:ind w:left="80" w:right="-50"/>
              <w:rPr>
                <w:sz w:val="21"/>
                <w:szCs w:val="21"/>
              </w:rPr>
            </w:pPr>
            <w:r w:rsidRPr="00260B47">
              <w:rPr>
                <w:rFonts w:eastAsia="Times New Roman"/>
                <w:sz w:val="21"/>
                <w:szCs w:val="21"/>
              </w:rPr>
              <w:t>Incinération (feu nu)</w:t>
            </w:r>
          </w:p>
        </w:tc>
        <w:tc>
          <w:tcPr>
            <w:tcW w:w="9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74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108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 (1)</w:t>
            </w:r>
          </w:p>
        </w:tc>
        <w:tc>
          <w:tcPr>
            <w:tcW w:w="92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 (2)</w:t>
            </w:r>
          </w:p>
        </w:tc>
        <w:tc>
          <w:tcPr>
            <w:tcW w:w="126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 (2)</w:t>
            </w:r>
          </w:p>
        </w:tc>
        <w:tc>
          <w:tcPr>
            <w:tcW w:w="70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 (2)</w:t>
            </w: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2379F2" w:rsidP="00D75995">
            <w:pPr>
              <w:spacing w:line="219" w:lineRule="exact"/>
              <w:ind w:left="80" w:right="-50"/>
              <w:rPr>
                <w:sz w:val="21"/>
                <w:szCs w:val="21"/>
              </w:rPr>
            </w:pPr>
            <w:r w:rsidRPr="00260B47">
              <w:rPr>
                <w:rFonts w:eastAsia="Times New Roman"/>
                <w:sz w:val="21"/>
                <w:szCs w:val="21"/>
              </w:rPr>
              <w:t>Renvoi au fournisseur</w:t>
            </w:r>
          </w:p>
        </w:tc>
        <w:tc>
          <w:tcPr>
            <w:tcW w:w="9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108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92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126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r>
      <w:tr w:rsidR="002379F2" w:rsidRPr="00260B47" w:rsidTr="005C5F10">
        <w:trPr>
          <w:trHeight w:val="216"/>
        </w:trPr>
        <w:tc>
          <w:tcPr>
            <w:tcW w:w="2240" w:type="dxa"/>
            <w:tcBorders>
              <w:left w:val="single" w:sz="8" w:space="0" w:color="auto"/>
            </w:tcBorders>
            <w:vAlign w:val="bottom"/>
          </w:tcPr>
          <w:p w:rsidR="002379F2" w:rsidRPr="00260B47" w:rsidRDefault="002379F2" w:rsidP="00D75995">
            <w:pPr>
              <w:spacing w:line="216" w:lineRule="exact"/>
              <w:ind w:left="80" w:right="-50"/>
              <w:rPr>
                <w:sz w:val="21"/>
                <w:szCs w:val="21"/>
              </w:rPr>
            </w:pPr>
            <w:r w:rsidRPr="00260B47">
              <w:rPr>
                <w:rFonts w:eastAsia="Times New Roman"/>
                <w:sz w:val="21"/>
                <w:szCs w:val="21"/>
              </w:rPr>
              <w:t>Vente</w:t>
            </w:r>
          </w:p>
        </w:tc>
        <w:tc>
          <w:tcPr>
            <w:tcW w:w="900" w:type="dxa"/>
            <w:tcBorders>
              <w:right w:val="single" w:sz="8" w:space="0" w:color="auto"/>
            </w:tcBorders>
            <w:vAlign w:val="bottom"/>
          </w:tcPr>
          <w:p w:rsidR="002379F2" w:rsidRPr="00260B47" w:rsidRDefault="000768F3" w:rsidP="00D75995">
            <w:pPr>
              <w:spacing w:line="216" w:lineRule="exact"/>
              <w:ind w:right="-50"/>
              <w:rPr>
                <w:sz w:val="21"/>
                <w:szCs w:val="21"/>
              </w:rPr>
            </w:pPr>
            <w:r w:rsidRPr="00260B47">
              <w:rPr>
                <w:rFonts w:eastAsia="Times New Roman"/>
                <w:sz w:val="21"/>
                <w:szCs w:val="21"/>
              </w:rPr>
              <w:t>Entreprise</w:t>
            </w:r>
          </w:p>
        </w:tc>
        <w:tc>
          <w:tcPr>
            <w:tcW w:w="740" w:type="dxa"/>
            <w:tcBorders>
              <w:right w:val="single" w:sz="8" w:space="0" w:color="auto"/>
            </w:tcBorders>
            <w:vAlign w:val="bottom"/>
          </w:tcPr>
          <w:p w:rsidR="002379F2" w:rsidRPr="00260B47" w:rsidRDefault="002379F2" w:rsidP="00D75995">
            <w:pPr>
              <w:ind w:right="-50"/>
              <w:rPr>
                <w:sz w:val="21"/>
                <w:szCs w:val="21"/>
              </w:rPr>
            </w:pPr>
          </w:p>
        </w:tc>
        <w:tc>
          <w:tcPr>
            <w:tcW w:w="740" w:type="dxa"/>
            <w:tcBorders>
              <w:right w:val="single" w:sz="8" w:space="0" w:color="auto"/>
            </w:tcBorders>
            <w:vAlign w:val="bottom"/>
          </w:tcPr>
          <w:p w:rsidR="002379F2" w:rsidRPr="00260B47" w:rsidRDefault="002379F2" w:rsidP="00D75995">
            <w:pPr>
              <w:ind w:right="-50"/>
              <w:rPr>
                <w:sz w:val="21"/>
                <w:szCs w:val="21"/>
              </w:rPr>
            </w:pPr>
          </w:p>
        </w:tc>
        <w:tc>
          <w:tcPr>
            <w:tcW w:w="700" w:type="dxa"/>
            <w:tcBorders>
              <w:right w:val="single" w:sz="8" w:space="0" w:color="auto"/>
            </w:tcBorders>
            <w:vAlign w:val="bottom"/>
          </w:tcPr>
          <w:p w:rsidR="002379F2" w:rsidRPr="00260B47" w:rsidRDefault="002379F2" w:rsidP="00D75995">
            <w:pPr>
              <w:ind w:right="-50"/>
              <w:rPr>
                <w:sz w:val="21"/>
                <w:szCs w:val="21"/>
              </w:rPr>
            </w:pPr>
          </w:p>
        </w:tc>
        <w:tc>
          <w:tcPr>
            <w:tcW w:w="1080" w:type="dxa"/>
            <w:tcBorders>
              <w:right w:val="single" w:sz="8" w:space="0" w:color="auto"/>
            </w:tcBorders>
            <w:vAlign w:val="bottom"/>
          </w:tcPr>
          <w:p w:rsidR="002379F2" w:rsidRPr="00260B47" w:rsidRDefault="002379F2" w:rsidP="00D75995">
            <w:pPr>
              <w:spacing w:line="216" w:lineRule="exact"/>
              <w:ind w:left="40" w:right="-50"/>
              <w:rPr>
                <w:sz w:val="21"/>
                <w:szCs w:val="21"/>
              </w:rPr>
            </w:pPr>
            <w:r w:rsidRPr="00260B47">
              <w:rPr>
                <w:rFonts w:eastAsia="Times New Roman"/>
                <w:sz w:val="21"/>
                <w:szCs w:val="21"/>
              </w:rPr>
              <w:t>X</w:t>
            </w:r>
          </w:p>
        </w:tc>
        <w:tc>
          <w:tcPr>
            <w:tcW w:w="920" w:type="dxa"/>
            <w:tcBorders>
              <w:right w:val="single" w:sz="8" w:space="0" w:color="auto"/>
            </w:tcBorders>
            <w:vAlign w:val="bottom"/>
          </w:tcPr>
          <w:p w:rsidR="002379F2" w:rsidRPr="00260B47" w:rsidRDefault="002379F2" w:rsidP="00D75995">
            <w:pPr>
              <w:ind w:right="-50"/>
              <w:rPr>
                <w:sz w:val="21"/>
                <w:szCs w:val="21"/>
              </w:rPr>
            </w:pPr>
          </w:p>
        </w:tc>
        <w:tc>
          <w:tcPr>
            <w:tcW w:w="1260" w:type="dxa"/>
            <w:tcBorders>
              <w:right w:val="single" w:sz="8" w:space="0" w:color="auto"/>
            </w:tcBorders>
            <w:vAlign w:val="bottom"/>
          </w:tcPr>
          <w:p w:rsidR="002379F2" w:rsidRPr="00260B47" w:rsidRDefault="002379F2" w:rsidP="00D75995">
            <w:pPr>
              <w:spacing w:line="216" w:lineRule="exact"/>
              <w:ind w:left="40" w:right="-50"/>
              <w:rPr>
                <w:sz w:val="21"/>
                <w:szCs w:val="21"/>
              </w:rPr>
            </w:pPr>
            <w:r w:rsidRPr="00260B47">
              <w:rPr>
                <w:rFonts w:eastAsia="Times New Roman"/>
                <w:sz w:val="21"/>
                <w:szCs w:val="21"/>
              </w:rPr>
              <w:t>X</w:t>
            </w:r>
          </w:p>
        </w:tc>
        <w:tc>
          <w:tcPr>
            <w:tcW w:w="700" w:type="dxa"/>
            <w:tcBorders>
              <w:right w:val="single" w:sz="8" w:space="0" w:color="auto"/>
            </w:tcBorders>
            <w:vAlign w:val="bottom"/>
          </w:tcPr>
          <w:p w:rsidR="002379F2" w:rsidRPr="00260B47" w:rsidRDefault="002379F2" w:rsidP="00D75995">
            <w:pPr>
              <w:spacing w:line="216" w:lineRule="exact"/>
              <w:ind w:left="40" w:right="-50"/>
              <w:rPr>
                <w:sz w:val="21"/>
                <w:szCs w:val="21"/>
              </w:rPr>
            </w:pPr>
            <w:r w:rsidRPr="00260B47">
              <w:rPr>
                <w:rFonts w:eastAsia="Times New Roman"/>
                <w:sz w:val="21"/>
                <w:szCs w:val="21"/>
              </w:rPr>
              <w:t>X</w:t>
            </w:r>
          </w:p>
        </w:tc>
      </w:tr>
      <w:tr w:rsidR="002379F2" w:rsidRPr="00260B47" w:rsidTr="005C5F10">
        <w:trPr>
          <w:trHeight w:val="235"/>
        </w:trPr>
        <w:tc>
          <w:tcPr>
            <w:tcW w:w="2240" w:type="dxa"/>
            <w:tcBorders>
              <w:left w:val="single" w:sz="8" w:space="0" w:color="auto"/>
              <w:bottom w:val="single" w:sz="8" w:space="0" w:color="auto"/>
            </w:tcBorders>
            <w:vAlign w:val="bottom"/>
          </w:tcPr>
          <w:p w:rsidR="002379F2" w:rsidRPr="00260B47" w:rsidRDefault="002379F2" w:rsidP="00D75995">
            <w:pPr>
              <w:ind w:left="80" w:right="-50"/>
              <w:rPr>
                <w:sz w:val="21"/>
                <w:szCs w:val="21"/>
              </w:rPr>
            </w:pPr>
            <w:r w:rsidRPr="00260B47">
              <w:rPr>
                <w:rFonts w:eastAsia="Times New Roman"/>
                <w:sz w:val="21"/>
                <w:szCs w:val="21"/>
              </w:rPr>
              <w:t>spécialisée/réutilisation</w:t>
            </w:r>
          </w:p>
        </w:tc>
        <w:tc>
          <w:tcPr>
            <w:tcW w:w="9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108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92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126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2379F2" w:rsidP="00D75995">
            <w:pPr>
              <w:spacing w:line="219" w:lineRule="exact"/>
              <w:ind w:left="80" w:right="-50"/>
              <w:rPr>
                <w:sz w:val="21"/>
                <w:szCs w:val="21"/>
              </w:rPr>
            </w:pPr>
            <w:r w:rsidRPr="00260B47">
              <w:rPr>
                <w:rFonts w:eastAsia="Times New Roman"/>
                <w:sz w:val="21"/>
                <w:szCs w:val="21"/>
              </w:rPr>
              <w:t>Décharge contrôlée</w:t>
            </w:r>
          </w:p>
        </w:tc>
        <w:tc>
          <w:tcPr>
            <w:tcW w:w="9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74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108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92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126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5C1878" w:rsidP="00D75995">
            <w:pPr>
              <w:spacing w:line="219" w:lineRule="exact"/>
              <w:ind w:left="80" w:right="-50"/>
              <w:rPr>
                <w:sz w:val="21"/>
                <w:szCs w:val="21"/>
              </w:rPr>
            </w:pPr>
            <w:r>
              <w:rPr>
                <w:rFonts w:eastAsia="Times New Roman"/>
                <w:w w:val="99"/>
                <w:sz w:val="21"/>
                <w:szCs w:val="21"/>
              </w:rPr>
              <w:t xml:space="preserve">Site d’enfouissement </w:t>
            </w:r>
            <w:r w:rsidR="002379F2" w:rsidRPr="00260B47">
              <w:rPr>
                <w:rFonts w:eastAsia="Times New Roman"/>
                <w:w w:val="99"/>
                <w:sz w:val="21"/>
                <w:szCs w:val="21"/>
              </w:rPr>
              <w:t>privé</w:t>
            </w:r>
          </w:p>
        </w:tc>
        <w:tc>
          <w:tcPr>
            <w:tcW w:w="900" w:type="dxa"/>
            <w:tcBorders>
              <w:bottom w:val="single" w:sz="8" w:space="0" w:color="auto"/>
              <w:right w:val="single" w:sz="8" w:space="0" w:color="auto"/>
            </w:tcBorders>
            <w:vAlign w:val="bottom"/>
          </w:tcPr>
          <w:p w:rsidR="002379F2" w:rsidRPr="00260B47" w:rsidRDefault="002379F2" w:rsidP="00D75995">
            <w:pPr>
              <w:ind w:right="-50"/>
              <w:rPr>
                <w:sz w:val="21"/>
                <w:szCs w:val="21"/>
              </w:rPr>
            </w:pPr>
          </w:p>
        </w:tc>
        <w:tc>
          <w:tcPr>
            <w:tcW w:w="74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74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108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92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126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D75995">
            <w:pPr>
              <w:spacing w:line="219" w:lineRule="exact"/>
              <w:ind w:left="40" w:right="-50"/>
              <w:rPr>
                <w:sz w:val="21"/>
                <w:szCs w:val="21"/>
              </w:rPr>
            </w:pPr>
            <w:r w:rsidRPr="00260B47">
              <w:rPr>
                <w:rFonts w:eastAsia="Times New Roman"/>
                <w:sz w:val="21"/>
                <w:szCs w:val="21"/>
              </w:rPr>
              <w:t>X</w:t>
            </w:r>
          </w:p>
        </w:tc>
      </w:tr>
    </w:tbl>
    <w:p w:rsidR="002379F2" w:rsidRPr="00260B47" w:rsidRDefault="002379F2" w:rsidP="00283500">
      <w:pPr>
        <w:ind w:left="284" w:right="-50"/>
        <w:jc w:val="both"/>
        <w:rPr>
          <w:sz w:val="21"/>
          <w:szCs w:val="21"/>
        </w:rPr>
      </w:pPr>
      <w:r w:rsidRPr="00283500">
        <w:rPr>
          <w:sz w:val="21"/>
          <w:szCs w:val="21"/>
        </w:rPr>
        <w:t>X(1) : vérifier qu’il soit éligible à l’élimination (PVC par exemple non conseillé à l’incinération)</w:t>
      </w:r>
    </w:p>
    <w:p w:rsidR="002379F2" w:rsidRPr="00260B47" w:rsidRDefault="002379F2" w:rsidP="00283500">
      <w:pPr>
        <w:ind w:left="284" w:right="-50"/>
        <w:jc w:val="both"/>
        <w:rPr>
          <w:sz w:val="21"/>
          <w:szCs w:val="21"/>
        </w:rPr>
      </w:pPr>
    </w:p>
    <w:p w:rsidR="002379F2" w:rsidRPr="00260B47" w:rsidRDefault="002379F2" w:rsidP="00283500">
      <w:pPr>
        <w:ind w:left="284" w:right="-50"/>
        <w:jc w:val="both"/>
        <w:rPr>
          <w:sz w:val="21"/>
          <w:szCs w:val="21"/>
        </w:rPr>
      </w:pPr>
      <w:r w:rsidRPr="00283500">
        <w:rPr>
          <w:sz w:val="21"/>
          <w:szCs w:val="21"/>
        </w:rPr>
        <w:t>X(2) : ils peuvent se trouver dans un ensemble à incinérer</w:t>
      </w:r>
    </w:p>
    <w:p w:rsidR="002379F2" w:rsidRPr="00260B47" w:rsidRDefault="002379F2" w:rsidP="00283500">
      <w:pPr>
        <w:ind w:left="284" w:right="-50"/>
        <w:jc w:val="both"/>
        <w:rPr>
          <w:sz w:val="21"/>
          <w:szCs w:val="21"/>
        </w:rPr>
      </w:pPr>
    </w:p>
    <w:p w:rsidR="002379F2" w:rsidRPr="00260B47" w:rsidRDefault="002379F2" w:rsidP="00283500">
      <w:pPr>
        <w:ind w:left="284" w:right="-50"/>
        <w:jc w:val="both"/>
        <w:rPr>
          <w:sz w:val="21"/>
          <w:szCs w:val="21"/>
        </w:rPr>
      </w:pPr>
      <w:r w:rsidRPr="00283500">
        <w:rPr>
          <w:sz w:val="21"/>
          <w:szCs w:val="21"/>
        </w:rPr>
        <w:t>Le tableau ci-dessus fait la synthèse des activités proposées dans le cadre de ce plan de gestion des pestes et pesticides.</w:t>
      </w:r>
    </w:p>
    <w:tbl>
      <w:tblPr>
        <w:tblW w:w="0" w:type="auto"/>
        <w:tblInd w:w="10" w:type="dxa"/>
        <w:tblCellMar>
          <w:left w:w="0" w:type="dxa"/>
          <w:right w:w="0" w:type="dxa"/>
        </w:tblCellMar>
        <w:tblLook w:val="04A0" w:firstRow="1" w:lastRow="0" w:firstColumn="1" w:lastColumn="0" w:noHBand="0" w:noVBand="1"/>
      </w:tblPr>
      <w:tblGrid>
        <w:gridCol w:w="3263"/>
        <w:gridCol w:w="3084"/>
        <w:gridCol w:w="2735"/>
      </w:tblGrid>
      <w:tr w:rsidR="00B240AC" w:rsidRPr="00260B47" w:rsidTr="00092794">
        <w:trPr>
          <w:trHeight w:val="236"/>
        </w:trPr>
        <w:tc>
          <w:tcPr>
            <w:tcW w:w="0" w:type="auto"/>
            <w:tcBorders>
              <w:top w:val="single" w:sz="8" w:space="0" w:color="auto"/>
              <w:left w:val="single" w:sz="8" w:space="0" w:color="auto"/>
              <w:bottom w:val="single" w:sz="8" w:space="0" w:color="auto"/>
              <w:right w:val="single" w:sz="8" w:space="0" w:color="auto"/>
            </w:tcBorders>
            <w:vAlign w:val="bottom"/>
          </w:tcPr>
          <w:p w:rsidR="00224B2F" w:rsidRPr="00260B47" w:rsidRDefault="00224B2F" w:rsidP="00D75995">
            <w:pPr>
              <w:ind w:left="120" w:right="-50"/>
              <w:rPr>
                <w:sz w:val="21"/>
                <w:szCs w:val="21"/>
              </w:rPr>
            </w:pPr>
            <w:r w:rsidRPr="00260B47">
              <w:rPr>
                <w:rFonts w:eastAsia="Times New Roman"/>
                <w:sz w:val="21"/>
                <w:szCs w:val="21"/>
              </w:rPr>
              <w:t>Activité principale</w:t>
            </w:r>
          </w:p>
        </w:tc>
        <w:tc>
          <w:tcPr>
            <w:tcW w:w="0" w:type="auto"/>
            <w:tcBorders>
              <w:top w:val="single" w:sz="8" w:space="0" w:color="auto"/>
              <w:bottom w:val="single" w:sz="8" w:space="0" w:color="auto"/>
              <w:right w:val="single" w:sz="8" w:space="0" w:color="auto"/>
            </w:tcBorders>
            <w:vAlign w:val="bottom"/>
          </w:tcPr>
          <w:p w:rsidR="00224B2F" w:rsidRPr="00260B47" w:rsidRDefault="00224B2F" w:rsidP="00D75995">
            <w:pPr>
              <w:ind w:left="80" w:right="-50"/>
              <w:rPr>
                <w:sz w:val="21"/>
                <w:szCs w:val="21"/>
              </w:rPr>
            </w:pPr>
            <w:r w:rsidRPr="00260B47">
              <w:rPr>
                <w:rFonts w:eastAsia="Times New Roman"/>
                <w:sz w:val="21"/>
                <w:szCs w:val="21"/>
              </w:rPr>
              <w:t>Détail</w:t>
            </w:r>
          </w:p>
        </w:tc>
        <w:tc>
          <w:tcPr>
            <w:tcW w:w="0" w:type="auto"/>
            <w:tcBorders>
              <w:top w:val="single" w:sz="8" w:space="0" w:color="auto"/>
              <w:bottom w:val="single" w:sz="8" w:space="0" w:color="auto"/>
              <w:right w:val="single" w:sz="8" w:space="0" w:color="auto"/>
            </w:tcBorders>
          </w:tcPr>
          <w:p w:rsidR="00224B2F" w:rsidRPr="00260B47" w:rsidRDefault="00B240AC" w:rsidP="00D75995">
            <w:pPr>
              <w:ind w:left="80" w:right="-50"/>
              <w:rPr>
                <w:rFonts w:eastAsia="Times New Roman"/>
                <w:sz w:val="21"/>
                <w:szCs w:val="21"/>
              </w:rPr>
            </w:pPr>
            <w:r>
              <w:rPr>
                <w:rFonts w:eastAsia="Times New Roman"/>
                <w:sz w:val="21"/>
                <w:szCs w:val="21"/>
              </w:rPr>
              <w:t>Période</w:t>
            </w:r>
          </w:p>
        </w:tc>
      </w:tr>
      <w:tr w:rsidR="00B240AC" w:rsidRPr="00260B47" w:rsidTr="00092794">
        <w:trPr>
          <w:trHeight w:val="216"/>
        </w:trPr>
        <w:tc>
          <w:tcPr>
            <w:tcW w:w="0" w:type="auto"/>
            <w:tcBorders>
              <w:left w:val="single" w:sz="8" w:space="0" w:color="auto"/>
              <w:right w:val="single" w:sz="8" w:space="0" w:color="auto"/>
            </w:tcBorders>
            <w:vAlign w:val="bottom"/>
          </w:tcPr>
          <w:p w:rsidR="00224B2F" w:rsidRPr="00260B47" w:rsidRDefault="00224B2F" w:rsidP="00D75995">
            <w:pPr>
              <w:spacing w:line="216" w:lineRule="exact"/>
              <w:ind w:left="120" w:right="-50"/>
              <w:rPr>
                <w:sz w:val="21"/>
                <w:szCs w:val="21"/>
              </w:rPr>
            </w:pPr>
            <w:r w:rsidRPr="00260B47">
              <w:rPr>
                <w:rFonts w:eastAsia="Times New Roman"/>
                <w:sz w:val="21"/>
                <w:szCs w:val="21"/>
              </w:rPr>
              <w:t>La  formation  et  le  renforcement  des  capacités  des acteurs</w:t>
            </w:r>
          </w:p>
        </w:tc>
        <w:tc>
          <w:tcPr>
            <w:tcW w:w="0" w:type="auto"/>
            <w:tcBorders>
              <w:right w:val="single" w:sz="8" w:space="0" w:color="auto"/>
            </w:tcBorders>
            <w:vAlign w:val="bottom"/>
          </w:tcPr>
          <w:p w:rsidR="00224B2F" w:rsidRPr="00260B47" w:rsidRDefault="00224B2F" w:rsidP="00D75995">
            <w:pPr>
              <w:spacing w:line="216" w:lineRule="exact"/>
              <w:ind w:left="80" w:right="-50"/>
              <w:rPr>
                <w:sz w:val="21"/>
                <w:szCs w:val="21"/>
              </w:rPr>
            </w:pPr>
            <w:r w:rsidRPr="00260B47">
              <w:rPr>
                <w:rFonts w:eastAsia="Times New Roman"/>
                <w:sz w:val="21"/>
                <w:szCs w:val="21"/>
              </w:rPr>
              <w:t>Formation agriculteurs, applicateurs informels, sur la</w:t>
            </w:r>
          </w:p>
        </w:tc>
        <w:tc>
          <w:tcPr>
            <w:tcW w:w="0" w:type="auto"/>
            <w:tcBorders>
              <w:right w:val="single" w:sz="8" w:space="0" w:color="auto"/>
            </w:tcBorders>
          </w:tcPr>
          <w:p w:rsidR="00224B2F" w:rsidRPr="00260B47" w:rsidRDefault="00B240AC" w:rsidP="00D75995">
            <w:pPr>
              <w:spacing w:line="216" w:lineRule="exact"/>
              <w:ind w:left="80" w:right="-50"/>
              <w:rPr>
                <w:rFonts w:eastAsia="Times New Roman"/>
                <w:sz w:val="21"/>
                <w:szCs w:val="21"/>
              </w:rPr>
            </w:pPr>
            <w:r>
              <w:rPr>
                <w:rFonts w:eastAsia="Times New Roman"/>
                <w:sz w:val="21"/>
                <w:szCs w:val="21"/>
              </w:rPr>
              <w:t>Avant la niveau en m</w:t>
            </w:r>
            <w:r w:rsidR="000D0CB2">
              <w:rPr>
                <w:rFonts w:eastAsia="Times New Roman"/>
                <w:sz w:val="21"/>
                <w:szCs w:val="21"/>
              </w:rPr>
              <w:t>ise en œuvre des activités</w:t>
            </w:r>
            <w:r w:rsidR="00426327">
              <w:rPr>
                <w:rFonts w:eastAsia="Times New Roman"/>
                <w:sz w:val="21"/>
                <w:szCs w:val="21"/>
              </w:rPr>
              <w:t xml:space="preserve"> d</w:t>
            </w:r>
            <w:r w:rsidR="000D0CB2">
              <w:rPr>
                <w:rFonts w:eastAsia="Times New Roman"/>
                <w:sz w:val="21"/>
                <w:szCs w:val="21"/>
              </w:rPr>
              <w:t>u projet</w:t>
            </w:r>
          </w:p>
        </w:tc>
      </w:tr>
      <w:tr w:rsidR="00B240AC" w:rsidRPr="00260B47" w:rsidTr="00092794">
        <w:trPr>
          <w:trHeight w:val="246"/>
        </w:trPr>
        <w:tc>
          <w:tcPr>
            <w:tcW w:w="0" w:type="auto"/>
            <w:tcBorders>
              <w:left w:val="single" w:sz="8" w:space="0" w:color="auto"/>
              <w:right w:val="single" w:sz="8" w:space="0" w:color="auto"/>
            </w:tcBorders>
            <w:vAlign w:val="bottom"/>
          </w:tcPr>
          <w:p w:rsidR="00224B2F" w:rsidRPr="00260B47" w:rsidRDefault="00224B2F" w:rsidP="00D75995">
            <w:pPr>
              <w:ind w:right="-50"/>
              <w:rPr>
                <w:sz w:val="21"/>
                <w:szCs w:val="21"/>
              </w:rPr>
            </w:pPr>
          </w:p>
        </w:tc>
        <w:tc>
          <w:tcPr>
            <w:tcW w:w="0" w:type="auto"/>
            <w:tcBorders>
              <w:right w:val="single" w:sz="8" w:space="0" w:color="auto"/>
            </w:tcBorders>
            <w:vAlign w:val="bottom"/>
          </w:tcPr>
          <w:p w:rsidR="00224B2F" w:rsidRPr="00260B47" w:rsidRDefault="00B240AC" w:rsidP="00D75995">
            <w:pPr>
              <w:ind w:left="80" w:right="-50"/>
              <w:rPr>
                <w:sz w:val="21"/>
                <w:szCs w:val="21"/>
              </w:rPr>
            </w:pPr>
            <w:r w:rsidRPr="00260B47">
              <w:rPr>
                <w:rFonts w:eastAsia="Times New Roman"/>
                <w:sz w:val="21"/>
                <w:szCs w:val="21"/>
              </w:rPr>
              <w:t>Gestion</w:t>
            </w:r>
            <w:r w:rsidR="00224B2F" w:rsidRPr="00260B47">
              <w:rPr>
                <w:rFonts w:eastAsia="Times New Roman"/>
                <w:sz w:val="21"/>
                <w:szCs w:val="21"/>
              </w:rPr>
              <w:t xml:space="preserve"> des pesticides /</w:t>
            </w:r>
          </w:p>
        </w:tc>
        <w:tc>
          <w:tcPr>
            <w:tcW w:w="0" w:type="auto"/>
            <w:tcBorders>
              <w:right w:val="single" w:sz="8" w:space="0" w:color="auto"/>
            </w:tcBorders>
          </w:tcPr>
          <w:p w:rsidR="00224B2F" w:rsidRPr="00260B47" w:rsidRDefault="00224B2F" w:rsidP="00D75995">
            <w:pPr>
              <w:ind w:left="80" w:right="-50"/>
              <w:rPr>
                <w:rFonts w:eastAsia="Times New Roman"/>
                <w:sz w:val="21"/>
                <w:szCs w:val="21"/>
              </w:rPr>
            </w:pPr>
          </w:p>
        </w:tc>
      </w:tr>
      <w:tr w:rsidR="00B240AC" w:rsidRPr="00260B47" w:rsidTr="00092794">
        <w:trPr>
          <w:trHeight w:val="228"/>
        </w:trPr>
        <w:tc>
          <w:tcPr>
            <w:tcW w:w="0" w:type="auto"/>
            <w:tcBorders>
              <w:left w:val="single" w:sz="8" w:space="0" w:color="auto"/>
              <w:right w:val="single" w:sz="8" w:space="0" w:color="auto"/>
            </w:tcBorders>
            <w:vAlign w:val="bottom"/>
          </w:tcPr>
          <w:p w:rsidR="00224B2F" w:rsidRPr="00260B47" w:rsidRDefault="00224B2F" w:rsidP="00D75995">
            <w:pPr>
              <w:ind w:right="-50"/>
              <w:rPr>
                <w:sz w:val="21"/>
                <w:szCs w:val="21"/>
              </w:rPr>
            </w:pPr>
          </w:p>
        </w:tc>
        <w:tc>
          <w:tcPr>
            <w:tcW w:w="0" w:type="auto"/>
            <w:tcBorders>
              <w:right w:val="single" w:sz="8" w:space="0" w:color="auto"/>
            </w:tcBorders>
            <w:vAlign w:val="bottom"/>
          </w:tcPr>
          <w:p w:rsidR="00224B2F" w:rsidRPr="00260B47" w:rsidRDefault="00224B2F" w:rsidP="00D75995">
            <w:pPr>
              <w:spacing w:line="228" w:lineRule="exact"/>
              <w:ind w:left="80" w:right="-50"/>
              <w:rPr>
                <w:sz w:val="21"/>
                <w:szCs w:val="21"/>
              </w:rPr>
            </w:pPr>
            <w:r w:rsidRPr="00260B47">
              <w:rPr>
                <w:rFonts w:eastAsia="Times New Roman"/>
                <w:sz w:val="21"/>
                <w:szCs w:val="21"/>
              </w:rPr>
              <w:t>Formation agents DPV</w:t>
            </w:r>
          </w:p>
        </w:tc>
        <w:tc>
          <w:tcPr>
            <w:tcW w:w="0" w:type="auto"/>
            <w:tcBorders>
              <w:right w:val="single" w:sz="8" w:space="0" w:color="auto"/>
            </w:tcBorders>
          </w:tcPr>
          <w:p w:rsidR="00224B2F" w:rsidRPr="00260B47" w:rsidRDefault="00224B2F" w:rsidP="00D75995">
            <w:pPr>
              <w:spacing w:line="228" w:lineRule="exact"/>
              <w:ind w:left="80" w:right="-50"/>
              <w:rPr>
                <w:rFonts w:eastAsia="Times New Roman"/>
                <w:sz w:val="21"/>
                <w:szCs w:val="21"/>
              </w:rPr>
            </w:pPr>
          </w:p>
        </w:tc>
      </w:tr>
      <w:tr w:rsidR="00B240AC" w:rsidRPr="00260B47" w:rsidTr="00092794">
        <w:trPr>
          <w:trHeight w:val="239"/>
        </w:trPr>
        <w:tc>
          <w:tcPr>
            <w:tcW w:w="0" w:type="auto"/>
            <w:tcBorders>
              <w:left w:val="single" w:sz="8" w:space="0" w:color="auto"/>
              <w:bottom w:val="single" w:sz="8" w:space="0" w:color="auto"/>
              <w:right w:val="single" w:sz="8" w:space="0" w:color="auto"/>
            </w:tcBorders>
            <w:vAlign w:val="bottom"/>
          </w:tcPr>
          <w:p w:rsidR="00224B2F" w:rsidRPr="00260B47" w:rsidRDefault="00224B2F" w:rsidP="00D75995">
            <w:pPr>
              <w:ind w:right="-50"/>
              <w:rPr>
                <w:sz w:val="21"/>
                <w:szCs w:val="21"/>
              </w:rPr>
            </w:pPr>
          </w:p>
        </w:tc>
        <w:tc>
          <w:tcPr>
            <w:tcW w:w="0" w:type="auto"/>
            <w:tcBorders>
              <w:bottom w:val="single" w:sz="8" w:space="0" w:color="auto"/>
              <w:right w:val="single" w:sz="8" w:space="0" w:color="auto"/>
            </w:tcBorders>
            <w:vAlign w:val="bottom"/>
          </w:tcPr>
          <w:p w:rsidR="00224B2F" w:rsidRPr="00260B47" w:rsidRDefault="00224B2F" w:rsidP="00D75995">
            <w:pPr>
              <w:ind w:right="-50"/>
              <w:rPr>
                <w:sz w:val="21"/>
                <w:szCs w:val="21"/>
              </w:rPr>
            </w:pPr>
          </w:p>
        </w:tc>
        <w:tc>
          <w:tcPr>
            <w:tcW w:w="0" w:type="auto"/>
            <w:tcBorders>
              <w:bottom w:val="single" w:sz="8" w:space="0" w:color="auto"/>
              <w:right w:val="single" w:sz="8" w:space="0" w:color="auto"/>
            </w:tcBorders>
          </w:tcPr>
          <w:p w:rsidR="00224B2F" w:rsidRPr="00260B47" w:rsidRDefault="00224B2F" w:rsidP="00D75995">
            <w:pPr>
              <w:ind w:right="-50"/>
              <w:rPr>
                <w:sz w:val="21"/>
                <w:szCs w:val="21"/>
              </w:rPr>
            </w:pPr>
          </w:p>
        </w:tc>
      </w:tr>
      <w:tr w:rsidR="00B240AC" w:rsidRPr="00260B47" w:rsidTr="00092794">
        <w:trPr>
          <w:trHeight w:val="212"/>
        </w:trPr>
        <w:tc>
          <w:tcPr>
            <w:tcW w:w="0" w:type="auto"/>
            <w:tcBorders>
              <w:left w:val="single" w:sz="8" w:space="0" w:color="auto"/>
              <w:right w:val="single" w:sz="8" w:space="0" w:color="auto"/>
            </w:tcBorders>
            <w:vAlign w:val="bottom"/>
          </w:tcPr>
          <w:p w:rsidR="00224B2F" w:rsidRPr="00260B47" w:rsidRDefault="00224B2F" w:rsidP="00D75995">
            <w:pPr>
              <w:spacing w:line="211" w:lineRule="exact"/>
              <w:ind w:left="120" w:right="-50"/>
              <w:rPr>
                <w:sz w:val="21"/>
                <w:szCs w:val="21"/>
              </w:rPr>
            </w:pPr>
            <w:r w:rsidRPr="00260B47">
              <w:rPr>
                <w:rFonts w:eastAsia="Times New Roman"/>
                <w:sz w:val="21"/>
                <w:szCs w:val="21"/>
              </w:rPr>
              <w:t>Promotion  de  l’usage  des  stratégies  alternatives  de lutte</w:t>
            </w:r>
          </w:p>
        </w:tc>
        <w:tc>
          <w:tcPr>
            <w:tcW w:w="0" w:type="auto"/>
            <w:tcBorders>
              <w:right w:val="single" w:sz="8" w:space="0" w:color="auto"/>
            </w:tcBorders>
            <w:vAlign w:val="bottom"/>
          </w:tcPr>
          <w:p w:rsidR="00224B2F" w:rsidRPr="00260B47" w:rsidRDefault="00224B2F" w:rsidP="00D75995">
            <w:pPr>
              <w:spacing w:line="211" w:lineRule="exact"/>
              <w:ind w:left="80" w:right="-50"/>
              <w:rPr>
                <w:sz w:val="21"/>
                <w:szCs w:val="21"/>
              </w:rPr>
            </w:pPr>
            <w:r w:rsidRPr="00260B47">
              <w:rPr>
                <w:rFonts w:eastAsia="Times New Roman"/>
                <w:sz w:val="21"/>
                <w:szCs w:val="21"/>
              </w:rPr>
              <w:t>Mise  en  œuvre  GIPD  /  Champs  écoles  paysans :</w:t>
            </w:r>
          </w:p>
        </w:tc>
        <w:tc>
          <w:tcPr>
            <w:tcW w:w="0" w:type="auto"/>
            <w:tcBorders>
              <w:right w:val="single" w:sz="8" w:space="0" w:color="auto"/>
            </w:tcBorders>
          </w:tcPr>
          <w:p w:rsidR="00224B2F" w:rsidRPr="00260B47" w:rsidRDefault="00224B2F" w:rsidP="00D75995">
            <w:pPr>
              <w:spacing w:line="211" w:lineRule="exact"/>
              <w:ind w:left="80" w:right="-50"/>
              <w:rPr>
                <w:rFonts w:eastAsia="Times New Roman"/>
                <w:sz w:val="21"/>
                <w:szCs w:val="21"/>
              </w:rPr>
            </w:pPr>
          </w:p>
        </w:tc>
      </w:tr>
      <w:tr w:rsidR="00B240AC" w:rsidRPr="00260B47" w:rsidTr="00092794">
        <w:trPr>
          <w:trHeight w:val="230"/>
        </w:trPr>
        <w:tc>
          <w:tcPr>
            <w:tcW w:w="0" w:type="auto"/>
            <w:tcBorders>
              <w:left w:val="single" w:sz="8" w:space="0" w:color="auto"/>
              <w:right w:val="single" w:sz="8" w:space="0" w:color="auto"/>
            </w:tcBorders>
            <w:vAlign w:val="bottom"/>
          </w:tcPr>
          <w:p w:rsidR="00224B2F" w:rsidRPr="00260B47" w:rsidRDefault="00224B2F" w:rsidP="00D75995">
            <w:pPr>
              <w:ind w:left="120" w:right="-50"/>
              <w:rPr>
                <w:sz w:val="21"/>
                <w:szCs w:val="21"/>
              </w:rPr>
            </w:pPr>
          </w:p>
        </w:tc>
        <w:tc>
          <w:tcPr>
            <w:tcW w:w="0" w:type="auto"/>
            <w:tcBorders>
              <w:right w:val="single" w:sz="8" w:space="0" w:color="auto"/>
            </w:tcBorders>
            <w:vAlign w:val="bottom"/>
          </w:tcPr>
          <w:p w:rsidR="00224B2F" w:rsidRPr="00260B47" w:rsidRDefault="00224B2F" w:rsidP="00D75995">
            <w:pPr>
              <w:ind w:left="80" w:right="-50"/>
              <w:rPr>
                <w:sz w:val="21"/>
                <w:szCs w:val="21"/>
              </w:rPr>
            </w:pPr>
            <w:r w:rsidRPr="00260B47">
              <w:rPr>
                <w:rFonts w:eastAsia="Times New Roman"/>
                <w:sz w:val="21"/>
                <w:szCs w:val="21"/>
              </w:rPr>
              <w:t>Formation des formateurs, formation des agriculteurs,</w:t>
            </w:r>
          </w:p>
        </w:tc>
        <w:tc>
          <w:tcPr>
            <w:tcW w:w="0" w:type="auto"/>
            <w:tcBorders>
              <w:right w:val="single" w:sz="8" w:space="0" w:color="auto"/>
            </w:tcBorders>
          </w:tcPr>
          <w:p w:rsidR="00224B2F" w:rsidRPr="00260B47" w:rsidRDefault="00BC1613" w:rsidP="00D75995">
            <w:pPr>
              <w:ind w:left="80" w:right="-50"/>
              <w:rPr>
                <w:rFonts w:eastAsia="Times New Roman"/>
                <w:sz w:val="21"/>
                <w:szCs w:val="21"/>
              </w:rPr>
            </w:pPr>
            <w:r>
              <w:rPr>
                <w:rFonts w:eastAsia="Times New Roman"/>
                <w:sz w:val="21"/>
                <w:szCs w:val="21"/>
              </w:rPr>
              <w:t>Avant la niveau en mise en œuvre des activités</w:t>
            </w:r>
            <w:r w:rsidR="00426327">
              <w:rPr>
                <w:rFonts w:eastAsia="Times New Roman"/>
                <w:sz w:val="21"/>
                <w:szCs w:val="21"/>
              </w:rPr>
              <w:t xml:space="preserve"> d</w:t>
            </w:r>
            <w:r>
              <w:rPr>
                <w:rFonts w:eastAsia="Times New Roman"/>
                <w:sz w:val="21"/>
                <w:szCs w:val="21"/>
              </w:rPr>
              <w:t>u projet</w:t>
            </w:r>
          </w:p>
        </w:tc>
      </w:tr>
      <w:tr w:rsidR="00B240AC" w:rsidRPr="00260B47" w:rsidTr="00092794">
        <w:trPr>
          <w:trHeight w:val="235"/>
        </w:trPr>
        <w:tc>
          <w:tcPr>
            <w:tcW w:w="0" w:type="auto"/>
            <w:tcBorders>
              <w:left w:val="single" w:sz="8" w:space="0" w:color="auto"/>
              <w:bottom w:val="single" w:sz="8" w:space="0" w:color="auto"/>
              <w:right w:val="single" w:sz="8" w:space="0" w:color="auto"/>
            </w:tcBorders>
            <w:vAlign w:val="bottom"/>
          </w:tcPr>
          <w:p w:rsidR="00224B2F" w:rsidRPr="00260B47" w:rsidRDefault="00224B2F" w:rsidP="00D75995">
            <w:pPr>
              <w:ind w:right="-50"/>
              <w:rPr>
                <w:sz w:val="21"/>
                <w:szCs w:val="21"/>
              </w:rPr>
            </w:pPr>
          </w:p>
        </w:tc>
        <w:tc>
          <w:tcPr>
            <w:tcW w:w="0" w:type="auto"/>
            <w:tcBorders>
              <w:bottom w:val="single" w:sz="8" w:space="0" w:color="auto"/>
              <w:right w:val="single" w:sz="8" w:space="0" w:color="auto"/>
            </w:tcBorders>
            <w:vAlign w:val="bottom"/>
          </w:tcPr>
          <w:p w:rsidR="00224B2F" w:rsidRPr="00260B47" w:rsidRDefault="00224B2F" w:rsidP="00D75995">
            <w:pPr>
              <w:ind w:left="80" w:right="-50"/>
              <w:rPr>
                <w:sz w:val="21"/>
                <w:szCs w:val="21"/>
              </w:rPr>
            </w:pPr>
            <w:r w:rsidRPr="00260B47">
              <w:rPr>
                <w:rFonts w:eastAsia="Times New Roman"/>
                <w:sz w:val="21"/>
                <w:szCs w:val="21"/>
              </w:rPr>
              <w:t>Champs d’expérimentation, Matériels didactiques</w:t>
            </w:r>
          </w:p>
        </w:tc>
        <w:tc>
          <w:tcPr>
            <w:tcW w:w="0" w:type="auto"/>
            <w:tcBorders>
              <w:bottom w:val="single" w:sz="8" w:space="0" w:color="auto"/>
              <w:right w:val="single" w:sz="8" w:space="0" w:color="auto"/>
            </w:tcBorders>
          </w:tcPr>
          <w:p w:rsidR="00224B2F" w:rsidRPr="00260B47" w:rsidRDefault="00224B2F" w:rsidP="00D75995">
            <w:pPr>
              <w:ind w:left="80" w:right="-50"/>
              <w:rPr>
                <w:rFonts w:eastAsia="Times New Roman"/>
                <w:sz w:val="21"/>
                <w:szCs w:val="21"/>
              </w:rPr>
            </w:pPr>
          </w:p>
        </w:tc>
      </w:tr>
      <w:tr w:rsidR="00B240AC" w:rsidRPr="00260B47" w:rsidTr="00092794">
        <w:trPr>
          <w:trHeight w:val="216"/>
        </w:trPr>
        <w:tc>
          <w:tcPr>
            <w:tcW w:w="0" w:type="auto"/>
            <w:tcBorders>
              <w:left w:val="single" w:sz="8" w:space="0" w:color="auto"/>
              <w:right w:val="single" w:sz="8" w:space="0" w:color="auto"/>
            </w:tcBorders>
            <w:vAlign w:val="bottom"/>
          </w:tcPr>
          <w:p w:rsidR="00224B2F" w:rsidRPr="00260B47" w:rsidRDefault="00224B2F" w:rsidP="00D75995">
            <w:pPr>
              <w:spacing w:line="216" w:lineRule="exact"/>
              <w:ind w:left="120" w:right="-50"/>
              <w:rPr>
                <w:sz w:val="21"/>
                <w:szCs w:val="21"/>
              </w:rPr>
            </w:pPr>
            <w:r w:rsidRPr="00260B47">
              <w:rPr>
                <w:rFonts w:eastAsia="Times New Roman"/>
                <w:sz w:val="21"/>
                <w:szCs w:val="21"/>
              </w:rPr>
              <w:t>Sensibilisation à la bonne gestion des pesticides</w:t>
            </w:r>
          </w:p>
        </w:tc>
        <w:tc>
          <w:tcPr>
            <w:tcW w:w="0" w:type="auto"/>
            <w:tcBorders>
              <w:right w:val="single" w:sz="8" w:space="0" w:color="auto"/>
            </w:tcBorders>
            <w:vAlign w:val="bottom"/>
          </w:tcPr>
          <w:p w:rsidR="00224B2F" w:rsidRPr="00260B47" w:rsidRDefault="00BC1613" w:rsidP="00D75995">
            <w:pPr>
              <w:spacing w:line="216" w:lineRule="exact"/>
              <w:ind w:left="80" w:right="-50"/>
              <w:rPr>
                <w:sz w:val="21"/>
                <w:szCs w:val="21"/>
              </w:rPr>
            </w:pPr>
            <w:r w:rsidRPr="00260B47">
              <w:rPr>
                <w:rFonts w:eastAsia="Times New Roman"/>
                <w:sz w:val="21"/>
                <w:szCs w:val="21"/>
              </w:rPr>
              <w:t>Vulgarisation du manuel de bonne</w:t>
            </w:r>
            <w:r w:rsidR="00224B2F" w:rsidRPr="00260B47">
              <w:rPr>
                <w:rFonts w:eastAsia="Times New Roman"/>
                <w:sz w:val="21"/>
                <w:szCs w:val="21"/>
              </w:rPr>
              <w:t xml:space="preserve">  pratique  du</w:t>
            </w:r>
          </w:p>
        </w:tc>
        <w:tc>
          <w:tcPr>
            <w:tcW w:w="0" w:type="auto"/>
            <w:tcBorders>
              <w:right w:val="single" w:sz="8" w:space="0" w:color="auto"/>
            </w:tcBorders>
          </w:tcPr>
          <w:p w:rsidR="00224B2F" w:rsidRPr="00260B47" w:rsidRDefault="00BC1613" w:rsidP="00D75995">
            <w:pPr>
              <w:spacing w:line="216" w:lineRule="exact"/>
              <w:ind w:left="80" w:right="-50"/>
              <w:rPr>
                <w:rFonts w:eastAsia="Times New Roman"/>
                <w:sz w:val="21"/>
                <w:szCs w:val="21"/>
              </w:rPr>
            </w:pPr>
            <w:r>
              <w:rPr>
                <w:rFonts w:eastAsia="Times New Roman"/>
                <w:sz w:val="21"/>
                <w:szCs w:val="21"/>
              </w:rPr>
              <w:t>Pendant la  mise en œuvre du projet</w:t>
            </w:r>
          </w:p>
        </w:tc>
      </w:tr>
      <w:tr w:rsidR="00B240AC" w:rsidRPr="00260B47" w:rsidTr="00092794">
        <w:trPr>
          <w:trHeight w:val="233"/>
        </w:trPr>
        <w:tc>
          <w:tcPr>
            <w:tcW w:w="0" w:type="auto"/>
            <w:tcBorders>
              <w:left w:val="single" w:sz="8" w:space="0" w:color="auto"/>
              <w:bottom w:val="single" w:sz="8" w:space="0" w:color="auto"/>
              <w:right w:val="single" w:sz="8" w:space="0" w:color="auto"/>
            </w:tcBorders>
            <w:vAlign w:val="bottom"/>
          </w:tcPr>
          <w:p w:rsidR="00224B2F" w:rsidRPr="00260B47" w:rsidRDefault="00224B2F" w:rsidP="00D75995">
            <w:pPr>
              <w:ind w:right="-50"/>
              <w:rPr>
                <w:sz w:val="21"/>
                <w:szCs w:val="21"/>
              </w:rPr>
            </w:pPr>
          </w:p>
        </w:tc>
        <w:tc>
          <w:tcPr>
            <w:tcW w:w="0" w:type="auto"/>
            <w:tcBorders>
              <w:bottom w:val="single" w:sz="8" w:space="0" w:color="auto"/>
              <w:right w:val="single" w:sz="8" w:space="0" w:color="auto"/>
            </w:tcBorders>
            <w:vAlign w:val="bottom"/>
          </w:tcPr>
          <w:p w:rsidR="00224B2F" w:rsidRPr="00260B47" w:rsidRDefault="00224B2F" w:rsidP="00D75995">
            <w:pPr>
              <w:ind w:left="80" w:right="-50"/>
              <w:rPr>
                <w:sz w:val="21"/>
                <w:szCs w:val="21"/>
              </w:rPr>
            </w:pPr>
            <w:r w:rsidRPr="00260B47">
              <w:rPr>
                <w:rFonts w:eastAsia="Times New Roman"/>
                <w:sz w:val="21"/>
                <w:szCs w:val="21"/>
              </w:rPr>
              <w:t>PUSA</w:t>
            </w:r>
          </w:p>
        </w:tc>
        <w:tc>
          <w:tcPr>
            <w:tcW w:w="0" w:type="auto"/>
            <w:tcBorders>
              <w:bottom w:val="single" w:sz="8" w:space="0" w:color="auto"/>
              <w:right w:val="single" w:sz="8" w:space="0" w:color="auto"/>
            </w:tcBorders>
          </w:tcPr>
          <w:p w:rsidR="00224B2F" w:rsidRPr="00260B47" w:rsidRDefault="00224B2F" w:rsidP="00D75995">
            <w:pPr>
              <w:ind w:left="80" w:right="-50"/>
              <w:rPr>
                <w:rFonts w:eastAsia="Times New Roman"/>
                <w:sz w:val="21"/>
                <w:szCs w:val="21"/>
              </w:rPr>
            </w:pPr>
          </w:p>
        </w:tc>
      </w:tr>
    </w:tbl>
    <w:p w:rsidR="00577E78" w:rsidRDefault="00577E78"/>
    <w:tbl>
      <w:tblPr>
        <w:tblW w:w="0" w:type="auto"/>
        <w:tblInd w:w="10" w:type="dxa"/>
        <w:tblCellMar>
          <w:left w:w="0" w:type="dxa"/>
          <w:right w:w="0" w:type="dxa"/>
        </w:tblCellMar>
        <w:tblLook w:val="04A0" w:firstRow="1" w:lastRow="0" w:firstColumn="1" w:lastColumn="0" w:noHBand="0" w:noVBand="1"/>
      </w:tblPr>
      <w:tblGrid>
        <w:gridCol w:w="3722"/>
        <w:gridCol w:w="3374"/>
        <w:gridCol w:w="1986"/>
      </w:tblGrid>
      <w:tr w:rsidR="00B240AC" w:rsidRPr="00260B47" w:rsidTr="00092794">
        <w:trPr>
          <w:trHeight w:val="217"/>
        </w:trPr>
        <w:tc>
          <w:tcPr>
            <w:tcW w:w="0" w:type="auto"/>
            <w:tcBorders>
              <w:left w:val="single" w:sz="8" w:space="0" w:color="auto"/>
              <w:right w:val="single" w:sz="8" w:space="0" w:color="auto"/>
            </w:tcBorders>
            <w:vAlign w:val="bottom"/>
          </w:tcPr>
          <w:p w:rsidR="00224B2F" w:rsidRPr="00260B47" w:rsidRDefault="00224B2F" w:rsidP="00D75995">
            <w:pPr>
              <w:spacing w:line="217" w:lineRule="exact"/>
              <w:ind w:left="120" w:right="-50"/>
              <w:rPr>
                <w:sz w:val="21"/>
                <w:szCs w:val="21"/>
              </w:rPr>
            </w:pPr>
            <w:r w:rsidRPr="00260B47">
              <w:rPr>
                <w:rFonts w:eastAsia="Times New Roman"/>
                <w:sz w:val="21"/>
                <w:szCs w:val="21"/>
              </w:rPr>
              <w:t>Formation   Sensibilisation   sur   la   Gestion   des</w:t>
            </w:r>
            <w:r w:rsidR="002F612B">
              <w:rPr>
                <w:rFonts w:eastAsia="Times New Roman"/>
                <w:sz w:val="21"/>
                <w:szCs w:val="21"/>
              </w:rPr>
              <w:t xml:space="preserve"> c</w:t>
            </w:r>
            <w:r w:rsidR="002F612B" w:rsidRPr="00260B47">
              <w:rPr>
                <w:rFonts w:eastAsia="Times New Roman"/>
                <w:sz w:val="21"/>
                <w:szCs w:val="21"/>
              </w:rPr>
              <w:t>ontenants vides</w:t>
            </w:r>
          </w:p>
        </w:tc>
        <w:tc>
          <w:tcPr>
            <w:tcW w:w="0" w:type="auto"/>
            <w:tcBorders>
              <w:right w:val="single" w:sz="8" w:space="0" w:color="auto"/>
            </w:tcBorders>
            <w:vAlign w:val="bottom"/>
          </w:tcPr>
          <w:p w:rsidR="00224B2F" w:rsidRPr="00260B47" w:rsidRDefault="00224B2F" w:rsidP="00D75995">
            <w:pPr>
              <w:spacing w:line="217" w:lineRule="exact"/>
              <w:ind w:left="80" w:right="-50"/>
              <w:rPr>
                <w:sz w:val="21"/>
                <w:szCs w:val="21"/>
              </w:rPr>
            </w:pPr>
            <w:r w:rsidRPr="00260B47">
              <w:rPr>
                <w:rFonts w:eastAsia="Times New Roman"/>
                <w:sz w:val="21"/>
                <w:szCs w:val="21"/>
              </w:rPr>
              <w:t>Formation  des  Organisations  de  producteurs  par  la DPV</w:t>
            </w:r>
          </w:p>
        </w:tc>
        <w:tc>
          <w:tcPr>
            <w:tcW w:w="0" w:type="auto"/>
            <w:tcBorders>
              <w:right w:val="single" w:sz="8" w:space="0" w:color="auto"/>
            </w:tcBorders>
          </w:tcPr>
          <w:p w:rsidR="00224B2F" w:rsidRPr="00260B47" w:rsidRDefault="00224B2F" w:rsidP="00D75995">
            <w:pPr>
              <w:spacing w:line="217" w:lineRule="exact"/>
              <w:ind w:left="80" w:right="-50"/>
              <w:rPr>
                <w:rFonts w:eastAsia="Times New Roman"/>
                <w:sz w:val="21"/>
                <w:szCs w:val="21"/>
              </w:rPr>
            </w:pPr>
          </w:p>
        </w:tc>
      </w:tr>
      <w:tr w:rsidR="00B240AC" w:rsidRPr="00260B47" w:rsidTr="00092794">
        <w:trPr>
          <w:trHeight w:val="229"/>
        </w:trPr>
        <w:tc>
          <w:tcPr>
            <w:tcW w:w="0" w:type="auto"/>
            <w:tcBorders>
              <w:left w:val="single" w:sz="8" w:space="0" w:color="auto"/>
              <w:right w:val="single" w:sz="8" w:space="0" w:color="auto"/>
            </w:tcBorders>
            <w:vAlign w:val="bottom"/>
          </w:tcPr>
          <w:p w:rsidR="00224B2F" w:rsidRPr="00260B47" w:rsidRDefault="00224B2F" w:rsidP="00345951">
            <w:pPr>
              <w:spacing w:line="229" w:lineRule="exact"/>
              <w:ind w:right="-50"/>
              <w:rPr>
                <w:sz w:val="21"/>
                <w:szCs w:val="21"/>
              </w:rPr>
            </w:pPr>
          </w:p>
        </w:tc>
        <w:tc>
          <w:tcPr>
            <w:tcW w:w="0" w:type="auto"/>
            <w:tcBorders>
              <w:right w:val="single" w:sz="8" w:space="0" w:color="auto"/>
            </w:tcBorders>
            <w:vAlign w:val="bottom"/>
          </w:tcPr>
          <w:p w:rsidR="00224B2F" w:rsidRPr="00260B47" w:rsidRDefault="00224B2F" w:rsidP="00D75995">
            <w:pPr>
              <w:spacing w:line="229" w:lineRule="exact"/>
              <w:ind w:left="80" w:right="-50"/>
              <w:rPr>
                <w:sz w:val="21"/>
                <w:szCs w:val="21"/>
              </w:rPr>
            </w:pPr>
          </w:p>
        </w:tc>
        <w:tc>
          <w:tcPr>
            <w:tcW w:w="0" w:type="auto"/>
            <w:tcBorders>
              <w:right w:val="single" w:sz="8" w:space="0" w:color="auto"/>
            </w:tcBorders>
          </w:tcPr>
          <w:p w:rsidR="00224B2F" w:rsidRPr="00260B47" w:rsidRDefault="00CD7D68" w:rsidP="00D75995">
            <w:pPr>
              <w:spacing w:line="229" w:lineRule="exact"/>
              <w:ind w:left="80" w:right="-50"/>
              <w:rPr>
                <w:sz w:val="21"/>
                <w:szCs w:val="21"/>
              </w:rPr>
            </w:pPr>
            <w:r>
              <w:rPr>
                <w:rFonts w:eastAsia="Times New Roman"/>
                <w:sz w:val="21"/>
                <w:szCs w:val="21"/>
              </w:rPr>
              <w:t>Pendant la  mise en œuvre du projet</w:t>
            </w:r>
          </w:p>
        </w:tc>
      </w:tr>
      <w:tr w:rsidR="00B240AC" w:rsidRPr="00260B47" w:rsidTr="00092794">
        <w:trPr>
          <w:trHeight w:val="239"/>
        </w:trPr>
        <w:tc>
          <w:tcPr>
            <w:tcW w:w="0" w:type="auto"/>
            <w:tcBorders>
              <w:left w:val="single" w:sz="8" w:space="0" w:color="auto"/>
              <w:bottom w:val="single" w:sz="8" w:space="0" w:color="auto"/>
              <w:right w:val="single" w:sz="8" w:space="0" w:color="auto"/>
            </w:tcBorders>
            <w:vAlign w:val="bottom"/>
          </w:tcPr>
          <w:p w:rsidR="00224B2F" w:rsidRPr="00260B47" w:rsidRDefault="00224B2F" w:rsidP="00D75995">
            <w:pPr>
              <w:ind w:right="-50"/>
              <w:rPr>
                <w:sz w:val="21"/>
                <w:szCs w:val="21"/>
              </w:rPr>
            </w:pPr>
          </w:p>
        </w:tc>
        <w:tc>
          <w:tcPr>
            <w:tcW w:w="0" w:type="auto"/>
            <w:tcBorders>
              <w:bottom w:val="single" w:sz="8" w:space="0" w:color="auto"/>
              <w:right w:val="single" w:sz="8" w:space="0" w:color="auto"/>
            </w:tcBorders>
            <w:vAlign w:val="bottom"/>
          </w:tcPr>
          <w:p w:rsidR="00224B2F" w:rsidRPr="00260B47" w:rsidRDefault="00224B2F" w:rsidP="00D75995">
            <w:pPr>
              <w:ind w:right="-50"/>
              <w:rPr>
                <w:sz w:val="21"/>
                <w:szCs w:val="21"/>
              </w:rPr>
            </w:pPr>
          </w:p>
        </w:tc>
        <w:tc>
          <w:tcPr>
            <w:tcW w:w="0" w:type="auto"/>
            <w:tcBorders>
              <w:bottom w:val="single" w:sz="8" w:space="0" w:color="auto"/>
              <w:right w:val="single" w:sz="8" w:space="0" w:color="auto"/>
            </w:tcBorders>
          </w:tcPr>
          <w:p w:rsidR="00224B2F" w:rsidRPr="00260B47" w:rsidRDefault="00224B2F" w:rsidP="00D75995">
            <w:pPr>
              <w:ind w:right="-50"/>
              <w:rPr>
                <w:sz w:val="21"/>
                <w:szCs w:val="21"/>
              </w:rPr>
            </w:pPr>
          </w:p>
        </w:tc>
      </w:tr>
      <w:tr w:rsidR="00B240AC" w:rsidRPr="00260B47" w:rsidTr="00092794">
        <w:trPr>
          <w:trHeight w:val="235"/>
        </w:trPr>
        <w:tc>
          <w:tcPr>
            <w:tcW w:w="0" w:type="auto"/>
            <w:tcBorders>
              <w:left w:val="single" w:sz="8" w:space="0" w:color="auto"/>
              <w:right w:val="single" w:sz="8" w:space="0" w:color="auto"/>
            </w:tcBorders>
            <w:vAlign w:val="bottom"/>
          </w:tcPr>
          <w:p w:rsidR="00224B2F" w:rsidRPr="00260B47" w:rsidRDefault="00224B2F" w:rsidP="00D75995">
            <w:pPr>
              <w:spacing w:line="235" w:lineRule="exact"/>
              <w:ind w:left="120" w:right="-50"/>
              <w:rPr>
                <w:sz w:val="21"/>
                <w:szCs w:val="21"/>
              </w:rPr>
            </w:pPr>
            <w:r w:rsidRPr="00260B47">
              <w:rPr>
                <w:rFonts w:eastAsia="Times New Roman"/>
                <w:sz w:val="21"/>
                <w:szCs w:val="21"/>
              </w:rPr>
              <w:t>Promotion de supports scientifiques et techniques</w:t>
            </w:r>
          </w:p>
        </w:tc>
        <w:tc>
          <w:tcPr>
            <w:tcW w:w="0" w:type="auto"/>
            <w:tcBorders>
              <w:right w:val="single" w:sz="8" w:space="0" w:color="auto"/>
            </w:tcBorders>
            <w:vAlign w:val="bottom"/>
          </w:tcPr>
          <w:p w:rsidR="00224B2F" w:rsidRPr="00260B47" w:rsidRDefault="00224B2F" w:rsidP="00D75995">
            <w:pPr>
              <w:spacing w:line="235" w:lineRule="exact"/>
              <w:ind w:left="80" w:right="-50"/>
              <w:rPr>
                <w:sz w:val="21"/>
                <w:szCs w:val="21"/>
              </w:rPr>
            </w:pPr>
            <w:r w:rsidRPr="00260B47">
              <w:rPr>
                <w:rFonts w:eastAsia="Times New Roman"/>
                <w:sz w:val="21"/>
                <w:szCs w:val="21"/>
              </w:rPr>
              <w:t>Elaboration   de   fiches   techniques,   mise   à</w:t>
            </w:r>
          </w:p>
        </w:tc>
        <w:tc>
          <w:tcPr>
            <w:tcW w:w="0" w:type="auto"/>
            <w:tcBorders>
              <w:right w:val="single" w:sz="8" w:space="0" w:color="auto"/>
            </w:tcBorders>
          </w:tcPr>
          <w:p w:rsidR="00224B2F" w:rsidRPr="00260B47" w:rsidRDefault="00CD7D68" w:rsidP="00D75995">
            <w:pPr>
              <w:spacing w:line="235" w:lineRule="exact"/>
              <w:ind w:left="80" w:right="-50"/>
              <w:rPr>
                <w:rFonts w:eastAsia="Times New Roman"/>
                <w:sz w:val="21"/>
                <w:szCs w:val="21"/>
              </w:rPr>
            </w:pPr>
            <w:r>
              <w:rPr>
                <w:rFonts w:eastAsia="Times New Roman"/>
                <w:sz w:val="21"/>
                <w:szCs w:val="21"/>
              </w:rPr>
              <w:t>Pendant la  mise en œuvre du projet</w:t>
            </w:r>
          </w:p>
        </w:tc>
      </w:tr>
      <w:tr w:rsidR="00B240AC" w:rsidRPr="00260B47" w:rsidTr="00092794">
        <w:trPr>
          <w:trHeight w:val="254"/>
        </w:trPr>
        <w:tc>
          <w:tcPr>
            <w:tcW w:w="0" w:type="auto"/>
            <w:tcBorders>
              <w:left w:val="single" w:sz="8" w:space="0" w:color="auto"/>
              <w:right w:val="single" w:sz="8" w:space="0" w:color="auto"/>
            </w:tcBorders>
            <w:vAlign w:val="bottom"/>
          </w:tcPr>
          <w:p w:rsidR="00224B2F" w:rsidRPr="00260B47" w:rsidRDefault="00224B2F" w:rsidP="00D75995">
            <w:pPr>
              <w:ind w:left="120" w:right="-50"/>
              <w:rPr>
                <w:sz w:val="21"/>
                <w:szCs w:val="21"/>
              </w:rPr>
            </w:pPr>
            <w:r w:rsidRPr="00260B47">
              <w:rPr>
                <w:rFonts w:eastAsia="Times New Roman"/>
                <w:sz w:val="21"/>
                <w:szCs w:val="21"/>
              </w:rPr>
              <w:t>pour le renforcement des capacités des acteurs</w:t>
            </w:r>
          </w:p>
        </w:tc>
        <w:tc>
          <w:tcPr>
            <w:tcW w:w="0" w:type="auto"/>
            <w:tcBorders>
              <w:right w:val="single" w:sz="8" w:space="0" w:color="auto"/>
            </w:tcBorders>
            <w:vAlign w:val="bottom"/>
          </w:tcPr>
          <w:p w:rsidR="00224B2F" w:rsidRPr="00260B47" w:rsidRDefault="00224B2F" w:rsidP="00D75995">
            <w:pPr>
              <w:ind w:left="80" w:right="-50"/>
              <w:rPr>
                <w:sz w:val="21"/>
                <w:szCs w:val="21"/>
              </w:rPr>
            </w:pPr>
            <w:r w:rsidRPr="00260B47">
              <w:rPr>
                <w:rFonts w:eastAsia="Times New Roman"/>
                <w:sz w:val="21"/>
                <w:szCs w:val="21"/>
              </w:rPr>
              <w:t>disposition  de  matériels  de  protections  aux</w:t>
            </w:r>
          </w:p>
        </w:tc>
        <w:tc>
          <w:tcPr>
            <w:tcW w:w="0" w:type="auto"/>
            <w:tcBorders>
              <w:right w:val="single" w:sz="8" w:space="0" w:color="auto"/>
            </w:tcBorders>
          </w:tcPr>
          <w:p w:rsidR="00224B2F" w:rsidRPr="00260B47" w:rsidRDefault="00224B2F" w:rsidP="00D75995">
            <w:pPr>
              <w:ind w:left="80" w:right="-50"/>
              <w:rPr>
                <w:rFonts w:eastAsia="Times New Roman"/>
                <w:sz w:val="21"/>
                <w:szCs w:val="21"/>
              </w:rPr>
            </w:pPr>
          </w:p>
        </w:tc>
      </w:tr>
      <w:tr w:rsidR="00B240AC" w:rsidRPr="00260B47" w:rsidTr="00092794">
        <w:trPr>
          <w:trHeight w:val="257"/>
        </w:trPr>
        <w:tc>
          <w:tcPr>
            <w:tcW w:w="0" w:type="auto"/>
            <w:tcBorders>
              <w:left w:val="single" w:sz="8" w:space="0" w:color="auto"/>
              <w:bottom w:val="single" w:sz="8" w:space="0" w:color="auto"/>
              <w:right w:val="single" w:sz="8" w:space="0" w:color="auto"/>
            </w:tcBorders>
            <w:vAlign w:val="bottom"/>
          </w:tcPr>
          <w:p w:rsidR="00224B2F" w:rsidRPr="00260B47" w:rsidRDefault="00224B2F" w:rsidP="00D75995">
            <w:pPr>
              <w:ind w:right="-50"/>
              <w:rPr>
                <w:sz w:val="21"/>
                <w:szCs w:val="21"/>
              </w:rPr>
            </w:pPr>
          </w:p>
        </w:tc>
        <w:tc>
          <w:tcPr>
            <w:tcW w:w="0" w:type="auto"/>
            <w:tcBorders>
              <w:bottom w:val="single" w:sz="8" w:space="0" w:color="auto"/>
              <w:right w:val="single" w:sz="8" w:space="0" w:color="auto"/>
            </w:tcBorders>
            <w:vAlign w:val="bottom"/>
          </w:tcPr>
          <w:p w:rsidR="00224B2F" w:rsidRPr="00260B47" w:rsidRDefault="00224B2F" w:rsidP="00D75995">
            <w:pPr>
              <w:ind w:left="80" w:right="-50"/>
              <w:rPr>
                <w:sz w:val="21"/>
                <w:szCs w:val="21"/>
              </w:rPr>
            </w:pPr>
            <w:r w:rsidRPr="00260B47">
              <w:rPr>
                <w:rFonts w:eastAsia="Times New Roman"/>
                <w:sz w:val="21"/>
                <w:szCs w:val="21"/>
              </w:rPr>
              <w:t>applicateurs,….</w:t>
            </w:r>
          </w:p>
        </w:tc>
        <w:tc>
          <w:tcPr>
            <w:tcW w:w="0" w:type="auto"/>
            <w:tcBorders>
              <w:bottom w:val="single" w:sz="8" w:space="0" w:color="auto"/>
              <w:right w:val="single" w:sz="8" w:space="0" w:color="auto"/>
            </w:tcBorders>
          </w:tcPr>
          <w:p w:rsidR="00224B2F" w:rsidRPr="00260B47" w:rsidRDefault="00224B2F" w:rsidP="00D75995">
            <w:pPr>
              <w:ind w:left="80" w:right="-50"/>
              <w:rPr>
                <w:rFonts w:eastAsia="Times New Roman"/>
                <w:sz w:val="21"/>
                <w:szCs w:val="21"/>
              </w:rPr>
            </w:pPr>
          </w:p>
        </w:tc>
      </w:tr>
    </w:tbl>
    <w:p w:rsidR="002379F2" w:rsidRPr="00260B47" w:rsidRDefault="002379F2" w:rsidP="00D75995">
      <w:pPr>
        <w:spacing w:line="200" w:lineRule="exact"/>
        <w:ind w:right="-50"/>
        <w:rPr>
          <w:sz w:val="21"/>
          <w:szCs w:val="21"/>
        </w:rPr>
      </w:pPr>
    </w:p>
    <w:p w:rsidR="002379F2" w:rsidRDefault="007418E7" w:rsidP="00D75995">
      <w:pPr>
        <w:ind w:right="-50"/>
        <w:rPr>
          <w:b/>
          <w:sz w:val="21"/>
          <w:szCs w:val="21"/>
        </w:rPr>
      </w:pPr>
      <w:bookmarkStart w:id="546" w:name="_Toc521939565"/>
      <w:r w:rsidRPr="0001635C">
        <w:rPr>
          <w:b/>
          <w:sz w:val="21"/>
          <w:szCs w:val="21"/>
        </w:rPr>
        <w:t>Suivi</w:t>
      </w:r>
      <w:bookmarkEnd w:id="546"/>
    </w:p>
    <w:p w:rsidR="000A0D3D" w:rsidRPr="0001635C" w:rsidRDefault="000A0D3D" w:rsidP="005E613E">
      <w:pPr>
        <w:ind w:right="-851"/>
        <w:rPr>
          <w:b/>
          <w:sz w:val="21"/>
          <w:szCs w:val="21"/>
        </w:rPr>
      </w:pPr>
    </w:p>
    <w:p w:rsidR="007418E7" w:rsidRDefault="007418E7" w:rsidP="005E613E">
      <w:pPr>
        <w:ind w:left="284" w:right="-851"/>
        <w:jc w:val="both"/>
        <w:rPr>
          <w:sz w:val="21"/>
          <w:szCs w:val="21"/>
        </w:rPr>
      </w:pPr>
      <w:r w:rsidRPr="00260B47">
        <w:rPr>
          <w:sz w:val="21"/>
          <w:szCs w:val="21"/>
        </w:rPr>
        <w:t xml:space="preserve">Le plan de suivi est subordonné aux activités prévues par </w:t>
      </w:r>
      <w:r w:rsidR="00077EB2" w:rsidRPr="00260B47">
        <w:rPr>
          <w:sz w:val="21"/>
          <w:szCs w:val="21"/>
        </w:rPr>
        <w:t>le projet</w:t>
      </w:r>
      <w:r w:rsidRPr="00260B47">
        <w:rPr>
          <w:sz w:val="21"/>
          <w:szCs w:val="21"/>
        </w:rPr>
        <w:t xml:space="preserve">. Le suivi est soutenu par la collecte et l’analyse de données pour vérifier si la mise en œuvre des activités se déroule comme prévu et pour procéder à des adaptations immédiates, si nécessaires. Il s'agit donc d'une activité d'évaluation axée sur le court terme, afin de permettre d'agir à temps réel.  La fréquence du suivi dépendra du type d'information nécessaire, cependant il sera continu tout le long de la mise en œuvre du plan d’action. </w:t>
      </w:r>
    </w:p>
    <w:p w:rsidR="0006341D" w:rsidRPr="00260B47" w:rsidRDefault="0006341D" w:rsidP="005E613E">
      <w:pPr>
        <w:ind w:left="284" w:right="-851"/>
        <w:jc w:val="both"/>
        <w:rPr>
          <w:sz w:val="21"/>
          <w:szCs w:val="21"/>
        </w:rPr>
      </w:pPr>
    </w:p>
    <w:p w:rsidR="007418E7" w:rsidRPr="00260B47" w:rsidRDefault="007418E7" w:rsidP="005E613E">
      <w:pPr>
        <w:ind w:left="284" w:right="-851"/>
        <w:jc w:val="both"/>
        <w:rPr>
          <w:sz w:val="21"/>
          <w:szCs w:val="21"/>
        </w:rPr>
      </w:pPr>
      <w:r w:rsidRPr="00260B47">
        <w:rPr>
          <w:sz w:val="21"/>
          <w:szCs w:val="21"/>
        </w:rPr>
        <w:t>Le suivi global sera assuré, par les agents d’exécution</w:t>
      </w:r>
      <w:r w:rsidR="00077EB2" w:rsidRPr="00260B47">
        <w:rPr>
          <w:sz w:val="21"/>
          <w:szCs w:val="21"/>
        </w:rPr>
        <w:t xml:space="preserve"> du projet</w:t>
      </w:r>
      <w:r w:rsidRPr="00260B47">
        <w:rPr>
          <w:sz w:val="21"/>
          <w:szCs w:val="21"/>
        </w:rPr>
        <w:t xml:space="preserve">. Il sera organisé par le biais de visites périodiques sur le terrain. Un plan de suivi complet sera élaboré et mis à la disposition des acteurs impliqués dans la mise en œuvre et qui sont interpellés, chacun en ce qui le concerne, dans le suivi. </w:t>
      </w:r>
    </w:p>
    <w:p w:rsidR="007E666C" w:rsidRPr="00260B47" w:rsidRDefault="007E666C" w:rsidP="005E613E">
      <w:pPr>
        <w:ind w:left="284" w:right="-851"/>
        <w:jc w:val="both"/>
        <w:rPr>
          <w:sz w:val="21"/>
          <w:szCs w:val="21"/>
        </w:rPr>
      </w:pPr>
    </w:p>
    <w:p w:rsidR="007418E7" w:rsidRPr="00260B47" w:rsidRDefault="007418E7" w:rsidP="005E613E">
      <w:pPr>
        <w:ind w:left="284" w:right="-851"/>
        <w:jc w:val="both"/>
        <w:rPr>
          <w:sz w:val="21"/>
          <w:szCs w:val="21"/>
        </w:rPr>
      </w:pPr>
      <w:r w:rsidRPr="00260B47">
        <w:rPr>
          <w:sz w:val="21"/>
          <w:szCs w:val="21"/>
        </w:rPr>
        <w:t>Au plan opérationnel, le suivi sera organisé par le biais de visites périodiques sur le terrain et sera assuré comme suit :</w:t>
      </w:r>
    </w:p>
    <w:p w:rsidR="007418E7" w:rsidRPr="00260B47" w:rsidRDefault="008424E0" w:rsidP="005E613E">
      <w:pPr>
        <w:pStyle w:val="PargrafodaLista"/>
        <w:numPr>
          <w:ilvl w:val="0"/>
          <w:numId w:val="137"/>
        </w:numPr>
        <w:spacing w:line="240" w:lineRule="auto"/>
        <w:ind w:right="-851"/>
        <w:jc w:val="both"/>
        <w:rPr>
          <w:rFonts w:ascii="Times New Roman" w:hAnsi="Times New Roman"/>
          <w:sz w:val="21"/>
          <w:szCs w:val="21"/>
        </w:rPr>
      </w:pPr>
      <w:r w:rsidRPr="00260B47">
        <w:rPr>
          <w:rFonts w:ascii="Times New Roman" w:hAnsi="Times New Roman"/>
          <w:sz w:val="21"/>
          <w:szCs w:val="21"/>
        </w:rPr>
        <w:t>Au niveau de DPV</w:t>
      </w:r>
      <w:r w:rsidR="00B01314">
        <w:rPr>
          <w:rFonts w:ascii="Times New Roman" w:hAnsi="Times New Roman"/>
          <w:sz w:val="21"/>
          <w:szCs w:val="21"/>
        </w:rPr>
        <w:t xml:space="preserve"> et au niveau du projet PUSA </w:t>
      </w:r>
      <w:r w:rsidR="007418E7" w:rsidRPr="00260B47">
        <w:rPr>
          <w:rFonts w:ascii="Times New Roman" w:hAnsi="Times New Roman"/>
          <w:sz w:val="21"/>
          <w:szCs w:val="21"/>
        </w:rPr>
        <w:t>par son Environnementaliste, qui va rédiger les TDR y relatifs ;</w:t>
      </w:r>
    </w:p>
    <w:p w:rsidR="007418E7" w:rsidRPr="00260B47" w:rsidRDefault="007418E7" w:rsidP="005E613E">
      <w:pPr>
        <w:pStyle w:val="PargrafodaLista"/>
        <w:numPr>
          <w:ilvl w:val="0"/>
          <w:numId w:val="137"/>
        </w:numPr>
        <w:spacing w:line="240" w:lineRule="auto"/>
        <w:ind w:right="-851"/>
        <w:jc w:val="both"/>
        <w:rPr>
          <w:rFonts w:ascii="Times New Roman" w:hAnsi="Times New Roman"/>
          <w:sz w:val="21"/>
          <w:szCs w:val="21"/>
        </w:rPr>
      </w:pPr>
      <w:r w:rsidRPr="00260B47">
        <w:rPr>
          <w:rFonts w:ascii="Times New Roman" w:hAnsi="Times New Roman"/>
          <w:sz w:val="21"/>
          <w:szCs w:val="21"/>
        </w:rPr>
        <w:t>Par un laboratoire de c</w:t>
      </w:r>
      <w:r w:rsidR="008424E0" w:rsidRPr="00260B47">
        <w:rPr>
          <w:rFonts w:ascii="Times New Roman" w:hAnsi="Times New Roman"/>
          <w:sz w:val="21"/>
          <w:szCs w:val="21"/>
        </w:rPr>
        <w:t>ontrôle qualifié, avec lequel le DPV</w:t>
      </w:r>
      <w:r w:rsidR="000768F3">
        <w:rPr>
          <w:rFonts w:ascii="Times New Roman" w:hAnsi="Times New Roman"/>
          <w:sz w:val="21"/>
          <w:szCs w:val="21"/>
        </w:rPr>
        <w:t xml:space="preserve"> </w:t>
      </w:r>
      <w:r w:rsidRPr="00260B47">
        <w:rPr>
          <w:rFonts w:ascii="Times New Roman" w:hAnsi="Times New Roman"/>
          <w:sz w:val="21"/>
          <w:szCs w:val="21"/>
        </w:rPr>
        <w:t xml:space="preserve">va signer un protocole d’accord </w:t>
      </w:r>
    </w:p>
    <w:p w:rsidR="0006341D" w:rsidRDefault="007418E7" w:rsidP="005E613E">
      <w:pPr>
        <w:pStyle w:val="PargrafodaLista"/>
        <w:numPr>
          <w:ilvl w:val="0"/>
          <w:numId w:val="137"/>
        </w:numPr>
        <w:spacing w:line="240" w:lineRule="auto"/>
        <w:ind w:right="-851"/>
        <w:jc w:val="both"/>
        <w:rPr>
          <w:rFonts w:ascii="Times New Roman" w:hAnsi="Times New Roman"/>
          <w:sz w:val="21"/>
          <w:szCs w:val="21"/>
        </w:rPr>
      </w:pPr>
      <w:r w:rsidRPr="00260B47">
        <w:rPr>
          <w:rFonts w:ascii="Times New Roman" w:hAnsi="Times New Roman"/>
          <w:sz w:val="21"/>
          <w:szCs w:val="21"/>
        </w:rPr>
        <w:t>Les résultats de ce contrôle sont suivis et gérés pa</w:t>
      </w:r>
      <w:r w:rsidR="008424E0" w:rsidRPr="00260B47">
        <w:rPr>
          <w:rFonts w:ascii="Times New Roman" w:hAnsi="Times New Roman"/>
          <w:sz w:val="21"/>
          <w:szCs w:val="21"/>
        </w:rPr>
        <w:t>r l’environnementaliste de le DPV</w:t>
      </w:r>
    </w:p>
    <w:p w:rsidR="00901DC3" w:rsidRPr="008371D1" w:rsidRDefault="00901DC3" w:rsidP="005E613E">
      <w:pPr>
        <w:pStyle w:val="PargrafodaLista"/>
        <w:numPr>
          <w:ilvl w:val="0"/>
          <w:numId w:val="137"/>
        </w:numPr>
        <w:spacing w:line="240" w:lineRule="auto"/>
        <w:ind w:right="-851"/>
        <w:jc w:val="both"/>
        <w:rPr>
          <w:rFonts w:ascii="Times New Roman" w:hAnsi="Times New Roman"/>
          <w:sz w:val="21"/>
          <w:szCs w:val="21"/>
        </w:rPr>
      </w:pPr>
      <w:r w:rsidRPr="00901DC3">
        <w:rPr>
          <w:rFonts w:ascii="Times New Roman" w:hAnsi="Times New Roman"/>
          <w:sz w:val="21"/>
          <w:szCs w:val="21"/>
        </w:rPr>
        <w:t>Mettre en place un régime complet de suivi et d'évaluation des parasites</w:t>
      </w:r>
      <w:r>
        <w:rPr>
          <w:rFonts w:ascii="Times New Roman" w:hAnsi="Times New Roman"/>
          <w:sz w:val="21"/>
          <w:szCs w:val="21"/>
        </w:rPr>
        <w:t> </w:t>
      </w:r>
      <w:r w:rsidR="000A55E3">
        <w:rPr>
          <w:rFonts w:ascii="Times New Roman" w:hAnsi="Times New Roman"/>
          <w:sz w:val="21"/>
          <w:szCs w:val="21"/>
        </w:rPr>
        <w:t>par l’environnementaliste du Projet PUSA</w:t>
      </w:r>
    </w:p>
    <w:p w:rsidR="007418E7" w:rsidRPr="00260B47" w:rsidRDefault="007418E7" w:rsidP="005E613E">
      <w:pPr>
        <w:ind w:left="284" w:right="-851"/>
        <w:jc w:val="both"/>
        <w:rPr>
          <w:sz w:val="21"/>
          <w:szCs w:val="21"/>
        </w:rPr>
      </w:pPr>
      <w:r w:rsidRPr="00260B47">
        <w:rPr>
          <w:sz w:val="21"/>
          <w:szCs w:val="21"/>
        </w:rPr>
        <w:t>Le suivi pourra impliquer les services suivants au niveau régional :</w:t>
      </w:r>
    </w:p>
    <w:p w:rsidR="007418E7" w:rsidRPr="00260B47" w:rsidRDefault="007418E7" w:rsidP="005E613E">
      <w:pPr>
        <w:pStyle w:val="PargrafodaLista"/>
        <w:numPr>
          <w:ilvl w:val="0"/>
          <w:numId w:val="138"/>
        </w:numPr>
        <w:spacing w:line="240" w:lineRule="auto"/>
        <w:ind w:right="-851"/>
        <w:rPr>
          <w:rFonts w:ascii="Times New Roman" w:hAnsi="Times New Roman"/>
          <w:sz w:val="21"/>
          <w:szCs w:val="21"/>
        </w:rPr>
      </w:pPr>
      <w:r w:rsidRPr="00260B47">
        <w:rPr>
          <w:rFonts w:ascii="Times New Roman" w:hAnsi="Times New Roman"/>
          <w:sz w:val="21"/>
          <w:szCs w:val="21"/>
        </w:rPr>
        <w:t xml:space="preserve">Le service de </w:t>
      </w:r>
      <w:r w:rsidR="008424E0" w:rsidRPr="00260B47">
        <w:rPr>
          <w:rFonts w:ascii="Times New Roman" w:hAnsi="Times New Roman"/>
          <w:sz w:val="21"/>
          <w:szCs w:val="21"/>
        </w:rPr>
        <w:t>l’agriculture</w:t>
      </w:r>
      <w:r w:rsidRPr="00260B47">
        <w:rPr>
          <w:rFonts w:ascii="Times New Roman" w:hAnsi="Times New Roman"/>
          <w:sz w:val="21"/>
          <w:szCs w:val="21"/>
        </w:rPr>
        <w:t xml:space="preserve"> </w:t>
      </w:r>
    </w:p>
    <w:p w:rsidR="007418E7" w:rsidRPr="00260B47" w:rsidRDefault="007418E7" w:rsidP="005E613E">
      <w:pPr>
        <w:pStyle w:val="PargrafodaLista"/>
        <w:numPr>
          <w:ilvl w:val="0"/>
          <w:numId w:val="138"/>
        </w:numPr>
        <w:spacing w:line="240" w:lineRule="auto"/>
        <w:ind w:right="-851"/>
        <w:rPr>
          <w:rFonts w:ascii="Times New Roman" w:hAnsi="Times New Roman"/>
          <w:sz w:val="21"/>
          <w:szCs w:val="21"/>
        </w:rPr>
      </w:pPr>
      <w:r w:rsidRPr="00260B47">
        <w:rPr>
          <w:rFonts w:ascii="Times New Roman" w:hAnsi="Times New Roman"/>
          <w:sz w:val="21"/>
          <w:szCs w:val="21"/>
        </w:rPr>
        <w:t>Le service régional et local de l’Hygiène</w:t>
      </w:r>
    </w:p>
    <w:p w:rsidR="007418E7" w:rsidRPr="00260B47" w:rsidRDefault="006A6DEF" w:rsidP="005E613E">
      <w:pPr>
        <w:pStyle w:val="PargrafodaLista"/>
        <w:numPr>
          <w:ilvl w:val="0"/>
          <w:numId w:val="138"/>
        </w:numPr>
        <w:spacing w:line="240" w:lineRule="auto"/>
        <w:ind w:right="-851"/>
        <w:rPr>
          <w:rFonts w:ascii="Times New Roman" w:hAnsi="Times New Roman"/>
          <w:sz w:val="21"/>
          <w:szCs w:val="21"/>
        </w:rPr>
      </w:pPr>
      <w:r w:rsidRPr="00260B47">
        <w:rPr>
          <w:rFonts w:ascii="Times New Roman" w:hAnsi="Times New Roman"/>
          <w:sz w:val="21"/>
          <w:szCs w:val="21"/>
        </w:rPr>
        <w:t>L’AAAC</w:t>
      </w:r>
    </w:p>
    <w:p w:rsidR="007418E7" w:rsidRPr="00260B47" w:rsidRDefault="007418E7" w:rsidP="005E613E">
      <w:pPr>
        <w:pStyle w:val="PargrafodaLista"/>
        <w:numPr>
          <w:ilvl w:val="0"/>
          <w:numId w:val="138"/>
        </w:numPr>
        <w:spacing w:line="240" w:lineRule="auto"/>
        <w:ind w:right="-851"/>
        <w:rPr>
          <w:rFonts w:ascii="Times New Roman" w:hAnsi="Times New Roman"/>
          <w:sz w:val="21"/>
          <w:szCs w:val="21"/>
        </w:rPr>
      </w:pPr>
      <w:r w:rsidRPr="00260B47">
        <w:rPr>
          <w:rFonts w:ascii="Times New Roman" w:hAnsi="Times New Roman"/>
          <w:sz w:val="21"/>
          <w:szCs w:val="21"/>
        </w:rPr>
        <w:t>Le service sanitaire local</w:t>
      </w:r>
    </w:p>
    <w:p w:rsidR="007418E7" w:rsidRPr="00260B47" w:rsidRDefault="007418E7" w:rsidP="005E613E">
      <w:pPr>
        <w:ind w:left="284" w:right="-851"/>
        <w:jc w:val="both"/>
        <w:rPr>
          <w:sz w:val="21"/>
          <w:szCs w:val="21"/>
        </w:rPr>
      </w:pPr>
      <w:r w:rsidRPr="00260B47">
        <w:rPr>
          <w:sz w:val="21"/>
          <w:szCs w:val="21"/>
        </w:rPr>
        <w:t xml:space="preserve">Sous la coordination de </w:t>
      </w:r>
      <w:r w:rsidR="006A6DEF" w:rsidRPr="00260B47">
        <w:rPr>
          <w:sz w:val="21"/>
          <w:szCs w:val="21"/>
        </w:rPr>
        <w:t>la DPV</w:t>
      </w:r>
      <w:r w:rsidRPr="00260B47">
        <w:rPr>
          <w:sz w:val="21"/>
          <w:szCs w:val="21"/>
        </w:rPr>
        <w:t>, le suivi de proximité sera effectué par les services de protection des végétaux, le service de l’Hygiène, le service de l’environnement, le service sanitaire. La fréquence de l’utilisation des méthodes alternatives de lutte contre les pestes sera également évaluée. En fin,  un accent particulier devra être porté sur le suivi et l’évaluation des points suivants: le contrôle des groupes non ciblés pour savoir si les opérations de traitement contre les  nuisibles  ne  nuisent  pas  à  d’autres  êtres  vivants  non  ciblés  dans  cette  lutte; les enquêtes entomologiques pour contrôler la population vectorielle et l’efficacité des programmes de traitement; le suivi sanitaire des manipulateurs et le choix  des  pesticides  sur la base des risques sur l’environnement.</w:t>
      </w:r>
    </w:p>
    <w:p w:rsidR="007418E7" w:rsidRPr="00260B47" w:rsidRDefault="007418E7" w:rsidP="005E613E">
      <w:pPr>
        <w:pStyle w:val="PargrafodaLista"/>
        <w:numPr>
          <w:ilvl w:val="0"/>
          <w:numId w:val="141"/>
        </w:numPr>
        <w:ind w:right="-851"/>
        <w:rPr>
          <w:rFonts w:ascii="Times New Roman" w:hAnsi="Times New Roman"/>
          <w:sz w:val="21"/>
          <w:szCs w:val="21"/>
        </w:rPr>
      </w:pPr>
      <w:r w:rsidRPr="00260B47">
        <w:rPr>
          <w:rFonts w:ascii="Times New Roman" w:hAnsi="Times New Roman"/>
          <w:sz w:val="21"/>
          <w:szCs w:val="21"/>
        </w:rPr>
        <w:t>Implication, responsabilisation et   des laboratoires nationaux dans le suivi qualitatif :</w:t>
      </w:r>
    </w:p>
    <w:p w:rsidR="007418E7" w:rsidRPr="00260B47" w:rsidRDefault="007418E7" w:rsidP="005E613E">
      <w:pPr>
        <w:ind w:left="284" w:right="-851"/>
        <w:jc w:val="both"/>
        <w:rPr>
          <w:sz w:val="21"/>
          <w:szCs w:val="21"/>
        </w:rPr>
      </w:pPr>
      <w:r w:rsidRPr="00260B47">
        <w:rPr>
          <w:sz w:val="21"/>
          <w:szCs w:val="21"/>
        </w:rPr>
        <w:t xml:space="preserve">Le </w:t>
      </w:r>
      <w:r w:rsidR="006C74E7" w:rsidRPr="00260B47">
        <w:rPr>
          <w:sz w:val="21"/>
          <w:szCs w:val="21"/>
        </w:rPr>
        <w:t>suivi de</w:t>
      </w:r>
      <w:r w:rsidRPr="00260B47">
        <w:rPr>
          <w:sz w:val="21"/>
          <w:szCs w:val="21"/>
        </w:rPr>
        <w:t xml:space="preserve"> la mise en œuvre du PGPP (notamment au niveau des eaux, des aliments et des cultures, du bétail et des ressources </w:t>
      </w:r>
      <w:r w:rsidR="000768F3" w:rsidRPr="00260B47">
        <w:rPr>
          <w:sz w:val="21"/>
          <w:szCs w:val="21"/>
        </w:rPr>
        <w:t>halieutiques) devra</w:t>
      </w:r>
      <w:r w:rsidRPr="00260B47">
        <w:rPr>
          <w:sz w:val="21"/>
          <w:szCs w:val="21"/>
        </w:rPr>
        <w:t xml:space="preserve"> aussi faire appel à </w:t>
      </w:r>
      <w:r w:rsidR="003F6A1E" w:rsidRPr="00260B47">
        <w:rPr>
          <w:sz w:val="21"/>
          <w:szCs w:val="21"/>
        </w:rPr>
        <w:t>des laboratoires</w:t>
      </w:r>
      <w:r w:rsidRPr="00260B47">
        <w:rPr>
          <w:sz w:val="21"/>
          <w:szCs w:val="21"/>
        </w:rPr>
        <w:t xml:space="preserve"> et </w:t>
      </w:r>
      <w:r w:rsidR="00DE2CBB" w:rsidRPr="00260B47">
        <w:rPr>
          <w:sz w:val="21"/>
          <w:szCs w:val="21"/>
        </w:rPr>
        <w:t>autres structures</w:t>
      </w:r>
      <w:r w:rsidRPr="00260B47">
        <w:rPr>
          <w:sz w:val="21"/>
          <w:szCs w:val="21"/>
        </w:rPr>
        <w:t xml:space="preserve"> spécialisées  existants  dans  le  pays,  particulièrement  le  Laboratoire  d'Analyse  de  Résidus  de  la Fondation  CERES/LOCUSTOX.  Le </w:t>
      </w:r>
      <w:r w:rsidR="006A6DEF" w:rsidRPr="00260B47">
        <w:rPr>
          <w:sz w:val="21"/>
          <w:szCs w:val="21"/>
        </w:rPr>
        <w:t>projet</w:t>
      </w:r>
      <w:r w:rsidRPr="00260B47">
        <w:rPr>
          <w:sz w:val="21"/>
          <w:szCs w:val="21"/>
        </w:rPr>
        <w:t xml:space="preserve"> devra établir des protocoles de collaboration avec ce laboratoire.  Dans le contrôle et le suivi environnemental des pesticides, ce laboratoire sera chargé du contrôle des distributeurs et des applicateurs afin de s’assurer que seuls les produits homologués sont mis en vente et utilisés.  </w:t>
      </w:r>
      <w:r w:rsidR="00281DA2" w:rsidRPr="00260B47">
        <w:rPr>
          <w:sz w:val="21"/>
          <w:szCs w:val="21"/>
        </w:rPr>
        <w:t xml:space="preserve">Il sera </w:t>
      </w:r>
      <w:r w:rsidR="003F6A1E" w:rsidRPr="00260B47">
        <w:rPr>
          <w:sz w:val="21"/>
          <w:szCs w:val="21"/>
        </w:rPr>
        <w:t>prévu la</w:t>
      </w:r>
      <w:r w:rsidRPr="00260B47">
        <w:rPr>
          <w:sz w:val="21"/>
          <w:szCs w:val="21"/>
        </w:rPr>
        <w:t xml:space="preserve">  vérification  des  teneurs  des  composantes  et  résidus  de pesticides et leurs adéquations aux normes notamment internationales. </w:t>
      </w:r>
    </w:p>
    <w:p w:rsidR="007418E7" w:rsidRPr="00260B47" w:rsidRDefault="007418E7" w:rsidP="005E613E">
      <w:pPr>
        <w:pStyle w:val="Cabealho4"/>
        <w:numPr>
          <w:ilvl w:val="0"/>
          <w:numId w:val="0"/>
        </w:numPr>
        <w:ind w:left="864" w:right="-851"/>
        <w:rPr>
          <w:rFonts w:ascii="Times New Roman" w:hAnsi="Times New Roman"/>
          <w:sz w:val="21"/>
          <w:szCs w:val="21"/>
        </w:rPr>
      </w:pPr>
      <w:bookmarkStart w:id="547" w:name="_Toc521939566"/>
      <w:r w:rsidRPr="00260B47">
        <w:rPr>
          <w:rFonts w:ascii="Times New Roman" w:hAnsi="Times New Roman"/>
          <w:sz w:val="21"/>
          <w:szCs w:val="21"/>
        </w:rPr>
        <w:t>Evaluation</w:t>
      </w:r>
      <w:bookmarkEnd w:id="547"/>
      <w:r w:rsidRPr="00260B47">
        <w:rPr>
          <w:rFonts w:ascii="Times New Roman" w:hAnsi="Times New Roman"/>
          <w:sz w:val="21"/>
          <w:szCs w:val="21"/>
        </w:rPr>
        <w:t xml:space="preserve"> </w:t>
      </w:r>
    </w:p>
    <w:p w:rsidR="0081167C" w:rsidRDefault="00B35961" w:rsidP="005E613E">
      <w:pPr>
        <w:ind w:left="284" w:right="-851"/>
        <w:jc w:val="both"/>
        <w:rPr>
          <w:sz w:val="21"/>
          <w:szCs w:val="21"/>
        </w:rPr>
      </w:pPr>
      <w:r w:rsidRPr="00260B47">
        <w:rPr>
          <w:sz w:val="21"/>
          <w:szCs w:val="21"/>
        </w:rPr>
        <w:t>Deux évaluations seront</w:t>
      </w:r>
      <w:r w:rsidR="006C74E7" w:rsidRPr="00260B47">
        <w:rPr>
          <w:sz w:val="21"/>
          <w:szCs w:val="21"/>
        </w:rPr>
        <w:t xml:space="preserve"> effectuées</w:t>
      </w:r>
      <w:r w:rsidR="007418E7" w:rsidRPr="00260B47">
        <w:rPr>
          <w:sz w:val="21"/>
          <w:szCs w:val="21"/>
        </w:rPr>
        <w:t xml:space="preserve">:  une  évaluation  interne </w:t>
      </w:r>
      <w:r w:rsidR="00696012">
        <w:rPr>
          <w:sz w:val="21"/>
          <w:szCs w:val="21"/>
        </w:rPr>
        <w:t>effectue par l’environne</w:t>
      </w:r>
      <w:r>
        <w:rPr>
          <w:sz w:val="21"/>
          <w:szCs w:val="21"/>
        </w:rPr>
        <w:t>mentale du projet PUSA</w:t>
      </w:r>
      <w:r w:rsidR="007418E7" w:rsidRPr="00260B47">
        <w:rPr>
          <w:sz w:val="21"/>
          <w:szCs w:val="21"/>
        </w:rPr>
        <w:t xml:space="preserve"> à  mi-parcours  et  une  évaluation  externe</w:t>
      </w:r>
      <w:r w:rsidR="007709E9">
        <w:rPr>
          <w:sz w:val="21"/>
          <w:szCs w:val="21"/>
        </w:rPr>
        <w:t xml:space="preserve"> avec</w:t>
      </w:r>
      <w:r w:rsidR="007418E7" w:rsidRPr="00260B47">
        <w:rPr>
          <w:sz w:val="21"/>
          <w:szCs w:val="21"/>
        </w:rPr>
        <w:t xml:space="preserve"> </w:t>
      </w:r>
      <w:r w:rsidR="00605B32">
        <w:rPr>
          <w:sz w:val="21"/>
          <w:szCs w:val="21"/>
        </w:rPr>
        <w:t>l</w:t>
      </w:r>
      <w:r w:rsidR="0081167C" w:rsidRPr="00260B47">
        <w:rPr>
          <w:sz w:val="21"/>
          <w:szCs w:val="21"/>
        </w:rPr>
        <w:t>es partenaires financiers, les bénéficiaires du  projet  et  les</w:t>
      </w:r>
      <w:r w:rsidR="00605B32">
        <w:rPr>
          <w:sz w:val="21"/>
          <w:szCs w:val="21"/>
        </w:rPr>
        <w:t xml:space="preserve">  autres partenaires  impliqués, </w:t>
      </w:r>
      <w:r w:rsidR="007418E7" w:rsidRPr="00260B47">
        <w:rPr>
          <w:sz w:val="21"/>
          <w:szCs w:val="21"/>
        </w:rPr>
        <w:t xml:space="preserve">durant  le  mois  qui  suit  la  fin  de  mise  en  œuvre  du projet afin  de  maintenir  les  objectifs  du  plan d’action. </w:t>
      </w:r>
    </w:p>
    <w:p w:rsidR="007418E7" w:rsidRPr="00260B47" w:rsidRDefault="007418E7" w:rsidP="005E613E">
      <w:pPr>
        <w:ind w:left="284" w:right="-851"/>
        <w:jc w:val="both"/>
        <w:rPr>
          <w:sz w:val="21"/>
          <w:szCs w:val="21"/>
        </w:rPr>
      </w:pPr>
      <w:r w:rsidRPr="00260B47">
        <w:rPr>
          <w:sz w:val="21"/>
          <w:szCs w:val="21"/>
        </w:rPr>
        <w:t xml:space="preserve">L’évaluation à mi-parcours a pour objet de déterminer l'évolution correcte du plan de gestion, les résultats à mi-parcours </w:t>
      </w:r>
      <w:r w:rsidR="00605B32">
        <w:rPr>
          <w:sz w:val="21"/>
          <w:szCs w:val="21"/>
        </w:rPr>
        <w:t xml:space="preserve">et </w:t>
      </w:r>
      <w:r w:rsidR="006C74E7" w:rsidRPr="00260B47">
        <w:rPr>
          <w:sz w:val="21"/>
          <w:szCs w:val="21"/>
        </w:rPr>
        <w:t xml:space="preserve">évaluation finale </w:t>
      </w:r>
      <w:r w:rsidR="00696012" w:rsidRPr="00260B47">
        <w:rPr>
          <w:sz w:val="21"/>
          <w:szCs w:val="21"/>
        </w:rPr>
        <w:t>du PGPP</w:t>
      </w:r>
      <w:r w:rsidRPr="00260B47">
        <w:rPr>
          <w:sz w:val="21"/>
          <w:szCs w:val="21"/>
        </w:rPr>
        <w:t xml:space="preserve"> </w:t>
      </w:r>
      <w:r w:rsidR="00696012" w:rsidRPr="00260B47">
        <w:rPr>
          <w:sz w:val="21"/>
          <w:szCs w:val="21"/>
        </w:rPr>
        <w:t xml:space="preserve">consistera </w:t>
      </w:r>
      <w:r w:rsidR="00426327" w:rsidRPr="00260B47">
        <w:rPr>
          <w:sz w:val="21"/>
          <w:szCs w:val="21"/>
        </w:rPr>
        <w:t>à mesurer</w:t>
      </w:r>
      <w:r w:rsidRPr="00260B47">
        <w:rPr>
          <w:sz w:val="21"/>
          <w:szCs w:val="21"/>
        </w:rPr>
        <w:t xml:space="preserve">  l’efficacité  de  sa  mise  en  œuvre  et  sa  performance  et  à  identifier  les  leçons apprises. Cette évaluation sera intégrée dans le rapport d’achèvement du </w:t>
      </w:r>
      <w:r w:rsidR="00672698" w:rsidRPr="00260B47">
        <w:rPr>
          <w:sz w:val="21"/>
          <w:szCs w:val="21"/>
        </w:rPr>
        <w:t>projet</w:t>
      </w:r>
      <w:r w:rsidRPr="00260B47">
        <w:rPr>
          <w:sz w:val="21"/>
          <w:szCs w:val="21"/>
        </w:rPr>
        <w:t>.</w:t>
      </w:r>
    </w:p>
    <w:p w:rsidR="007418E7" w:rsidRPr="00260B47" w:rsidRDefault="007418E7" w:rsidP="005E613E">
      <w:pPr>
        <w:pStyle w:val="Cabealho4"/>
        <w:numPr>
          <w:ilvl w:val="0"/>
          <w:numId w:val="0"/>
        </w:numPr>
        <w:ind w:left="864" w:right="-851" w:hanging="144"/>
        <w:rPr>
          <w:rFonts w:ascii="Times New Roman" w:hAnsi="Times New Roman"/>
          <w:sz w:val="21"/>
          <w:szCs w:val="21"/>
        </w:rPr>
      </w:pPr>
      <w:bookmarkStart w:id="548" w:name="_Toc521939567"/>
      <w:r w:rsidRPr="00260B47">
        <w:rPr>
          <w:rFonts w:ascii="Times New Roman" w:hAnsi="Times New Roman"/>
          <w:sz w:val="21"/>
          <w:szCs w:val="21"/>
        </w:rPr>
        <w:t xml:space="preserve"> Indicateurs de suivi</w:t>
      </w:r>
      <w:bookmarkEnd w:id="548"/>
    </w:p>
    <w:p w:rsidR="007418E7" w:rsidRPr="00260B47" w:rsidRDefault="006C74E7" w:rsidP="005E613E">
      <w:pPr>
        <w:ind w:left="284" w:right="-851"/>
        <w:jc w:val="both"/>
        <w:rPr>
          <w:sz w:val="21"/>
          <w:szCs w:val="21"/>
        </w:rPr>
      </w:pPr>
      <w:r w:rsidRPr="00260B47">
        <w:rPr>
          <w:sz w:val="21"/>
          <w:szCs w:val="21"/>
        </w:rPr>
        <w:t xml:space="preserve">Pour assurer </w:t>
      </w:r>
      <w:r w:rsidR="004C54E7" w:rsidRPr="00260B47">
        <w:rPr>
          <w:sz w:val="21"/>
          <w:szCs w:val="21"/>
        </w:rPr>
        <w:t xml:space="preserve">le </w:t>
      </w:r>
      <w:r w:rsidR="00370CA3" w:rsidRPr="00260B47">
        <w:rPr>
          <w:sz w:val="21"/>
          <w:szCs w:val="21"/>
        </w:rPr>
        <w:t>suivi, il</w:t>
      </w:r>
      <w:r w:rsidR="007418E7" w:rsidRPr="00260B47">
        <w:rPr>
          <w:sz w:val="21"/>
          <w:szCs w:val="21"/>
        </w:rPr>
        <w:t xml:space="preserve">  est  nécessaire  de  disposer  d’indicateurs  qui  sont  des  signaux  pré-identifiés exprimant les changements dans certaines conditions ou résultats liés à des interventions spécifiques. </w:t>
      </w:r>
    </w:p>
    <w:p w:rsidR="007418E7" w:rsidRPr="00260B47" w:rsidRDefault="007418E7" w:rsidP="005E613E">
      <w:pPr>
        <w:ind w:left="284" w:right="-851"/>
        <w:jc w:val="both"/>
        <w:rPr>
          <w:sz w:val="21"/>
          <w:szCs w:val="21"/>
        </w:rPr>
      </w:pPr>
      <w:r w:rsidRPr="00260B47">
        <w:rPr>
          <w:sz w:val="21"/>
          <w:szCs w:val="21"/>
        </w:rPr>
        <w:t xml:space="preserve">Ce sont des paramètres dont l’utilisation fournit des informations quantitatives ou qualitatives sur les impacts et les bénéfices environnementaux et sociaux.  Les indicateurs de suivi aideront dans la mise en application des mesures d'atténuation en vue d’évaluer l’efficacité de ces activités. </w:t>
      </w:r>
    </w:p>
    <w:p w:rsidR="007418E7" w:rsidRPr="00260B47" w:rsidRDefault="007418E7" w:rsidP="005E613E">
      <w:pPr>
        <w:ind w:left="284" w:right="-851"/>
        <w:jc w:val="both"/>
        <w:rPr>
          <w:sz w:val="21"/>
          <w:szCs w:val="21"/>
        </w:rPr>
      </w:pPr>
      <w:r w:rsidRPr="00260B47">
        <w:rPr>
          <w:sz w:val="21"/>
          <w:szCs w:val="21"/>
        </w:rPr>
        <w:t>Indicateurs d’ordre st</w:t>
      </w:r>
      <w:r w:rsidR="000C5C00" w:rsidRPr="00260B47">
        <w:rPr>
          <w:sz w:val="21"/>
          <w:szCs w:val="21"/>
        </w:rPr>
        <w:t xml:space="preserve">ratégique à suivre </w:t>
      </w:r>
      <w:r w:rsidR="006C74E7" w:rsidRPr="00260B47">
        <w:rPr>
          <w:sz w:val="21"/>
          <w:szCs w:val="21"/>
        </w:rPr>
        <w:t>par la</w:t>
      </w:r>
      <w:r w:rsidR="000C5C00" w:rsidRPr="00260B47">
        <w:rPr>
          <w:sz w:val="21"/>
          <w:szCs w:val="21"/>
        </w:rPr>
        <w:t xml:space="preserve"> DPV, AAAC,</w:t>
      </w:r>
      <w:r w:rsidR="0038655F" w:rsidRPr="00260B47">
        <w:rPr>
          <w:sz w:val="21"/>
          <w:szCs w:val="21"/>
        </w:rPr>
        <w:t>.</w:t>
      </w:r>
    </w:p>
    <w:p w:rsidR="006C74E7" w:rsidRPr="00260B47" w:rsidRDefault="006C74E7" w:rsidP="00157035">
      <w:pPr>
        <w:pStyle w:val="PargrafodaLista"/>
        <w:numPr>
          <w:ilvl w:val="0"/>
          <w:numId w:val="139"/>
        </w:numPr>
        <w:spacing w:after="0" w:line="240" w:lineRule="auto"/>
        <w:ind w:right="-50"/>
        <w:jc w:val="center"/>
        <w:rPr>
          <w:rFonts w:ascii="Times New Roman" w:hAnsi="Times New Roman"/>
          <w:sz w:val="21"/>
          <w:szCs w:val="21"/>
        </w:rPr>
      </w:pPr>
      <w:r w:rsidRPr="00260B47">
        <w:rPr>
          <w:rFonts w:ascii="Times New Roman" w:eastAsia="Times New Roman" w:hAnsi="Times New Roman"/>
          <w:b/>
          <w:bCs/>
          <w:sz w:val="21"/>
          <w:szCs w:val="21"/>
        </w:rPr>
        <w:t>Tableau récapitulatif du Plan de suivi</w:t>
      </w:r>
    </w:p>
    <w:tbl>
      <w:tblPr>
        <w:tblW w:w="10470" w:type="dxa"/>
        <w:tblInd w:w="-423" w:type="dxa"/>
        <w:tblLayout w:type="fixed"/>
        <w:tblCellMar>
          <w:left w:w="0" w:type="dxa"/>
          <w:right w:w="0" w:type="dxa"/>
        </w:tblCellMar>
        <w:tblLook w:val="04A0" w:firstRow="1" w:lastRow="0" w:firstColumn="1" w:lastColumn="0" w:noHBand="0" w:noVBand="1"/>
      </w:tblPr>
      <w:tblGrid>
        <w:gridCol w:w="1830"/>
        <w:gridCol w:w="2186"/>
        <w:gridCol w:w="3916"/>
        <w:gridCol w:w="1127"/>
        <w:gridCol w:w="1411"/>
      </w:tblGrid>
      <w:tr w:rsidR="004647F1" w:rsidRPr="00260B47" w:rsidTr="00AA5066">
        <w:trPr>
          <w:trHeight w:val="491"/>
        </w:trPr>
        <w:tc>
          <w:tcPr>
            <w:tcW w:w="1830" w:type="dxa"/>
            <w:tcBorders>
              <w:top w:val="single" w:sz="8" w:space="0" w:color="auto"/>
              <w:left w:val="single" w:sz="8" w:space="0" w:color="auto"/>
              <w:bottom w:val="single" w:sz="4" w:space="0" w:color="auto"/>
              <w:right w:val="single" w:sz="8" w:space="0" w:color="auto"/>
            </w:tcBorders>
            <w:vAlign w:val="bottom"/>
          </w:tcPr>
          <w:p w:rsidR="004647F1" w:rsidRPr="00260B47" w:rsidRDefault="004647F1" w:rsidP="00D75995">
            <w:pPr>
              <w:ind w:left="80" w:right="-50"/>
              <w:rPr>
                <w:sz w:val="21"/>
                <w:szCs w:val="21"/>
              </w:rPr>
            </w:pPr>
            <w:r w:rsidRPr="00260B47">
              <w:rPr>
                <w:rFonts w:eastAsia="Times New Roman"/>
                <w:b/>
                <w:bCs/>
                <w:sz w:val="21"/>
                <w:szCs w:val="21"/>
              </w:rPr>
              <w:t>Composante</w:t>
            </w:r>
          </w:p>
        </w:tc>
        <w:tc>
          <w:tcPr>
            <w:tcW w:w="2186" w:type="dxa"/>
            <w:tcBorders>
              <w:top w:val="single" w:sz="8" w:space="0" w:color="auto"/>
              <w:bottom w:val="single" w:sz="4" w:space="0" w:color="auto"/>
              <w:right w:val="single" w:sz="8" w:space="0" w:color="auto"/>
            </w:tcBorders>
            <w:vAlign w:val="bottom"/>
          </w:tcPr>
          <w:p w:rsidR="004647F1" w:rsidRPr="00260B47" w:rsidRDefault="004647F1" w:rsidP="00D75995">
            <w:pPr>
              <w:ind w:left="60" w:right="-50"/>
              <w:rPr>
                <w:sz w:val="21"/>
                <w:szCs w:val="21"/>
              </w:rPr>
            </w:pPr>
            <w:r w:rsidRPr="00260B47">
              <w:rPr>
                <w:rFonts w:eastAsia="Times New Roman"/>
                <w:b/>
                <w:bCs/>
                <w:sz w:val="21"/>
                <w:szCs w:val="21"/>
              </w:rPr>
              <w:t>Eléments de suivi</w:t>
            </w:r>
          </w:p>
        </w:tc>
        <w:tc>
          <w:tcPr>
            <w:tcW w:w="3916" w:type="dxa"/>
            <w:tcBorders>
              <w:top w:val="single" w:sz="8" w:space="0" w:color="auto"/>
              <w:bottom w:val="single" w:sz="4" w:space="0" w:color="auto"/>
              <w:right w:val="single" w:sz="8" w:space="0" w:color="auto"/>
            </w:tcBorders>
            <w:vAlign w:val="bottom"/>
          </w:tcPr>
          <w:p w:rsidR="004647F1" w:rsidRPr="00260B47" w:rsidRDefault="004647F1" w:rsidP="00D75995">
            <w:pPr>
              <w:ind w:left="60" w:right="-50"/>
              <w:rPr>
                <w:sz w:val="21"/>
                <w:szCs w:val="21"/>
              </w:rPr>
            </w:pPr>
            <w:r w:rsidRPr="00260B47">
              <w:rPr>
                <w:rFonts w:eastAsia="Times New Roman"/>
                <w:b/>
                <w:bCs/>
                <w:sz w:val="21"/>
                <w:szCs w:val="21"/>
              </w:rPr>
              <w:t>Indicateurs et éléments à collecter</w:t>
            </w:r>
          </w:p>
        </w:tc>
        <w:tc>
          <w:tcPr>
            <w:tcW w:w="1127" w:type="dxa"/>
            <w:tcBorders>
              <w:top w:val="single" w:sz="8" w:space="0" w:color="auto"/>
              <w:bottom w:val="single" w:sz="4" w:space="0" w:color="auto"/>
              <w:right w:val="single" w:sz="8" w:space="0" w:color="auto"/>
            </w:tcBorders>
            <w:vAlign w:val="bottom"/>
          </w:tcPr>
          <w:p w:rsidR="004647F1" w:rsidRPr="00260B47" w:rsidRDefault="004647F1" w:rsidP="00D75995">
            <w:pPr>
              <w:ind w:left="60" w:right="-50"/>
              <w:rPr>
                <w:sz w:val="21"/>
                <w:szCs w:val="21"/>
              </w:rPr>
            </w:pPr>
            <w:r w:rsidRPr="00260B47">
              <w:rPr>
                <w:rFonts w:eastAsia="Times New Roman"/>
                <w:b/>
                <w:bCs/>
                <w:sz w:val="21"/>
                <w:szCs w:val="21"/>
              </w:rPr>
              <w:t>Périodicité</w:t>
            </w:r>
          </w:p>
        </w:tc>
        <w:tc>
          <w:tcPr>
            <w:tcW w:w="1411" w:type="dxa"/>
            <w:tcBorders>
              <w:top w:val="single" w:sz="8" w:space="0" w:color="auto"/>
              <w:bottom w:val="single" w:sz="4" w:space="0" w:color="auto"/>
              <w:right w:val="single" w:sz="8" w:space="0" w:color="auto"/>
            </w:tcBorders>
            <w:vAlign w:val="bottom"/>
          </w:tcPr>
          <w:p w:rsidR="004647F1" w:rsidRPr="00260B47" w:rsidRDefault="004647F1" w:rsidP="00D75995">
            <w:pPr>
              <w:ind w:left="40" w:right="-50"/>
              <w:rPr>
                <w:sz w:val="21"/>
                <w:szCs w:val="21"/>
              </w:rPr>
            </w:pPr>
            <w:r w:rsidRPr="00260B47">
              <w:rPr>
                <w:rFonts w:eastAsia="Times New Roman"/>
                <w:b/>
                <w:bCs/>
                <w:sz w:val="21"/>
                <w:szCs w:val="21"/>
              </w:rPr>
              <w:t>Responsables du suivi</w:t>
            </w:r>
          </w:p>
        </w:tc>
      </w:tr>
      <w:tr w:rsidR="004647F1" w:rsidRPr="00260B47" w:rsidTr="00AA5066">
        <w:trPr>
          <w:trHeight w:val="264"/>
        </w:trPr>
        <w:tc>
          <w:tcPr>
            <w:tcW w:w="1830" w:type="dxa"/>
            <w:vMerge w:val="restart"/>
            <w:tcBorders>
              <w:top w:val="single" w:sz="4" w:space="0" w:color="auto"/>
              <w:left w:val="single" w:sz="8" w:space="0" w:color="auto"/>
              <w:right w:val="single" w:sz="8" w:space="0" w:color="auto"/>
            </w:tcBorders>
            <w:vAlign w:val="center"/>
          </w:tcPr>
          <w:p w:rsidR="004647F1" w:rsidRPr="00260B47" w:rsidRDefault="004647F1" w:rsidP="00D75995">
            <w:pPr>
              <w:ind w:left="80" w:right="-50"/>
              <w:jc w:val="center"/>
              <w:rPr>
                <w:sz w:val="21"/>
                <w:szCs w:val="21"/>
              </w:rPr>
            </w:pPr>
            <w:r w:rsidRPr="00260B47">
              <w:rPr>
                <w:rFonts w:eastAsia="Times New Roman"/>
                <w:sz w:val="21"/>
                <w:szCs w:val="21"/>
              </w:rPr>
              <w:t>Eaux</w:t>
            </w:r>
          </w:p>
        </w:tc>
        <w:tc>
          <w:tcPr>
            <w:tcW w:w="2186" w:type="dxa"/>
            <w:vMerge w:val="restart"/>
            <w:tcBorders>
              <w:top w:val="single" w:sz="4" w:space="0" w:color="auto"/>
              <w:right w:val="single" w:sz="8" w:space="0" w:color="auto"/>
            </w:tcBorders>
            <w:vAlign w:val="center"/>
          </w:tcPr>
          <w:p w:rsidR="004647F1" w:rsidRPr="00260B47" w:rsidRDefault="004647F1" w:rsidP="00D75995">
            <w:pPr>
              <w:ind w:left="60" w:right="-50"/>
              <w:jc w:val="center"/>
              <w:rPr>
                <w:sz w:val="21"/>
                <w:szCs w:val="21"/>
              </w:rPr>
            </w:pPr>
            <w:r w:rsidRPr="00260B47">
              <w:rPr>
                <w:rFonts w:eastAsia="Times New Roman"/>
                <w:sz w:val="21"/>
                <w:szCs w:val="21"/>
              </w:rPr>
              <w:t>Etat de</w:t>
            </w:r>
          </w:p>
          <w:p w:rsidR="004647F1" w:rsidRPr="00260B47" w:rsidRDefault="004647F1" w:rsidP="00D75995">
            <w:pPr>
              <w:ind w:right="-50"/>
              <w:jc w:val="center"/>
              <w:rPr>
                <w:sz w:val="21"/>
                <w:szCs w:val="21"/>
              </w:rPr>
            </w:pPr>
            <w:r w:rsidRPr="00260B47">
              <w:rPr>
                <w:rFonts w:eastAsia="Times New Roman"/>
                <w:sz w:val="21"/>
                <w:szCs w:val="21"/>
              </w:rPr>
              <w:t>pollution/contamination</w:t>
            </w:r>
          </w:p>
          <w:p w:rsidR="004647F1" w:rsidRPr="00260B47" w:rsidRDefault="004647F1" w:rsidP="00D75995">
            <w:pPr>
              <w:ind w:left="60" w:right="-50"/>
              <w:jc w:val="center"/>
              <w:rPr>
                <w:sz w:val="21"/>
                <w:szCs w:val="21"/>
              </w:rPr>
            </w:pPr>
            <w:r w:rsidRPr="00260B47">
              <w:rPr>
                <w:rFonts w:eastAsia="Times New Roman"/>
                <w:sz w:val="21"/>
                <w:szCs w:val="21"/>
              </w:rPr>
              <w:t>des eaux de surfaces et</w:t>
            </w:r>
          </w:p>
          <w:p w:rsidR="004647F1" w:rsidRPr="00260B47" w:rsidRDefault="004647F1" w:rsidP="00D75995">
            <w:pPr>
              <w:ind w:left="60" w:right="-50"/>
              <w:jc w:val="center"/>
              <w:rPr>
                <w:sz w:val="21"/>
                <w:szCs w:val="21"/>
              </w:rPr>
            </w:pPr>
            <w:r w:rsidRPr="00260B47">
              <w:rPr>
                <w:rFonts w:eastAsia="Times New Roman"/>
                <w:sz w:val="21"/>
                <w:szCs w:val="21"/>
              </w:rPr>
              <w:t>des ressources</w:t>
            </w:r>
          </w:p>
          <w:p w:rsidR="004647F1" w:rsidRPr="00260B47" w:rsidRDefault="004647F1" w:rsidP="00D75995">
            <w:pPr>
              <w:ind w:left="60" w:right="-50"/>
              <w:jc w:val="center"/>
              <w:rPr>
                <w:sz w:val="21"/>
                <w:szCs w:val="21"/>
              </w:rPr>
            </w:pPr>
            <w:r w:rsidRPr="00260B47">
              <w:rPr>
                <w:rFonts w:eastAsia="Times New Roman"/>
                <w:sz w:val="21"/>
                <w:szCs w:val="21"/>
              </w:rPr>
              <w:t>souterraines (puits)</w:t>
            </w:r>
          </w:p>
        </w:tc>
        <w:tc>
          <w:tcPr>
            <w:tcW w:w="3916" w:type="dxa"/>
            <w:vMerge w:val="restart"/>
            <w:tcBorders>
              <w:top w:val="single" w:sz="4" w:space="0" w:color="auto"/>
              <w:right w:val="single" w:sz="8" w:space="0" w:color="auto"/>
            </w:tcBorders>
            <w:vAlign w:val="center"/>
          </w:tcPr>
          <w:p w:rsidR="004647F1" w:rsidRPr="00260B47" w:rsidRDefault="004647F1" w:rsidP="00D75995">
            <w:pPr>
              <w:ind w:left="60" w:right="-50"/>
              <w:jc w:val="center"/>
              <w:rPr>
                <w:sz w:val="21"/>
                <w:szCs w:val="21"/>
              </w:rPr>
            </w:pPr>
            <w:r w:rsidRPr="00260B47">
              <w:rPr>
                <w:rFonts w:ascii="Symbol" w:eastAsia="Symbol" w:hAnsi="Symbol" w:cs="Symbol"/>
                <w:sz w:val="21"/>
                <w:szCs w:val="21"/>
              </w:rPr>
              <w:t></w:t>
            </w:r>
            <w:r w:rsidR="00370CA3">
              <w:rPr>
                <w:rFonts w:eastAsia="Times New Roman"/>
                <w:sz w:val="21"/>
                <w:szCs w:val="21"/>
              </w:rPr>
              <w:t xml:space="preserve">Nombre d’analyse </w:t>
            </w:r>
            <w:r w:rsidRPr="00260B47">
              <w:rPr>
                <w:rFonts w:eastAsia="Times New Roman"/>
                <w:sz w:val="21"/>
                <w:szCs w:val="21"/>
              </w:rPr>
              <w:t xml:space="preserve"> physico-chimique et</w:t>
            </w:r>
          </w:p>
          <w:p w:rsidR="004647F1" w:rsidRPr="00260B47" w:rsidRDefault="004647F1" w:rsidP="00D75995">
            <w:pPr>
              <w:ind w:left="420" w:right="-50"/>
              <w:jc w:val="center"/>
              <w:rPr>
                <w:sz w:val="21"/>
                <w:szCs w:val="21"/>
              </w:rPr>
            </w:pPr>
            <w:r w:rsidRPr="00260B47">
              <w:rPr>
                <w:rFonts w:eastAsia="Times New Roman"/>
                <w:sz w:val="21"/>
                <w:szCs w:val="21"/>
              </w:rPr>
              <w:t>Bactériologique des plans d’eau (,</w:t>
            </w:r>
          </w:p>
          <w:p w:rsidR="004647F1" w:rsidRPr="00260B47" w:rsidRDefault="004647F1" w:rsidP="00D75995">
            <w:pPr>
              <w:ind w:left="420" w:right="-50"/>
              <w:jc w:val="center"/>
              <w:rPr>
                <w:sz w:val="21"/>
                <w:szCs w:val="21"/>
              </w:rPr>
            </w:pPr>
            <w:r w:rsidRPr="00260B47">
              <w:rPr>
                <w:rFonts w:eastAsia="Times New Roman"/>
                <w:sz w:val="21"/>
                <w:szCs w:val="21"/>
              </w:rPr>
              <w:t>résidus de pesticides, etc.)</w:t>
            </w:r>
            <w:r w:rsidR="00370CA3">
              <w:rPr>
                <w:rFonts w:eastAsia="Times New Roman"/>
                <w:sz w:val="21"/>
                <w:szCs w:val="21"/>
              </w:rPr>
              <w:t xml:space="preserve"> effectué ;</w:t>
            </w:r>
          </w:p>
        </w:tc>
        <w:tc>
          <w:tcPr>
            <w:tcW w:w="1127" w:type="dxa"/>
            <w:vMerge w:val="restart"/>
            <w:tcBorders>
              <w:top w:val="single" w:sz="4" w:space="0" w:color="auto"/>
              <w:right w:val="single" w:sz="8" w:space="0" w:color="auto"/>
            </w:tcBorders>
            <w:vAlign w:val="center"/>
          </w:tcPr>
          <w:p w:rsidR="004647F1" w:rsidRPr="00260B47" w:rsidRDefault="004647F1" w:rsidP="00D75995">
            <w:pPr>
              <w:ind w:left="60" w:right="-50"/>
              <w:jc w:val="center"/>
              <w:rPr>
                <w:sz w:val="21"/>
                <w:szCs w:val="21"/>
              </w:rPr>
            </w:pPr>
            <w:r w:rsidRPr="00260B47">
              <w:rPr>
                <w:rFonts w:eastAsia="Times New Roman"/>
                <w:sz w:val="21"/>
                <w:szCs w:val="21"/>
              </w:rPr>
              <w:t>Une fois par</w:t>
            </w:r>
          </w:p>
          <w:p w:rsidR="004647F1" w:rsidRPr="00260B47" w:rsidRDefault="004647F1" w:rsidP="00D75995">
            <w:pPr>
              <w:ind w:left="60" w:right="-50"/>
              <w:jc w:val="center"/>
              <w:rPr>
                <w:sz w:val="21"/>
                <w:szCs w:val="21"/>
              </w:rPr>
            </w:pPr>
            <w:r w:rsidRPr="00260B47">
              <w:rPr>
                <w:rFonts w:eastAsia="Times New Roman"/>
                <w:sz w:val="21"/>
                <w:szCs w:val="21"/>
              </w:rPr>
              <w:t>mois</w:t>
            </w:r>
          </w:p>
        </w:tc>
        <w:tc>
          <w:tcPr>
            <w:tcW w:w="1411" w:type="dxa"/>
            <w:vMerge w:val="restart"/>
            <w:tcBorders>
              <w:top w:val="single" w:sz="4" w:space="0" w:color="auto"/>
              <w:right w:val="single" w:sz="8" w:space="0" w:color="auto"/>
            </w:tcBorders>
            <w:vAlign w:val="center"/>
          </w:tcPr>
          <w:p w:rsidR="004647F1" w:rsidRPr="00260B47" w:rsidRDefault="004647F1" w:rsidP="00D75995">
            <w:pPr>
              <w:ind w:left="40" w:right="-50"/>
              <w:jc w:val="center"/>
              <w:rPr>
                <w:sz w:val="21"/>
                <w:szCs w:val="21"/>
              </w:rPr>
            </w:pPr>
            <w:r w:rsidRPr="00260B47">
              <w:rPr>
                <w:rFonts w:ascii="Symbol" w:eastAsia="Symbol" w:hAnsi="Symbol" w:cs="Symbol"/>
                <w:sz w:val="21"/>
                <w:szCs w:val="21"/>
              </w:rPr>
              <w:t></w:t>
            </w:r>
            <w:r w:rsidR="00CB5D1D">
              <w:rPr>
                <w:rFonts w:ascii="Symbol" w:eastAsia="Symbol" w:hAnsi="Symbol" w:cs="Symbol"/>
                <w:sz w:val="21"/>
                <w:szCs w:val="21"/>
              </w:rPr>
              <w:t></w:t>
            </w:r>
            <w:r w:rsidRPr="00260B47">
              <w:rPr>
                <w:rFonts w:eastAsia="Times New Roman"/>
                <w:sz w:val="21"/>
                <w:szCs w:val="21"/>
              </w:rPr>
              <w:t>PUSA</w:t>
            </w:r>
          </w:p>
          <w:p w:rsidR="004647F1" w:rsidRPr="00260B47" w:rsidRDefault="004647F1"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DPV</w:t>
            </w:r>
          </w:p>
          <w:p w:rsidR="004647F1" w:rsidRPr="00260B47" w:rsidRDefault="004647F1"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DGE</w:t>
            </w: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D75995">
            <w:pPr>
              <w:ind w:left="80" w:right="-50"/>
              <w:rPr>
                <w:sz w:val="21"/>
                <w:szCs w:val="21"/>
              </w:rPr>
            </w:pPr>
          </w:p>
        </w:tc>
        <w:tc>
          <w:tcPr>
            <w:tcW w:w="2186" w:type="dxa"/>
            <w:vMerge/>
            <w:tcBorders>
              <w:right w:val="single" w:sz="8" w:space="0" w:color="auto"/>
            </w:tcBorders>
            <w:vAlign w:val="bottom"/>
          </w:tcPr>
          <w:p w:rsidR="004647F1" w:rsidRPr="00260B47" w:rsidRDefault="004647F1" w:rsidP="00D75995">
            <w:pPr>
              <w:ind w:left="60" w:right="-50"/>
              <w:rPr>
                <w:sz w:val="21"/>
                <w:szCs w:val="21"/>
              </w:rPr>
            </w:pPr>
          </w:p>
        </w:tc>
        <w:tc>
          <w:tcPr>
            <w:tcW w:w="3916" w:type="dxa"/>
            <w:vMerge/>
            <w:tcBorders>
              <w:right w:val="single" w:sz="8" w:space="0" w:color="auto"/>
            </w:tcBorders>
            <w:vAlign w:val="bottom"/>
          </w:tcPr>
          <w:p w:rsidR="004647F1" w:rsidRPr="00260B47" w:rsidRDefault="004647F1" w:rsidP="00D75995">
            <w:pPr>
              <w:ind w:left="420" w:right="-50"/>
              <w:rPr>
                <w:sz w:val="21"/>
                <w:szCs w:val="21"/>
              </w:rPr>
            </w:pPr>
          </w:p>
        </w:tc>
        <w:tc>
          <w:tcPr>
            <w:tcW w:w="1127" w:type="dxa"/>
            <w:vMerge/>
            <w:tcBorders>
              <w:right w:val="single" w:sz="8" w:space="0" w:color="auto"/>
            </w:tcBorders>
            <w:vAlign w:val="bottom"/>
          </w:tcPr>
          <w:p w:rsidR="004647F1" w:rsidRPr="00260B47" w:rsidRDefault="004647F1" w:rsidP="00D75995">
            <w:pPr>
              <w:ind w:left="60" w:right="-50"/>
              <w:rPr>
                <w:sz w:val="21"/>
                <w:szCs w:val="21"/>
              </w:rPr>
            </w:pPr>
          </w:p>
        </w:tc>
        <w:tc>
          <w:tcPr>
            <w:tcW w:w="1411" w:type="dxa"/>
            <w:vMerge/>
            <w:tcBorders>
              <w:right w:val="single" w:sz="8" w:space="0" w:color="auto"/>
            </w:tcBorders>
            <w:vAlign w:val="bottom"/>
          </w:tcPr>
          <w:p w:rsidR="004647F1" w:rsidRPr="00260B47" w:rsidRDefault="004647F1" w:rsidP="00D75995">
            <w:pPr>
              <w:ind w:left="40" w:right="-50"/>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D75995">
            <w:pPr>
              <w:ind w:left="80" w:right="-50"/>
              <w:rPr>
                <w:sz w:val="21"/>
                <w:szCs w:val="21"/>
              </w:rPr>
            </w:pPr>
          </w:p>
        </w:tc>
        <w:tc>
          <w:tcPr>
            <w:tcW w:w="2186" w:type="dxa"/>
            <w:vMerge/>
            <w:tcBorders>
              <w:right w:val="single" w:sz="8" w:space="0" w:color="auto"/>
            </w:tcBorders>
            <w:vAlign w:val="bottom"/>
          </w:tcPr>
          <w:p w:rsidR="004647F1" w:rsidRPr="00260B47" w:rsidRDefault="004647F1" w:rsidP="00D75995">
            <w:pPr>
              <w:ind w:left="60" w:right="-50"/>
              <w:rPr>
                <w:sz w:val="21"/>
                <w:szCs w:val="21"/>
              </w:rPr>
            </w:pPr>
          </w:p>
        </w:tc>
        <w:tc>
          <w:tcPr>
            <w:tcW w:w="3916" w:type="dxa"/>
            <w:vMerge/>
            <w:tcBorders>
              <w:right w:val="single" w:sz="8" w:space="0" w:color="auto"/>
            </w:tcBorders>
            <w:vAlign w:val="bottom"/>
          </w:tcPr>
          <w:p w:rsidR="004647F1" w:rsidRPr="00260B47" w:rsidRDefault="004647F1" w:rsidP="00D75995">
            <w:pPr>
              <w:ind w:left="420" w:right="-50"/>
              <w:rPr>
                <w:sz w:val="21"/>
                <w:szCs w:val="21"/>
              </w:rPr>
            </w:pPr>
          </w:p>
        </w:tc>
        <w:tc>
          <w:tcPr>
            <w:tcW w:w="1127" w:type="dxa"/>
            <w:vMerge/>
            <w:tcBorders>
              <w:right w:val="single" w:sz="8" w:space="0" w:color="auto"/>
            </w:tcBorders>
            <w:vAlign w:val="bottom"/>
          </w:tcPr>
          <w:p w:rsidR="004647F1" w:rsidRPr="00260B47" w:rsidRDefault="004647F1" w:rsidP="00D75995">
            <w:pPr>
              <w:ind w:left="60" w:right="-50"/>
              <w:rPr>
                <w:sz w:val="21"/>
                <w:szCs w:val="21"/>
              </w:rPr>
            </w:pPr>
          </w:p>
        </w:tc>
        <w:tc>
          <w:tcPr>
            <w:tcW w:w="1411" w:type="dxa"/>
            <w:vMerge/>
            <w:tcBorders>
              <w:right w:val="single" w:sz="8" w:space="0" w:color="auto"/>
            </w:tcBorders>
            <w:vAlign w:val="bottom"/>
          </w:tcPr>
          <w:p w:rsidR="004647F1" w:rsidRPr="00260B47" w:rsidRDefault="004647F1" w:rsidP="00D75995">
            <w:pPr>
              <w:ind w:left="40" w:right="-50"/>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D75995">
            <w:pPr>
              <w:ind w:right="-50"/>
              <w:rPr>
                <w:sz w:val="21"/>
                <w:szCs w:val="21"/>
              </w:rPr>
            </w:pPr>
          </w:p>
        </w:tc>
        <w:tc>
          <w:tcPr>
            <w:tcW w:w="2186" w:type="dxa"/>
            <w:vMerge/>
            <w:tcBorders>
              <w:right w:val="single" w:sz="8" w:space="0" w:color="auto"/>
            </w:tcBorders>
            <w:vAlign w:val="bottom"/>
          </w:tcPr>
          <w:p w:rsidR="004647F1" w:rsidRPr="00260B47" w:rsidRDefault="004647F1" w:rsidP="00D75995">
            <w:pPr>
              <w:ind w:left="60" w:right="-50"/>
              <w:rPr>
                <w:sz w:val="21"/>
                <w:szCs w:val="21"/>
              </w:rPr>
            </w:pPr>
          </w:p>
        </w:tc>
        <w:tc>
          <w:tcPr>
            <w:tcW w:w="3916" w:type="dxa"/>
            <w:vMerge/>
            <w:tcBorders>
              <w:right w:val="single" w:sz="8" w:space="0" w:color="auto"/>
            </w:tcBorders>
            <w:vAlign w:val="bottom"/>
          </w:tcPr>
          <w:p w:rsidR="004647F1" w:rsidRPr="00260B47" w:rsidRDefault="004647F1" w:rsidP="00D75995">
            <w:pPr>
              <w:ind w:left="420" w:right="-50"/>
              <w:rPr>
                <w:sz w:val="21"/>
                <w:szCs w:val="21"/>
              </w:rPr>
            </w:pPr>
          </w:p>
        </w:tc>
        <w:tc>
          <w:tcPr>
            <w:tcW w:w="1127" w:type="dxa"/>
            <w:vMerge/>
            <w:tcBorders>
              <w:right w:val="single" w:sz="8" w:space="0" w:color="auto"/>
            </w:tcBorders>
            <w:vAlign w:val="bottom"/>
          </w:tcPr>
          <w:p w:rsidR="004647F1" w:rsidRPr="00260B47" w:rsidRDefault="004647F1" w:rsidP="00D75995">
            <w:pPr>
              <w:ind w:left="60" w:right="-50"/>
              <w:rPr>
                <w:sz w:val="21"/>
                <w:szCs w:val="21"/>
              </w:rPr>
            </w:pPr>
          </w:p>
        </w:tc>
        <w:tc>
          <w:tcPr>
            <w:tcW w:w="1411" w:type="dxa"/>
            <w:vMerge/>
            <w:tcBorders>
              <w:right w:val="single" w:sz="8" w:space="0" w:color="auto"/>
            </w:tcBorders>
            <w:vAlign w:val="bottom"/>
          </w:tcPr>
          <w:p w:rsidR="004647F1" w:rsidRPr="00260B47" w:rsidRDefault="004647F1" w:rsidP="00D75995">
            <w:pPr>
              <w:ind w:left="40" w:right="-50"/>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D75995">
            <w:pPr>
              <w:ind w:right="-50"/>
              <w:rPr>
                <w:sz w:val="21"/>
                <w:szCs w:val="21"/>
              </w:rPr>
            </w:pPr>
          </w:p>
        </w:tc>
        <w:tc>
          <w:tcPr>
            <w:tcW w:w="2186" w:type="dxa"/>
            <w:vMerge/>
            <w:tcBorders>
              <w:right w:val="single" w:sz="8" w:space="0" w:color="auto"/>
            </w:tcBorders>
            <w:vAlign w:val="bottom"/>
          </w:tcPr>
          <w:p w:rsidR="004647F1" w:rsidRPr="00260B47" w:rsidRDefault="004647F1" w:rsidP="00D75995">
            <w:pPr>
              <w:ind w:left="60" w:right="-50"/>
              <w:rPr>
                <w:sz w:val="21"/>
                <w:szCs w:val="21"/>
              </w:rPr>
            </w:pPr>
          </w:p>
        </w:tc>
        <w:tc>
          <w:tcPr>
            <w:tcW w:w="3916" w:type="dxa"/>
            <w:vMerge/>
            <w:tcBorders>
              <w:right w:val="single" w:sz="8" w:space="0" w:color="auto"/>
            </w:tcBorders>
            <w:vAlign w:val="bottom"/>
          </w:tcPr>
          <w:p w:rsidR="004647F1" w:rsidRPr="00260B47" w:rsidRDefault="004647F1" w:rsidP="00D75995">
            <w:pPr>
              <w:ind w:left="420" w:right="-50"/>
              <w:rPr>
                <w:sz w:val="21"/>
                <w:szCs w:val="21"/>
              </w:rPr>
            </w:pPr>
          </w:p>
        </w:tc>
        <w:tc>
          <w:tcPr>
            <w:tcW w:w="1127" w:type="dxa"/>
            <w:vMerge/>
            <w:tcBorders>
              <w:right w:val="single" w:sz="8" w:space="0" w:color="auto"/>
            </w:tcBorders>
            <w:vAlign w:val="bottom"/>
          </w:tcPr>
          <w:p w:rsidR="004647F1" w:rsidRPr="00260B47" w:rsidRDefault="004647F1" w:rsidP="00D75995">
            <w:pPr>
              <w:ind w:left="60" w:right="-50"/>
              <w:rPr>
                <w:sz w:val="21"/>
                <w:szCs w:val="21"/>
              </w:rPr>
            </w:pPr>
          </w:p>
        </w:tc>
        <w:tc>
          <w:tcPr>
            <w:tcW w:w="1411" w:type="dxa"/>
            <w:vMerge/>
            <w:tcBorders>
              <w:right w:val="single" w:sz="8" w:space="0" w:color="auto"/>
            </w:tcBorders>
            <w:vAlign w:val="bottom"/>
          </w:tcPr>
          <w:p w:rsidR="004647F1" w:rsidRPr="00260B47" w:rsidRDefault="004647F1" w:rsidP="00D75995">
            <w:pPr>
              <w:ind w:left="40" w:right="-50"/>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D75995">
            <w:pPr>
              <w:ind w:right="-50"/>
              <w:rPr>
                <w:sz w:val="21"/>
                <w:szCs w:val="21"/>
              </w:rPr>
            </w:pPr>
          </w:p>
        </w:tc>
        <w:tc>
          <w:tcPr>
            <w:tcW w:w="2186" w:type="dxa"/>
            <w:vMerge/>
            <w:tcBorders>
              <w:right w:val="single" w:sz="8" w:space="0" w:color="auto"/>
            </w:tcBorders>
            <w:vAlign w:val="bottom"/>
          </w:tcPr>
          <w:p w:rsidR="004647F1" w:rsidRPr="00260B47" w:rsidRDefault="004647F1" w:rsidP="00D75995">
            <w:pPr>
              <w:ind w:left="60" w:right="-50"/>
              <w:rPr>
                <w:sz w:val="21"/>
                <w:szCs w:val="21"/>
              </w:rPr>
            </w:pPr>
          </w:p>
        </w:tc>
        <w:tc>
          <w:tcPr>
            <w:tcW w:w="3916" w:type="dxa"/>
            <w:vMerge/>
            <w:tcBorders>
              <w:right w:val="single" w:sz="8" w:space="0" w:color="auto"/>
            </w:tcBorders>
            <w:vAlign w:val="bottom"/>
          </w:tcPr>
          <w:p w:rsidR="004647F1" w:rsidRPr="00260B47" w:rsidRDefault="004647F1" w:rsidP="00D75995">
            <w:pPr>
              <w:ind w:left="420" w:right="-50"/>
              <w:rPr>
                <w:sz w:val="21"/>
                <w:szCs w:val="21"/>
              </w:rPr>
            </w:pPr>
          </w:p>
        </w:tc>
        <w:tc>
          <w:tcPr>
            <w:tcW w:w="1127" w:type="dxa"/>
            <w:vMerge/>
            <w:tcBorders>
              <w:right w:val="single" w:sz="8" w:space="0" w:color="auto"/>
            </w:tcBorders>
            <w:vAlign w:val="bottom"/>
          </w:tcPr>
          <w:p w:rsidR="004647F1" w:rsidRPr="00260B47" w:rsidRDefault="004647F1" w:rsidP="00D75995">
            <w:pPr>
              <w:ind w:right="-50"/>
              <w:rPr>
                <w:sz w:val="21"/>
                <w:szCs w:val="21"/>
              </w:rPr>
            </w:pPr>
          </w:p>
        </w:tc>
        <w:tc>
          <w:tcPr>
            <w:tcW w:w="1411" w:type="dxa"/>
            <w:vMerge/>
            <w:tcBorders>
              <w:right w:val="single" w:sz="8" w:space="0" w:color="auto"/>
            </w:tcBorders>
            <w:vAlign w:val="bottom"/>
          </w:tcPr>
          <w:p w:rsidR="004647F1" w:rsidRPr="00260B47" w:rsidRDefault="004647F1" w:rsidP="00D75995">
            <w:pPr>
              <w:ind w:right="-50"/>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D75995">
            <w:pPr>
              <w:ind w:right="-50"/>
              <w:rPr>
                <w:sz w:val="21"/>
                <w:szCs w:val="21"/>
              </w:rPr>
            </w:pPr>
          </w:p>
        </w:tc>
        <w:tc>
          <w:tcPr>
            <w:tcW w:w="2186" w:type="dxa"/>
            <w:vMerge/>
            <w:tcBorders>
              <w:right w:val="single" w:sz="8" w:space="0" w:color="auto"/>
            </w:tcBorders>
            <w:vAlign w:val="bottom"/>
          </w:tcPr>
          <w:p w:rsidR="004647F1" w:rsidRPr="00260B47" w:rsidRDefault="004647F1" w:rsidP="00D75995">
            <w:pPr>
              <w:ind w:left="60" w:right="-50"/>
              <w:rPr>
                <w:sz w:val="21"/>
                <w:szCs w:val="21"/>
              </w:rPr>
            </w:pPr>
          </w:p>
        </w:tc>
        <w:tc>
          <w:tcPr>
            <w:tcW w:w="3916" w:type="dxa"/>
            <w:vMerge/>
            <w:tcBorders>
              <w:right w:val="single" w:sz="8" w:space="0" w:color="auto"/>
            </w:tcBorders>
            <w:vAlign w:val="bottom"/>
          </w:tcPr>
          <w:p w:rsidR="004647F1" w:rsidRPr="00260B47" w:rsidRDefault="004647F1" w:rsidP="00D75995">
            <w:pPr>
              <w:ind w:right="-50"/>
              <w:rPr>
                <w:sz w:val="21"/>
                <w:szCs w:val="21"/>
              </w:rPr>
            </w:pPr>
          </w:p>
        </w:tc>
        <w:tc>
          <w:tcPr>
            <w:tcW w:w="1127" w:type="dxa"/>
            <w:vMerge/>
            <w:tcBorders>
              <w:right w:val="single" w:sz="8" w:space="0" w:color="auto"/>
            </w:tcBorders>
            <w:vAlign w:val="bottom"/>
          </w:tcPr>
          <w:p w:rsidR="004647F1" w:rsidRPr="00260B47" w:rsidRDefault="004647F1" w:rsidP="00D75995">
            <w:pPr>
              <w:ind w:right="-50"/>
              <w:rPr>
                <w:sz w:val="21"/>
                <w:szCs w:val="21"/>
              </w:rPr>
            </w:pPr>
          </w:p>
        </w:tc>
        <w:tc>
          <w:tcPr>
            <w:tcW w:w="1411" w:type="dxa"/>
            <w:vMerge/>
            <w:tcBorders>
              <w:right w:val="single" w:sz="8" w:space="0" w:color="auto"/>
            </w:tcBorders>
            <w:vAlign w:val="bottom"/>
          </w:tcPr>
          <w:p w:rsidR="004647F1" w:rsidRPr="00260B47" w:rsidRDefault="004647F1" w:rsidP="00D75995">
            <w:pPr>
              <w:ind w:right="-50"/>
              <w:rPr>
                <w:sz w:val="21"/>
                <w:szCs w:val="21"/>
              </w:rPr>
            </w:pPr>
          </w:p>
        </w:tc>
      </w:tr>
      <w:tr w:rsidR="004647F1" w:rsidRPr="00260B47" w:rsidTr="00AA5066">
        <w:trPr>
          <w:trHeight w:val="241"/>
        </w:trPr>
        <w:tc>
          <w:tcPr>
            <w:tcW w:w="1830" w:type="dxa"/>
            <w:vMerge/>
            <w:tcBorders>
              <w:left w:val="single" w:sz="8" w:space="0" w:color="auto"/>
              <w:bottom w:val="single" w:sz="8" w:space="0" w:color="auto"/>
              <w:right w:val="single" w:sz="8" w:space="0" w:color="auto"/>
            </w:tcBorders>
            <w:vAlign w:val="bottom"/>
          </w:tcPr>
          <w:p w:rsidR="004647F1" w:rsidRPr="00260B47" w:rsidRDefault="004647F1" w:rsidP="00D75995">
            <w:pPr>
              <w:ind w:right="-50"/>
              <w:rPr>
                <w:sz w:val="21"/>
                <w:szCs w:val="21"/>
              </w:rPr>
            </w:pPr>
          </w:p>
        </w:tc>
        <w:tc>
          <w:tcPr>
            <w:tcW w:w="2186" w:type="dxa"/>
            <w:vMerge/>
            <w:tcBorders>
              <w:bottom w:val="single" w:sz="8" w:space="0" w:color="auto"/>
              <w:right w:val="single" w:sz="8" w:space="0" w:color="auto"/>
            </w:tcBorders>
            <w:vAlign w:val="bottom"/>
          </w:tcPr>
          <w:p w:rsidR="004647F1" w:rsidRPr="00260B47" w:rsidRDefault="004647F1" w:rsidP="00D75995">
            <w:pPr>
              <w:ind w:left="60" w:right="-50"/>
              <w:rPr>
                <w:sz w:val="21"/>
                <w:szCs w:val="21"/>
              </w:rPr>
            </w:pPr>
          </w:p>
        </w:tc>
        <w:tc>
          <w:tcPr>
            <w:tcW w:w="3916" w:type="dxa"/>
            <w:vMerge/>
            <w:tcBorders>
              <w:bottom w:val="single" w:sz="8" w:space="0" w:color="auto"/>
              <w:right w:val="single" w:sz="8" w:space="0" w:color="auto"/>
            </w:tcBorders>
            <w:vAlign w:val="bottom"/>
          </w:tcPr>
          <w:p w:rsidR="004647F1" w:rsidRPr="00260B47" w:rsidRDefault="004647F1" w:rsidP="00D75995">
            <w:pPr>
              <w:ind w:right="-50"/>
              <w:rPr>
                <w:sz w:val="21"/>
                <w:szCs w:val="21"/>
              </w:rPr>
            </w:pPr>
          </w:p>
        </w:tc>
        <w:tc>
          <w:tcPr>
            <w:tcW w:w="1127" w:type="dxa"/>
            <w:vMerge/>
            <w:tcBorders>
              <w:bottom w:val="single" w:sz="8" w:space="0" w:color="auto"/>
              <w:right w:val="single" w:sz="8" w:space="0" w:color="auto"/>
            </w:tcBorders>
            <w:vAlign w:val="bottom"/>
          </w:tcPr>
          <w:p w:rsidR="004647F1" w:rsidRPr="00260B47" w:rsidRDefault="004647F1" w:rsidP="00D75995">
            <w:pPr>
              <w:ind w:right="-50"/>
              <w:rPr>
                <w:sz w:val="21"/>
                <w:szCs w:val="21"/>
              </w:rPr>
            </w:pPr>
          </w:p>
        </w:tc>
        <w:tc>
          <w:tcPr>
            <w:tcW w:w="1411" w:type="dxa"/>
            <w:vMerge/>
            <w:tcBorders>
              <w:bottom w:val="single" w:sz="8" w:space="0" w:color="auto"/>
              <w:right w:val="single" w:sz="8" w:space="0" w:color="auto"/>
            </w:tcBorders>
            <w:vAlign w:val="bottom"/>
          </w:tcPr>
          <w:p w:rsidR="004647F1" w:rsidRPr="00260B47" w:rsidRDefault="004647F1" w:rsidP="00D75995">
            <w:pPr>
              <w:ind w:right="-50"/>
              <w:rPr>
                <w:sz w:val="21"/>
                <w:szCs w:val="21"/>
              </w:rPr>
            </w:pPr>
          </w:p>
        </w:tc>
      </w:tr>
      <w:tr w:rsidR="00865B2A" w:rsidRPr="00260B47" w:rsidTr="00AA5066">
        <w:trPr>
          <w:trHeight w:val="702"/>
        </w:trPr>
        <w:tc>
          <w:tcPr>
            <w:tcW w:w="1830" w:type="dxa"/>
            <w:vMerge w:val="restart"/>
            <w:tcBorders>
              <w:left w:val="single" w:sz="8" w:space="0" w:color="auto"/>
              <w:bottom w:val="nil"/>
              <w:right w:val="single" w:sz="8" w:space="0" w:color="auto"/>
            </w:tcBorders>
            <w:vAlign w:val="center"/>
          </w:tcPr>
          <w:p w:rsidR="00865B2A" w:rsidRPr="00260B47" w:rsidRDefault="00865B2A" w:rsidP="00D75995">
            <w:pPr>
              <w:ind w:left="80" w:right="-50"/>
              <w:jc w:val="center"/>
              <w:rPr>
                <w:sz w:val="21"/>
                <w:szCs w:val="21"/>
              </w:rPr>
            </w:pPr>
            <w:r w:rsidRPr="00260B47">
              <w:rPr>
                <w:rFonts w:eastAsia="Times New Roman"/>
                <w:sz w:val="21"/>
                <w:szCs w:val="21"/>
              </w:rPr>
              <w:t>Sols</w:t>
            </w:r>
          </w:p>
        </w:tc>
        <w:tc>
          <w:tcPr>
            <w:tcW w:w="2186" w:type="dxa"/>
            <w:vMerge w:val="restart"/>
            <w:tcBorders>
              <w:bottom w:val="nil"/>
              <w:right w:val="single" w:sz="8" w:space="0" w:color="auto"/>
            </w:tcBorders>
            <w:vAlign w:val="center"/>
          </w:tcPr>
          <w:p w:rsidR="00865B2A" w:rsidRPr="00260B47" w:rsidRDefault="00865B2A" w:rsidP="00D75995">
            <w:pPr>
              <w:ind w:left="60" w:right="-50"/>
              <w:jc w:val="center"/>
              <w:rPr>
                <w:sz w:val="21"/>
                <w:szCs w:val="21"/>
              </w:rPr>
            </w:pPr>
            <w:r w:rsidRPr="00260B47">
              <w:rPr>
                <w:rFonts w:eastAsia="Times New Roman"/>
                <w:sz w:val="21"/>
                <w:szCs w:val="21"/>
              </w:rPr>
              <w:t>Etat de pollution des sites</w:t>
            </w:r>
          </w:p>
          <w:p w:rsidR="00865B2A" w:rsidRPr="00260B47" w:rsidRDefault="00865B2A" w:rsidP="00D75995">
            <w:pPr>
              <w:ind w:left="60" w:right="-50"/>
              <w:jc w:val="center"/>
              <w:rPr>
                <w:sz w:val="21"/>
                <w:szCs w:val="21"/>
              </w:rPr>
            </w:pPr>
            <w:r w:rsidRPr="00260B47">
              <w:rPr>
                <w:rFonts w:eastAsia="Times New Roman"/>
                <w:sz w:val="21"/>
                <w:szCs w:val="21"/>
              </w:rPr>
              <w:t>de stockage des pesticides</w:t>
            </w:r>
          </w:p>
        </w:tc>
        <w:tc>
          <w:tcPr>
            <w:tcW w:w="3916" w:type="dxa"/>
            <w:vMerge w:val="restart"/>
            <w:tcBorders>
              <w:bottom w:val="nil"/>
              <w:right w:val="single" w:sz="8" w:space="0" w:color="auto"/>
            </w:tcBorders>
            <w:vAlign w:val="center"/>
          </w:tcPr>
          <w:p w:rsidR="00865B2A" w:rsidRPr="00260B47" w:rsidRDefault="00865B2A" w:rsidP="00D75995">
            <w:pPr>
              <w:ind w:left="60" w:right="-50"/>
              <w:jc w:val="center"/>
              <w:rPr>
                <w:sz w:val="21"/>
                <w:szCs w:val="21"/>
              </w:rPr>
            </w:pPr>
            <w:r w:rsidRPr="00260B47">
              <w:rPr>
                <w:rFonts w:ascii="Symbol" w:eastAsia="Symbol" w:hAnsi="Symbol" w:cs="Symbol"/>
                <w:sz w:val="21"/>
                <w:szCs w:val="21"/>
              </w:rPr>
              <w:t></w:t>
            </w:r>
            <w:r w:rsidRPr="00260B47">
              <w:rPr>
                <w:rFonts w:eastAsia="Times New Roman"/>
                <w:sz w:val="21"/>
                <w:szCs w:val="21"/>
              </w:rPr>
              <w:t>Typologie et quantité des rejets (solides et</w:t>
            </w:r>
          </w:p>
          <w:p w:rsidR="00865B2A" w:rsidRPr="00260B47" w:rsidRDefault="00865B2A" w:rsidP="00D75995">
            <w:pPr>
              <w:ind w:left="420" w:right="-50"/>
              <w:jc w:val="center"/>
              <w:rPr>
                <w:sz w:val="21"/>
                <w:szCs w:val="21"/>
              </w:rPr>
            </w:pPr>
            <w:r w:rsidRPr="00260B47">
              <w:rPr>
                <w:rFonts w:eastAsia="Times New Roman"/>
                <w:sz w:val="21"/>
                <w:szCs w:val="21"/>
              </w:rPr>
              <w:t>liquides)</w:t>
            </w:r>
            <w:r w:rsidR="00370CA3">
              <w:rPr>
                <w:rFonts w:eastAsia="Times New Roman"/>
                <w:sz w:val="21"/>
                <w:szCs w:val="21"/>
              </w:rPr>
              <w:t xml:space="preserve"> présente sur site</w:t>
            </w:r>
          </w:p>
        </w:tc>
        <w:tc>
          <w:tcPr>
            <w:tcW w:w="1127" w:type="dxa"/>
            <w:tcBorders>
              <w:bottom w:val="nil"/>
              <w:right w:val="single" w:sz="8" w:space="0" w:color="auto"/>
            </w:tcBorders>
            <w:vAlign w:val="center"/>
          </w:tcPr>
          <w:p w:rsidR="00865B2A" w:rsidRPr="00260B47" w:rsidRDefault="00865B2A" w:rsidP="00D75995">
            <w:pPr>
              <w:ind w:left="60" w:right="-50"/>
              <w:jc w:val="center"/>
              <w:rPr>
                <w:sz w:val="21"/>
                <w:szCs w:val="21"/>
              </w:rPr>
            </w:pPr>
            <w:r w:rsidRPr="00260B47">
              <w:rPr>
                <w:rFonts w:eastAsia="Times New Roman"/>
                <w:sz w:val="21"/>
                <w:szCs w:val="21"/>
              </w:rPr>
              <w:t>Une fois par</w:t>
            </w:r>
          </w:p>
          <w:p w:rsidR="00865B2A" w:rsidRPr="00260B47" w:rsidRDefault="00865B2A" w:rsidP="00D75995">
            <w:pPr>
              <w:ind w:left="60" w:right="-50"/>
              <w:jc w:val="center"/>
              <w:rPr>
                <w:sz w:val="21"/>
                <w:szCs w:val="21"/>
              </w:rPr>
            </w:pPr>
            <w:r w:rsidRPr="00260B47">
              <w:rPr>
                <w:rFonts w:eastAsia="Times New Roman"/>
                <w:sz w:val="21"/>
                <w:szCs w:val="21"/>
              </w:rPr>
              <w:t>mois</w:t>
            </w:r>
          </w:p>
        </w:tc>
        <w:tc>
          <w:tcPr>
            <w:tcW w:w="1411" w:type="dxa"/>
            <w:vMerge w:val="restart"/>
            <w:tcBorders>
              <w:bottom w:val="nil"/>
              <w:right w:val="single" w:sz="8" w:space="0" w:color="auto"/>
            </w:tcBorders>
            <w:vAlign w:val="center"/>
          </w:tcPr>
          <w:p w:rsidR="00BA0EF5" w:rsidRDefault="00865B2A"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PUSA</w:t>
            </w:r>
          </w:p>
          <w:p w:rsidR="00865B2A" w:rsidRPr="00260B47" w:rsidRDefault="00BA0EF5" w:rsidP="00D75995">
            <w:pPr>
              <w:ind w:left="40" w:right="-50"/>
              <w:jc w:val="center"/>
              <w:rPr>
                <w:sz w:val="21"/>
                <w:szCs w:val="21"/>
              </w:rPr>
            </w:pPr>
            <w:r w:rsidRPr="00260B47">
              <w:rPr>
                <w:rFonts w:ascii="Symbol" w:eastAsia="Symbol" w:hAnsi="Symbol" w:cs="Symbol"/>
                <w:sz w:val="21"/>
                <w:szCs w:val="21"/>
              </w:rPr>
              <w:t></w:t>
            </w:r>
            <w:r w:rsidR="00865B2A" w:rsidRPr="00260B47">
              <w:rPr>
                <w:sz w:val="21"/>
                <w:szCs w:val="21"/>
              </w:rPr>
              <w:t>DGE</w:t>
            </w:r>
          </w:p>
          <w:p w:rsidR="00865B2A" w:rsidRPr="00260B47" w:rsidRDefault="00865B2A"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DPV</w:t>
            </w:r>
          </w:p>
        </w:tc>
      </w:tr>
      <w:tr w:rsidR="00865B2A" w:rsidRPr="00260B47" w:rsidTr="00AA5066">
        <w:trPr>
          <w:trHeight w:val="133"/>
        </w:trPr>
        <w:tc>
          <w:tcPr>
            <w:tcW w:w="1830" w:type="dxa"/>
            <w:vMerge/>
            <w:tcBorders>
              <w:left w:val="single" w:sz="8" w:space="0" w:color="auto"/>
              <w:bottom w:val="single" w:sz="8" w:space="0" w:color="auto"/>
              <w:right w:val="single" w:sz="8" w:space="0" w:color="auto"/>
            </w:tcBorders>
            <w:vAlign w:val="bottom"/>
          </w:tcPr>
          <w:p w:rsidR="00865B2A" w:rsidRPr="00260B47" w:rsidRDefault="00865B2A" w:rsidP="00D75995">
            <w:pPr>
              <w:ind w:right="-50"/>
              <w:rPr>
                <w:sz w:val="21"/>
                <w:szCs w:val="21"/>
              </w:rPr>
            </w:pPr>
          </w:p>
        </w:tc>
        <w:tc>
          <w:tcPr>
            <w:tcW w:w="2186" w:type="dxa"/>
            <w:vMerge/>
            <w:tcBorders>
              <w:bottom w:val="single" w:sz="8" w:space="0" w:color="auto"/>
              <w:right w:val="single" w:sz="8" w:space="0" w:color="auto"/>
            </w:tcBorders>
            <w:vAlign w:val="bottom"/>
          </w:tcPr>
          <w:p w:rsidR="00865B2A" w:rsidRPr="00260B47" w:rsidRDefault="00865B2A" w:rsidP="00D75995">
            <w:pPr>
              <w:ind w:right="-50"/>
              <w:rPr>
                <w:sz w:val="21"/>
                <w:szCs w:val="21"/>
              </w:rPr>
            </w:pPr>
          </w:p>
        </w:tc>
        <w:tc>
          <w:tcPr>
            <w:tcW w:w="3916" w:type="dxa"/>
            <w:vMerge/>
            <w:tcBorders>
              <w:bottom w:val="single" w:sz="8" w:space="0" w:color="auto"/>
              <w:right w:val="single" w:sz="8" w:space="0" w:color="auto"/>
            </w:tcBorders>
            <w:vAlign w:val="bottom"/>
          </w:tcPr>
          <w:p w:rsidR="00865B2A" w:rsidRPr="00260B47" w:rsidRDefault="00865B2A" w:rsidP="00D75995">
            <w:pPr>
              <w:ind w:right="-50"/>
              <w:rPr>
                <w:sz w:val="21"/>
                <w:szCs w:val="21"/>
              </w:rPr>
            </w:pPr>
          </w:p>
        </w:tc>
        <w:tc>
          <w:tcPr>
            <w:tcW w:w="1127" w:type="dxa"/>
            <w:tcBorders>
              <w:bottom w:val="single" w:sz="8" w:space="0" w:color="auto"/>
              <w:right w:val="single" w:sz="8" w:space="0" w:color="auto"/>
            </w:tcBorders>
            <w:vAlign w:val="bottom"/>
          </w:tcPr>
          <w:p w:rsidR="00865B2A" w:rsidRPr="00260B47" w:rsidRDefault="00865B2A" w:rsidP="00D75995">
            <w:pPr>
              <w:ind w:right="-50"/>
              <w:rPr>
                <w:sz w:val="21"/>
                <w:szCs w:val="21"/>
              </w:rPr>
            </w:pPr>
          </w:p>
        </w:tc>
        <w:tc>
          <w:tcPr>
            <w:tcW w:w="1411" w:type="dxa"/>
            <w:vMerge/>
            <w:tcBorders>
              <w:bottom w:val="single" w:sz="8" w:space="0" w:color="auto"/>
              <w:right w:val="single" w:sz="8" w:space="0" w:color="auto"/>
            </w:tcBorders>
            <w:vAlign w:val="bottom"/>
          </w:tcPr>
          <w:p w:rsidR="00865B2A" w:rsidRPr="00260B47" w:rsidRDefault="00865B2A" w:rsidP="00D75995">
            <w:pPr>
              <w:ind w:right="-50"/>
              <w:rPr>
                <w:sz w:val="21"/>
                <w:szCs w:val="21"/>
              </w:rPr>
            </w:pPr>
          </w:p>
        </w:tc>
      </w:tr>
      <w:tr w:rsidR="0017764C" w:rsidRPr="00260B47" w:rsidTr="00AA5066">
        <w:trPr>
          <w:trHeight w:val="1247"/>
        </w:trPr>
        <w:tc>
          <w:tcPr>
            <w:tcW w:w="1830" w:type="dxa"/>
            <w:tcBorders>
              <w:left w:val="single" w:sz="8" w:space="0" w:color="auto"/>
              <w:right w:val="single" w:sz="8" w:space="0" w:color="auto"/>
            </w:tcBorders>
            <w:vAlign w:val="center"/>
          </w:tcPr>
          <w:p w:rsidR="0017764C" w:rsidRPr="00260B47" w:rsidRDefault="0017764C" w:rsidP="00D75995">
            <w:pPr>
              <w:ind w:left="80" w:right="-50"/>
              <w:jc w:val="center"/>
              <w:rPr>
                <w:sz w:val="21"/>
                <w:szCs w:val="21"/>
              </w:rPr>
            </w:pPr>
            <w:r w:rsidRPr="00260B47">
              <w:rPr>
                <w:rFonts w:eastAsia="Times New Roman"/>
                <w:sz w:val="21"/>
                <w:szCs w:val="21"/>
              </w:rPr>
              <w:t>Végétation et</w:t>
            </w:r>
          </w:p>
          <w:p w:rsidR="0017764C" w:rsidRPr="00260B47" w:rsidRDefault="0017764C" w:rsidP="00D75995">
            <w:pPr>
              <w:ind w:left="80" w:right="-50"/>
              <w:jc w:val="center"/>
              <w:rPr>
                <w:sz w:val="21"/>
                <w:szCs w:val="21"/>
              </w:rPr>
            </w:pPr>
            <w:r w:rsidRPr="00260B47">
              <w:rPr>
                <w:rFonts w:eastAsia="Times New Roman"/>
                <w:sz w:val="21"/>
                <w:szCs w:val="21"/>
              </w:rPr>
              <w:t>faune</w:t>
            </w:r>
          </w:p>
        </w:tc>
        <w:tc>
          <w:tcPr>
            <w:tcW w:w="2186" w:type="dxa"/>
            <w:vMerge w:val="restart"/>
            <w:tcBorders>
              <w:right w:val="single" w:sz="8" w:space="0" w:color="auto"/>
            </w:tcBorders>
            <w:vAlign w:val="center"/>
          </w:tcPr>
          <w:p w:rsidR="0017764C" w:rsidRPr="00260B47" w:rsidRDefault="0017764C" w:rsidP="00D75995">
            <w:pPr>
              <w:ind w:left="60" w:right="-50"/>
              <w:jc w:val="center"/>
              <w:rPr>
                <w:sz w:val="21"/>
                <w:szCs w:val="21"/>
              </w:rPr>
            </w:pPr>
            <w:r w:rsidRPr="00260B47">
              <w:rPr>
                <w:rFonts w:eastAsia="Times New Roman"/>
                <w:sz w:val="21"/>
                <w:szCs w:val="21"/>
              </w:rPr>
              <w:t>Évolution de la faune et</w:t>
            </w:r>
          </w:p>
          <w:p w:rsidR="0017764C" w:rsidRPr="00260B47" w:rsidRDefault="0017764C" w:rsidP="00D75995">
            <w:pPr>
              <w:ind w:left="60" w:right="-50"/>
              <w:jc w:val="center"/>
              <w:rPr>
                <w:sz w:val="21"/>
                <w:szCs w:val="21"/>
              </w:rPr>
            </w:pPr>
            <w:r w:rsidRPr="00260B47">
              <w:rPr>
                <w:rFonts w:eastAsia="Times New Roman"/>
                <w:sz w:val="21"/>
                <w:szCs w:val="21"/>
              </w:rPr>
              <w:t>de la microfaune ;  et</w:t>
            </w:r>
          </w:p>
          <w:p w:rsidR="0017764C" w:rsidRPr="00260B47" w:rsidRDefault="0017764C" w:rsidP="00D75995">
            <w:pPr>
              <w:ind w:left="60" w:right="-50"/>
              <w:jc w:val="center"/>
              <w:rPr>
                <w:sz w:val="21"/>
                <w:szCs w:val="21"/>
              </w:rPr>
            </w:pPr>
            <w:r w:rsidRPr="00260B47">
              <w:rPr>
                <w:rFonts w:eastAsia="Times New Roman"/>
                <w:sz w:val="21"/>
                <w:szCs w:val="21"/>
              </w:rPr>
              <w:t>l'état de la flore de la</w:t>
            </w:r>
          </w:p>
          <w:p w:rsidR="0017764C" w:rsidRPr="00260B47" w:rsidRDefault="0017764C" w:rsidP="00D75995">
            <w:pPr>
              <w:ind w:left="60" w:right="-50"/>
              <w:jc w:val="center"/>
              <w:rPr>
                <w:sz w:val="21"/>
                <w:szCs w:val="21"/>
              </w:rPr>
            </w:pPr>
            <w:r w:rsidRPr="00260B47">
              <w:rPr>
                <w:rFonts w:eastAsia="Times New Roman"/>
                <w:sz w:val="21"/>
                <w:szCs w:val="21"/>
              </w:rPr>
              <w:t>biodiversité animale et</w:t>
            </w:r>
          </w:p>
          <w:p w:rsidR="0017764C" w:rsidRPr="00260B47" w:rsidRDefault="0017764C" w:rsidP="00D75995">
            <w:pPr>
              <w:ind w:left="60" w:right="-50"/>
              <w:jc w:val="center"/>
              <w:rPr>
                <w:sz w:val="21"/>
                <w:szCs w:val="21"/>
              </w:rPr>
            </w:pPr>
            <w:r w:rsidRPr="00260B47">
              <w:rPr>
                <w:rFonts w:eastAsia="Times New Roman"/>
                <w:sz w:val="21"/>
                <w:szCs w:val="21"/>
              </w:rPr>
              <w:t>végétale</w:t>
            </w:r>
          </w:p>
        </w:tc>
        <w:tc>
          <w:tcPr>
            <w:tcW w:w="3916" w:type="dxa"/>
            <w:vMerge w:val="restart"/>
            <w:tcBorders>
              <w:right w:val="single" w:sz="8" w:space="0" w:color="auto"/>
            </w:tcBorders>
            <w:vAlign w:val="center"/>
          </w:tcPr>
          <w:p w:rsidR="0017764C" w:rsidRPr="00260B47" w:rsidRDefault="0017764C" w:rsidP="00D75995">
            <w:pPr>
              <w:ind w:left="60" w:right="-50"/>
              <w:jc w:val="center"/>
              <w:rPr>
                <w:sz w:val="21"/>
                <w:szCs w:val="21"/>
              </w:rPr>
            </w:pPr>
            <w:r w:rsidRPr="00260B47">
              <w:rPr>
                <w:rFonts w:ascii="Symbol" w:eastAsia="Symbol" w:hAnsi="Symbol" w:cs="Symbol"/>
                <w:sz w:val="21"/>
                <w:szCs w:val="21"/>
              </w:rPr>
              <w:t></w:t>
            </w:r>
            <w:r w:rsidRPr="00260B47">
              <w:rPr>
                <w:rFonts w:eastAsia="Times New Roman"/>
                <w:sz w:val="21"/>
                <w:szCs w:val="21"/>
              </w:rPr>
              <w:t>Présence de résidus toxiques au niveau</w:t>
            </w:r>
          </w:p>
          <w:p w:rsidR="0017764C" w:rsidRPr="00260B47" w:rsidRDefault="0017764C" w:rsidP="00D75995">
            <w:pPr>
              <w:ind w:left="420" w:right="-50"/>
              <w:jc w:val="center"/>
              <w:rPr>
                <w:sz w:val="21"/>
                <w:szCs w:val="21"/>
              </w:rPr>
            </w:pPr>
            <w:r w:rsidRPr="00260B47">
              <w:rPr>
                <w:rFonts w:eastAsia="Times New Roman"/>
                <w:sz w:val="21"/>
                <w:szCs w:val="21"/>
              </w:rPr>
              <w:t>des plantes et des cultures</w:t>
            </w:r>
          </w:p>
          <w:p w:rsidR="0017764C" w:rsidRPr="00260B47" w:rsidRDefault="0017764C" w:rsidP="00D75995">
            <w:pPr>
              <w:ind w:left="60" w:right="-50"/>
              <w:jc w:val="center"/>
              <w:rPr>
                <w:sz w:val="21"/>
                <w:szCs w:val="21"/>
              </w:rPr>
            </w:pPr>
            <w:r w:rsidRPr="00260B47">
              <w:rPr>
                <w:rFonts w:ascii="Symbol" w:eastAsia="Symbol" w:hAnsi="Symbol" w:cs="Symbol"/>
                <w:sz w:val="21"/>
                <w:szCs w:val="21"/>
              </w:rPr>
              <w:t></w:t>
            </w:r>
            <w:r w:rsidRPr="00260B47">
              <w:rPr>
                <w:rFonts w:eastAsia="Times New Roman"/>
                <w:sz w:val="21"/>
                <w:szCs w:val="21"/>
              </w:rPr>
              <w:t>Niveaux de destruction des non cibles</w:t>
            </w:r>
          </w:p>
          <w:p w:rsidR="0017764C" w:rsidRPr="00260B47" w:rsidRDefault="0017764C" w:rsidP="00D75995">
            <w:pPr>
              <w:ind w:left="420" w:right="-50"/>
              <w:jc w:val="center"/>
              <w:rPr>
                <w:sz w:val="21"/>
                <w:szCs w:val="21"/>
              </w:rPr>
            </w:pPr>
            <w:r w:rsidRPr="00260B47">
              <w:rPr>
                <w:rFonts w:eastAsia="Times New Roman"/>
                <w:sz w:val="21"/>
                <w:szCs w:val="21"/>
              </w:rPr>
              <w:t>(animaux, faune aquatiques et</w:t>
            </w:r>
          </w:p>
          <w:p w:rsidR="0017764C" w:rsidRPr="00260B47" w:rsidRDefault="0017764C" w:rsidP="00D75995">
            <w:pPr>
              <w:ind w:left="420" w:right="-50"/>
              <w:jc w:val="center"/>
              <w:rPr>
                <w:sz w:val="21"/>
                <w:szCs w:val="21"/>
              </w:rPr>
            </w:pPr>
            <w:r w:rsidRPr="00260B47">
              <w:rPr>
                <w:rFonts w:eastAsia="Times New Roman"/>
                <w:sz w:val="21"/>
                <w:szCs w:val="21"/>
              </w:rPr>
              <w:t>végétation)</w:t>
            </w:r>
          </w:p>
        </w:tc>
        <w:tc>
          <w:tcPr>
            <w:tcW w:w="1127" w:type="dxa"/>
            <w:vMerge w:val="restart"/>
            <w:tcBorders>
              <w:right w:val="single" w:sz="8" w:space="0" w:color="auto"/>
            </w:tcBorders>
            <w:vAlign w:val="center"/>
          </w:tcPr>
          <w:p w:rsidR="0017764C" w:rsidRPr="00260B47" w:rsidRDefault="0017764C" w:rsidP="00D75995">
            <w:pPr>
              <w:ind w:left="60" w:right="-50"/>
              <w:jc w:val="center"/>
              <w:rPr>
                <w:sz w:val="21"/>
                <w:szCs w:val="21"/>
              </w:rPr>
            </w:pPr>
            <w:r w:rsidRPr="00260B47">
              <w:rPr>
                <w:rFonts w:eastAsia="Times New Roman"/>
                <w:sz w:val="21"/>
                <w:szCs w:val="21"/>
              </w:rPr>
              <w:t>Une fois par</w:t>
            </w:r>
          </w:p>
          <w:p w:rsidR="0017764C" w:rsidRPr="00260B47" w:rsidRDefault="0017764C" w:rsidP="00D75995">
            <w:pPr>
              <w:ind w:left="60" w:right="-50"/>
              <w:jc w:val="center"/>
              <w:rPr>
                <w:sz w:val="21"/>
                <w:szCs w:val="21"/>
              </w:rPr>
            </w:pPr>
            <w:r w:rsidRPr="00260B47">
              <w:rPr>
                <w:rFonts w:eastAsia="Times New Roman"/>
                <w:sz w:val="21"/>
                <w:szCs w:val="21"/>
              </w:rPr>
              <w:t>mois</w:t>
            </w:r>
          </w:p>
        </w:tc>
        <w:tc>
          <w:tcPr>
            <w:tcW w:w="1411" w:type="dxa"/>
            <w:vMerge w:val="restart"/>
            <w:tcBorders>
              <w:right w:val="single" w:sz="8" w:space="0" w:color="auto"/>
            </w:tcBorders>
            <w:vAlign w:val="center"/>
          </w:tcPr>
          <w:p w:rsidR="0017764C" w:rsidRPr="00260B47" w:rsidRDefault="0017764C"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PUSA</w:t>
            </w:r>
          </w:p>
          <w:p w:rsidR="0017764C" w:rsidRPr="00260B47" w:rsidRDefault="0017764C"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DPV</w:t>
            </w:r>
          </w:p>
          <w:p w:rsidR="0017764C" w:rsidRPr="00260B47" w:rsidRDefault="0017764C"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DGE</w:t>
            </w:r>
          </w:p>
          <w:p w:rsidR="0017764C" w:rsidRPr="00260B47" w:rsidRDefault="0017764C"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DGA</w:t>
            </w:r>
          </w:p>
        </w:tc>
      </w:tr>
      <w:tr w:rsidR="00BA0EF5" w:rsidRPr="00260B47" w:rsidTr="00AA5066">
        <w:trPr>
          <w:trHeight w:val="23"/>
        </w:trPr>
        <w:tc>
          <w:tcPr>
            <w:tcW w:w="1830" w:type="dxa"/>
            <w:tcBorders>
              <w:left w:val="single" w:sz="8" w:space="0" w:color="auto"/>
              <w:bottom w:val="single" w:sz="8" w:space="0" w:color="auto"/>
              <w:right w:val="single" w:sz="8" w:space="0" w:color="auto"/>
            </w:tcBorders>
            <w:vAlign w:val="bottom"/>
          </w:tcPr>
          <w:p w:rsidR="00BA0EF5" w:rsidRPr="00260B47" w:rsidRDefault="00BA0EF5" w:rsidP="00D75995">
            <w:pPr>
              <w:ind w:right="-50"/>
              <w:rPr>
                <w:sz w:val="21"/>
                <w:szCs w:val="21"/>
              </w:rPr>
            </w:pPr>
          </w:p>
        </w:tc>
        <w:tc>
          <w:tcPr>
            <w:tcW w:w="2186" w:type="dxa"/>
            <w:vMerge/>
            <w:tcBorders>
              <w:bottom w:val="single" w:sz="8" w:space="0" w:color="auto"/>
              <w:right w:val="single" w:sz="8" w:space="0" w:color="auto"/>
            </w:tcBorders>
            <w:vAlign w:val="bottom"/>
          </w:tcPr>
          <w:p w:rsidR="00BA0EF5" w:rsidRPr="00260B47" w:rsidRDefault="00BA0EF5" w:rsidP="00D75995">
            <w:pPr>
              <w:ind w:right="-50"/>
              <w:rPr>
                <w:sz w:val="21"/>
                <w:szCs w:val="21"/>
              </w:rPr>
            </w:pPr>
          </w:p>
        </w:tc>
        <w:tc>
          <w:tcPr>
            <w:tcW w:w="3916" w:type="dxa"/>
            <w:vMerge/>
            <w:tcBorders>
              <w:bottom w:val="single" w:sz="8" w:space="0" w:color="auto"/>
              <w:right w:val="single" w:sz="8" w:space="0" w:color="auto"/>
            </w:tcBorders>
            <w:vAlign w:val="bottom"/>
          </w:tcPr>
          <w:p w:rsidR="00BA0EF5" w:rsidRPr="00260B47" w:rsidRDefault="00BA0EF5" w:rsidP="00D75995">
            <w:pPr>
              <w:ind w:right="-50"/>
              <w:rPr>
                <w:sz w:val="21"/>
                <w:szCs w:val="21"/>
              </w:rPr>
            </w:pPr>
          </w:p>
        </w:tc>
        <w:tc>
          <w:tcPr>
            <w:tcW w:w="1127" w:type="dxa"/>
            <w:vMerge/>
            <w:tcBorders>
              <w:bottom w:val="single" w:sz="8" w:space="0" w:color="auto"/>
              <w:right w:val="single" w:sz="8" w:space="0" w:color="auto"/>
            </w:tcBorders>
            <w:vAlign w:val="bottom"/>
          </w:tcPr>
          <w:p w:rsidR="00BA0EF5" w:rsidRPr="00260B47" w:rsidRDefault="00BA0EF5" w:rsidP="00D75995">
            <w:pPr>
              <w:ind w:right="-50"/>
              <w:rPr>
                <w:sz w:val="21"/>
                <w:szCs w:val="21"/>
              </w:rPr>
            </w:pPr>
          </w:p>
        </w:tc>
        <w:tc>
          <w:tcPr>
            <w:tcW w:w="1411" w:type="dxa"/>
            <w:vMerge/>
            <w:tcBorders>
              <w:bottom w:val="single" w:sz="8" w:space="0" w:color="auto"/>
              <w:right w:val="single" w:sz="8" w:space="0" w:color="auto"/>
            </w:tcBorders>
            <w:vAlign w:val="bottom"/>
          </w:tcPr>
          <w:p w:rsidR="00BA0EF5" w:rsidRPr="00260B47" w:rsidRDefault="00BA0EF5" w:rsidP="00D75995">
            <w:pPr>
              <w:ind w:right="-50"/>
              <w:rPr>
                <w:sz w:val="21"/>
                <w:szCs w:val="21"/>
              </w:rPr>
            </w:pPr>
          </w:p>
        </w:tc>
      </w:tr>
      <w:tr w:rsidR="00D872AD" w:rsidRPr="00260B47" w:rsidTr="00F5679F">
        <w:trPr>
          <w:trHeight w:val="1820"/>
        </w:trPr>
        <w:tc>
          <w:tcPr>
            <w:tcW w:w="1830" w:type="dxa"/>
            <w:tcBorders>
              <w:top w:val="single" w:sz="8" w:space="0" w:color="auto"/>
              <w:left w:val="single" w:sz="8" w:space="0" w:color="auto"/>
              <w:bottom w:val="single" w:sz="4" w:space="0" w:color="auto"/>
              <w:right w:val="single" w:sz="8" w:space="0" w:color="auto"/>
            </w:tcBorders>
            <w:vAlign w:val="center"/>
          </w:tcPr>
          <w:p w:rsidR="00D872AD" w:rsidRPr="00260B47" w:rsidRDefault="00D872AD" w:rsidP="00D75995">
            <w:pPr>
              <w:ind w:left="80" w:right="-50"/>
              <w:jc w:val="center"/>
              <w:rPr>
                <w:sz w:val="21"/>
                <w:szCs w:val="21"/>
              </w:rPr>
            </w:pPr>
            <w:r w:rsidRPr="00260B47">
              <w:rPr>
                <w:rFonts w:eastAsia="Times New Roman"/>
                <w:sz w:val="21"/>
                <w:szCs w:val="21"/>
              </w:rPr>
              <w:t>Environnement humain</w:t>
            </w:r>
          </w:p>
        </w:tc>
        <w:tc>
          <w:tcPr>
            <w:tcW w:w="2186" w:type="dxa"/>
            <w:tcBorders>
              <w:top w:val="single" w:sz="8" w:space="0" w:color="auto"/>
              <w:bottom w:val="single" w:sz="4" w:space="0" w:color="auto"/>
              <w:right w:val="single" w:sz="8" w:space="0" w:color="auto"/>
            </w:tcBorders>
            <w:vAlign w:val="center"/>
          </w:tcPr>
          <w:p w:rsidR="00D872AD" w:rsidRPr="00260B47" w:rsidRDefault="00D872AD" w:rsidP="00D75995">
            <w:pPr>
              <w:ind w:left="60" w:right="-50"/>
              <w:jc w:val="center"/>
              <w:rPr>
                <w:sz w:val="21"/>
                <w:szCs w:val="21"/>
              </w:rPr>
            </w:pPr>
            <w:r w:rsidRPr="00260B47">
              <w:rPr>
                <w:rFonts w:eastAsia="Times New Roman"/>
                <w:sz w:val="21"/>
                <w:szCs w:val="21"/>
              </w:rPr>
              <w:t>Hygiène et santé</w:t>
            </w:r>
          </w:p>
          <w:p w:rsidR="00D872AD" w:rsidRPr="00260B47" w:rsidRDefault="00D872AD" w:rsidP="00D75995">
            <w:pPr>
              <w:ind w:left="60" w:right="-50"/>
              <w:jc w:val="center"/>
              <w:rPr>
                <w:sz w:val="21"/>
                <w:szCs w:val="21"/>
              </w:rPr>
            </w:pPr>
            <w:r w:rsidRPr="00260B47">
              <w:rPr>
                <w:rFonts w:eastAsia="Times New Roman"/>
                <w:sz w:val="21"/>
                <w:szCs w:val="21"/>
              </w:rPr>
              <w:t>Pollution et nuisances</w:t>
            </w:r>
          </w:p>
          <w:p w:rsidR="00D872AD" w:rsidRPr="00260B47" w:rsidRDefault="00D872AD" w:rsidP="00D75995">
            <w:pPr>
              <w:ind w:left="60" w:right="-50"/>
              <w:jc w:val="center"/>
              <w:rPr>
                <w:sz w:val="21"/>
                <w:szCs w:val="21"/>
              </w:rPr>
            </w:pPr>
            <w:r w:rsidRPr="00260B47">
              <w:rPr>
                <w:rFonts w:eastAsia="Times New Roman"/>
                <w:sz w:val="21"/>
                <w:szCs w:val="21"/>
              </w:rPr>
              <w:t>Protection et Sécurité lors</w:t>
            </w:r>
          </w:p>
          <w:p w:rsidR="00D872AD" w:rsidRPr="00260B47" w:rsidRDefault="00D872AD" w:rsidP="00D75995">
            <w:pPr>
              <w:ind w:left="60" w:right="-50"/>
              <w:jc w:val="center"/>
              <w:rPr>
                <w:sz w:val="21"/>
                <w:szCs w:val="21"/>
              </w:rPr>
            </w:pPr>
            <w:r w:rsidRPr="00260B47">
              <w:rPr>
                <w:rFonts w:eastAsia="Times New Roman"/>
                <w:sz w:val="21"/>
                <w:szCs w:val="21"/>
              </w:rPr>
              <w:t>des opérations</w:t>
            </w:r>
          </w:p>
        </w:tc>
        <w:tc>
          <w:tcPr>
            <w:tcW w:w="3916" w:type="dxa"/>
            <w:tcBorders>
              <w:top w:val="single" w:sz="8" w:space="0" w:color="auto"/>
              <w:bottom w:val="single" w:sz="4" w:space="0" w:color="auto"/>
              <w:right w:val="single" w:sz="8" w:space="0" w:color="auto"/>
            </w:tcBorders>
            <w:vAlign w:val="bottom"/>
          </w:tcPr>
          <w:p w:rsidR="00D872AD" w:rsidRPr="00260B47" w:rsidRDefault="00D872AD" w:rsidP="00D75995">
            <w:pPr>
              <w:ind w:left="60" w:right="-50"/>
              <w:rPr>
                <w:sz w:val="21"/>
                <w:szCs w:val="21"/>
              </w:rPr>
            </w:pPr>
            <w:r w:rsidRPr="00260B47">
              <w:rPr>
                <w:rFonts w:ascii="Symbol" w:eastAsia="Symbol" w:hAnsi="Symbol" w:cs="Symbol"/>
                <w:sz w:val="21"/>
                <w:szCs w:val="21"/>
              </w:rPr>
              <w:t></w:t>
            </w:r>
            <w:r w:rsidRPr="00260B47">
              <w:rPr>
                <w:rFonts w:eastAsia="Times New Roman"/>
                <w:sz w:val="21"/>
                <w:szCs w:val="21"/>
              </w:rPr>
              <w:t>Types et qualité des pesticides utilisés</w:t>
            </w:r>
          </w:p>
          <w:p w:rsidR="00D872AD" w:rsidRPr="00260B47" w:rsidRDefault="00D872AD" w:rsidP="00D75995">
            <w:pPr>
              <w:ind w:left="60" w:right="-50"/>
              <w:rPr>
                <w:sz w:val="21"/>
                <w:szCs w:val="21"/>
              </w:rPr>
            </w:pPr>
            <w:r w:rsidRPr="00260B47">
              <w:rPr>
                <w:rFonts w:ascii="Symbol" w:eastAsia="Symbol" w:hAnsi="Symbol" w:cs="Symbol"/>
                <w:sz w:val="21"/>
                <w:szCs w:val="21"/>
              </w:rPr>
              <w:t></w:t>
            </w:r>
            <w:r w:rsidRPr="00260B47">
              <w:rPr>
                <w:rFonts w:eastAsia="Times New Roman"/>
                <w:sz w:val="21"/>
                <w:szCs w:val="21"/>
              </w:rPr>
              <w:t>Nombre de moustiquaires fournis dans la</w:t>
            </w:r>
            <w:r>
              <w:rPr>
                <w:sz w:val="21"/>
                <w:szCs w:val="21"/>
              </w:rPr>
              <w:t xml:space="preserve"> </w:t>
            </w:r>
            <w:r w:rsidRPr="00260B47">
              <w:rPr>
                <w:rFonts w:eastAsia="Times New Roman"/>
                <w:sz w:val="21"/>
                <w:szCs w:val="21"/>
              </w:rPr>
              <w:t>lutte contre le paludisme</w:t>
            </w:r>
          </w:p>
          <w:p w:rsidR="00D872AD" w:rsidRPr="00260B47" w:rsidRDefault="00D872AD" w:rsidP="00D75995">
            <w:pPr>
              <w:ind w:left="60" w:right="-50"/>
              <w:rPr>
                <w:sz w:val="21"/>
                <w:szCs w:val="21"/>
              </w:rPr>
            </w:pPr>
            <w:r w:rsidRPr="00260B47">
              <w:rPr>
                <w:rFonts w:ascii="Symbol" w:eastAsia="Symbol" w:hAnsi="Symbol" w:cs="Symbol"/>
                <w:sz w:val="21"/>
                <w:szCs w:val="21"/>
              </w:rPr>
              <w:t></w:t>
            </w:r>
            <w:r w:rsidRPr="00260B47">
              <w:rPr>
                <w:rFonts w:eastAsia="Times New Roman"/>
                <w:sz w:val="21"/>
                <w:szCs w:val="21"/>
              </w:rPr>
              <w:t>Nombre de cas de paludisme sur les sites</w:t>
            </w:r>
          </w:p>
          <w:p w:rsidR="00D872AD" w:rsidRPr="00260B47" w:rsidRDefault="004204E3" w:rsidP="00D75995">
            <w:pPr>
              <w:ind w:left="420" w:right="-50"/>
              <w:rPr>
                <w:sz w:val="21"/>
                <w:szCs w:val="21"/>
              </w:rPr>
            </w:pPr>
            <w:r w:rsidRPr="00260B47">
              <w:rPr>
                <w:rFonts w:eastAsia="Times New Roman"/>
                <w:sz w:val="21"/>
                <w:szCs w:val="21"/>
              </w:rPr>
              <w:t>D’intervention</w:t>
            </w:r>
          </w:p>
          <w:p w:rsidR="00D872AD" w:rsidRPr="00260B47" w:rsidRDefault="00D872AD" w:rsidP="00D75995">
            <w:pPr>
              <w:ind w:left="60" w:right="-50"/>
              <w:rPr>
                <w:sz w:val="21"/>
                <w:szCs w:val="21"/>
              </w:rPr>
            </w:pPr>
            <w:r w:rsidRPr="00260B47">
              <w:rPr>
                <w:rFonts w:ascii="Symbol" w:eastAsia="Symbol" w:hAnsi="Symbol" w:cs="Symbol"/>
                <w:sz w:val="21"/>
                <w:szCs w:val="21"/>
              </w:rPr>
              <w:t></w:t>
            </w:r>
            <w:r w:rsidRPr="00260B47">
              <w:rPr>
                <w:rFonts w:eastAsia="Times New Roman"/>
                <w:sz w:val="21"/>
                <w:szCs w:val="21"/>
              </w:rPr>
              <w:t>Nombre d’accident/intoxication</w:t>
            </w:r>
          </w:p>
          <w:p w:rsidR="00D872AD" w:rsidRPr="00260B47" w:rsidRDefault="00D872AD" w:rsidP="00345951">
            <w:pPr>
              <w:ind w:left="60" w:right="-50"/>
              <w:rPr>
                <w:sz w:val="21"/>
                <w:szCs w:val="21"/>
              </w:rPr>
            </w:pPr>
            <w:r w:rsidRPr="00260B47">
              <w:rPr>
                <w:rFonts w:ascii="Symbol" w:eastAsia="Symbol" w:hAnsi="Symbol" w:cs="Symbol"/>
                <w:sz w:val="21"/>
                <w:szCs w:val="21"/>
              </w:rPr>
              <w:t></w:t>
            </w:r>
            <w:r w:rsidR="004204E3">
              <w:rPr>
                <w:rFonts w:eastAsia="Symbol"/>
                <w:sz w:val="21"/>
                <w:szCs w:val="21"/>
              </w:rPr>
              <w:t xml:space="preserve">Présence d’un système de </w:t>
            </w:r>
            <w:r w:rsidRPr="00260B47">
              <w:rPr>
                <w:rFonts w:eastAsia="Times New Roman"/>
                <w:sz w:val="21"/>
                <w:szCs w:val="21"/>
              </w:rPr>
              <w:t>Gestion des déchets (résidus de pesticideset emballages vides)</w:t>
            </w:r>
          </w:p>
          <w:p w:rsidR="00D872AD" w:rsidRPr="00260B47" w:rsidRDefault="00D872AD" w:rsidP="00345951">
            <w:pPr>
              <w:ind w:right="-50"/>
              <w:rPr>
                <w:sz w:val="21"/>
                <w:szCs w:val="21"/>
              </w:rPr>
            </w:pPr>
            <w:r w:rsidRPr="00260B47">
              <w:rPr>
                <w:rFonts w:ascii="Symbol" w:eastAsia="Symbol" w:hAnsi="Symbol" w:cs="Symbol"/>
                <w:sz w:val="21"/>
                <w:szCs w:val="21"/>
              </w:rPr>
              <w:t></w:t>
            </w:r>
            <w:r w:rsidR="004204E3">
              <w:rPr>
                <w:rFonts w:ascii="Symbol" w:eastAsia="Symbol" w:hAnsi="Symbol" w:cs="Symbol"/>
                <w:sz w:val="21"/>
                <w:szCs w:val="21"/>
              </w:rPr>
              <w:t></w:t>
            </w:r>
            <w:r w:rsidR="004204E3">
              <w:rPr>
                <w:rFonts w:eastAsia="Symbol"/>
                <w:sz w:val="21"/>
                <w:szCs w:val="21"/>
              </w:rPr>
              <w:t xml:space="preserve">ombre de personne </w:t>
            </w:r>
            <w:r w:rsidR="004204E3">
              <w:rPr>
                <w:rFonts w:eastAsia="Times New Roman"/>
                <w:sz w:val="21"/>
                <w:szCs w:val="21"/>
              </w:rPr>
              <w:t>r</w:t>
            </w:r>
            <w:r w:rsidRPr="00260B47">
              <w:rPr>
                <w:rFonts w:eastAsia="Times New Roman"/>
                <w:sz w:val="21"/>
                <w:szCs w:val="21"/>
              </w:rPr>
              <w:t>espect</w:t>
            </w:r>
            <w:r w:rsidR="004204E3">
              <w:rPr>
                <w:rFonts w:eastAsia="Times New Roman"/>
                <w:sz w:val="21"/>
                <w:szCs w:val="21"/>
              </w:rPr>
              <w:t>ant</w:t>
            </w:r>
            <w:r w:rsidRPr="00260B47">
              <w:rPr>
                <w:rFonts w:eastAsia="Times New Roman"/>
                <w:sz w:val="21"/>
                <w:szCs w:val="21"/>
              </w:rPr>
              <w:t xml:space="preserve"> </w:t>
            </w:r>
            <w:r w:rsidR="00DE2CBB">
              <w:rPr>
                <w:rFonts w:eastAsia="Times New Roman"/>
                <w:sz w:val="21"/>
                <w:szCs w:val="21"/>
              </w:rPr>
              <w:t>le</w:t>
            </w:r>
            <w:r w:rsidRPr="00260B47">
              <w:rPr>
                <w:rFonts w:eastAsia="Times New Roman"/>
                <w:sz w:val="21"/>
                <w:szCs w:val="21"/>
              </w:rPr>
              <w:t xml:space="preserve"> port des équipements de</w:t>
            </w:r>
            <w:r w:rsidR="005E613E">
              <w:rPr>
                <w:rFonts w:eastAsia="Times New Roman"/>
                <w:sz w:val="21"/>
                <w:szCs w:val="21"/>
              </w:rPr>
              <w:t xml:space="preserve"> </w:t>
            </w:r>
            <w:r w:rsidRPr="00260B47">
              <w:rPr>
                <w:rFonts w:eastAsia="Times New Roman"/>
                <w:sz w:val="21"/>
                <w:szCs w:val="21"/>
              </w:rPr>
              <w:t>protection</w:t>
            </w:r>
          </w:p>
          <w:p w:rsidR="00D872AD" w:rsidRPr="00260B47" w:rsidRDefault="00D872AD" w:rsidP="00D75995">
            <w:pPr>
              <w:ind w:left="60" w:right="-50"/>
              <w:rPr>
                <w:sz w:val="21"/>
                <w:szCs w:val="21"/>
              </w:rPr>
            </w:pPr>
            <w:r w:rsidRPr="00260B47">
              <w:rPr>
                <w:rFonts w:ascii="Symbol" w:eastAsia="Symbol" w:hAnsi="Symbol" w:cs="Symbol"/>
                <w:sz w:val="21"/>
                <w:szCs w:val="21"/>
              </w:rPr>
              <w:t></w:t>
            </w:r>
            <w:r w:rsidRPr="00260B47">
              <w:rPr>
                <w:rFonts w:eastAsia="Times New Roman"/>
                <w:sz w:val="21"/>
                <w:szCs w:val="21"/>
              </w:rPr>
              <w:t>Nombre de producteurs sensibilisés sur</w:t>
            </w:r>
          </w:p>
          <w:p w:rsidR="00D872AD" w:rsidRPr="00260B47" w:rsidRDefault="00D872AD" w:rsidP="00D75995">
            <w:pPr>
              <w:ind w:left="420" w:right="-50"/>
              <w:rPr>
                <w:sz w:val="21"/>
                <w:szCs w:val="21"/>
              </w:rPr>
            </w:pPr>
            <w:r w:rsidRPr="00260B47">
              <w:rPr>
                <w:rFonts w:eastAsia="Times New Roman"/>
                <w:sz w:val="21"/>
                <w:szCs w:val="21"/>
              </w:rPr>
              <w:t>l’utilisation des pesticides</w:t>
            </w:r>
          </w:p>
          <w:p w:rsidR="00D872AD" w:rsidRPr="00260B47" w:rsidRDefault="00D872AD" w:rsidP="00D75995">
            <w:pPr>
              <w:ind w:left="60" w:right="-50"/>
              <w:rPr>
                <w:sz w:val="21"/>
                <w:szCs w:val="21"/>
              </w:rPr>
            </w:pPr>
            <w:r w:rsidRPr="00260B47">
              <w:rPr>
                <w:rFonts w:ascii="Symbol" w:eastAsia="Symbol" w:hAnsi="Symbol" w:cs="Symbol"/>
                <w:sz w:val="21"/>
                <w:szCs w:val="21"/>
              </w:rPr>
              <w:t></w:t>
            </w:r>
            <w:r w:rsidR="00DE2CBB">
              <w:rPr>
                <w:rFonts w:eastAsia="Times New Roman"/>
                <w:sz w:val="21"/>
                <w:szCs w:val="21"/>
              </w:rPr>
              <w:t>Nombre de</w:t>
            </w:r>
            <w:r w:rsidRPr="00260B47">
              <w:rPr>
                <w:rFonts w:eastAsia="Times New Roman"/>
                <w:sz w:val="21"/>
                <w:szCs w:val="21"/>
              </w:rPr>
              <w:t xml:space="preserve"> suivi effectué par les agents de</w:t>
            </w:r>
          </w:p>
          <w:p w:rsidR="00D872AD" w:rsidRPr="00260B47" w:rsidRDefault="00D872AD" w:rsidP="00D75995">
            <w:pPr>
              <w:ind w:left="420" w:right="-50"/>
              <w:rPr>
                <w:sz w:val="21"/>
                <w:szCs w:val="21"/>
              </w:rPr>
            </w:pPr>
            <w:r w:rsidRPr="00260B47">
              <w:rPr>
                <w:rFonts w:eastAsia="Times New Roman"/>
                <w:sz w:val="21"/>
                <w:szCs w:val="21"/>
              </w:rPr>
              <w:t>la DPV</w:t>
            </w:r>
          </w:p>
        </w:tc>
        <w:tc>
          <w:tcPr>
            <w:tcW w:w="1127" w:type="dxa"/>
            <w:tcBorders>
              <w:top w:val="single" w:sz="8" w:space="0" w:color="auto"/>
              <w:bottom w:val="single" w:sz="4" w:space="0" w:color="auto"/>
              <w:right w:val="single" w:sz="8" w:space="0" w:color="auto"/>
            </w:tcBorders>
            <w:vAlign w:val="bottom"/>
          </w:tcPr>
          <w:p w:rsidR="00D872AD" w:rsidRPr="00260B47" w:rsidRDefault="00D872AD" w:rsidP="00D75995">
            <w:pPr>
              <w:ind w:left="60" w:right="-50"/>
              <w:rPr>
                <w:sz w:val="21"/>
                <w:szCs w:val="21"/>
              </w:rPr>
            </w:pPr>
            <w:r w:rsidRPr="00260B47">
              <w:rPr>
                <w:rFonts w:eastAsia="Times New Roman"/>
                <w:sz w:val="21"/>
                <w:szCs w:val="21"/>
              </w:rPr>
              <w:t>Une fois par</w:t>
            </w:r>
          </w:p>
          <w:p w:rsidR="00D872AD" w:rsidRPr="00260B47" w:rsidRDefault="00D872AD" w:rsidP="00D75995">
            <w:pPr>
              <w:ind w:left="60" w:right="-50"/>
              <w:rPr>
                <w:sz w:val="21"/>
                <w:szCs w:val="21"/>
              </w:rPr>
            </w:pPr>
            <w:r w:rsidRPr="00260B47">
              <w:rPr>
                <w:rFonts w:eastAsia="Times New Roman"/>
                <w:sz w:val="21"/>
                <w:szCs w:val="21"/>
              </w:rPr>
              <w:t>mois</w:t>
            </w:r>
          </w:p>
        </w:tc>
        <w:tc>
          <w:tcPr>
            <w:tcW w:w="1411" w:type="dxa"/>
            <w:tcBorders>
              <w:top w:val="single" w:sz="8" w:space="0" w:color="auto"/>
              <w:bottom w:val="single" w:sz="4" w:space="0" w:color="auto"/>
              <w:right w:val="single" w:sz="8" w:space="0" w:color="auto"/>
            </w:tcBorders>
            <w:vAlign w:val="center"/>
          </w:tcPr>
          <w:p w:rsidR="00D872AD" w:rsidRPr="00260B47" w:rsidRDefault="00D872AD"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PUSA</w:t>
            </w:r>
          </w:p>
          <w:p w:rsidR="00D872AD" w:rsidRPr="00260B47" w:rsidRDefault="00D872AD"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DPV</w:t>
            </w:r>
          </w:p>
          <w:p w:rsidR="00D872AD" w:rsidRPr="00260B47" w:rsidRDefault="00D872AD"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DGE</w:t>
            </w:r>
          </w:p>
          <w:p w:rsidR="00D872AD" w:rsidRPr="00260B47" w:rsidRDefault="00D872AD"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DRS</w:t>
            </w:r>
          </w:p>
          <w:p w:rsidR="00D872AD" w:rsidRPr="00260B47" w:rsidRDefault="00D872AD"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DGA</w:t>
            </w:r>
          </w:p>
          <w:p w:rsidR="00D872AD" w:rsidRPr="00260B47" w:rsidRDefault="00D872AD"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OP</w:t>
            </w:r>
          </w:p>
          <w:p w:rsidR="00D872AD" w:rsidRPr="00260B47" w:rsidRDefault="00D872AD" w:rsidP="00D75995">
            <w:pPr>
              <w:ind w:left="40" w:right="-50"/>
              <w:jc w:val="center"/>
              <w:rPr>
                <w:sz w:val="21"/>
                <w:szCs w:val="21"/>
              </w:rPr>
            </w:pPr>
            <w:r w:rsidRPr="00260B47">
              <w:rPr>
                <w:rFonts w:ascii="Symbol" w:eastAsia="Symbol" w:hAnsi="Symbol" w:cs="Symbol"/>
                <w:sz w:val="21"/>
                <w:szCs w:val="21"/>
              </w:rPr>
              <w:t></w:t>
            </w:r>
            <w:r w:rsidRPr="00260B47">
              <w:rPr>
                <w:rFonts w:eastAsia="Times New Roman"/>
                <w:sz w:val="21"/>
                <w:szCs w:val="21"/>
              </w:rPr>
              <w:t>Collectivités locales</w:t>
            </w:r>
          </w:p>
        </w:tc>
      </w:tr>
    </w:tbl>
    <w:p w:rsidR="00AD7BEE" w:rsidRPr="00F77A94" w:rsidRDefault="00AD7BEE" w:rsidP="00D75995">
      <w:pPr>
        <w:ind w:left="360" w:right="-50"/>
        <w:jc w:val="both"/>
      </w:pPr>
    </w:p>
    <w:p w:rsidR="00563079" w:rsidRDefault="00563079" w:rsidP="00141132">
      <w:pPr>
        <w:ind w:left="426" w:right="-50"/>
        <w:jc w:val="both"/>
        <w:rPr>
          <w:b/>
        </w:rPr>
      </w:pPr>
      <w:r>
        <w:rPr>
          <w:b/>
        </w:rPr>
        <w:t xml:space="preserve">Arrangements institutionnels </w:t>
      </w:r>
      <w:r w:rsidR="005D44C2">
        <w:rPr>
          <w:b/>
        </w:rPr>
        <w:t>pour la mise en œuvre du PGP</w:t>
      </w:r>
    </w:p>
    <w:p w:rsidR="00563079" w:rsidRDefault="00563079" w:rsidP="00D75995">
      <w:pPr>
        <w:ind w:right="-50"/>
        <w:jc w:val="both"/>
        <w:rPr>
          <w:b/>
        </w:rPr>
      </w:pPr>
    </w:p>
    <w:p w:rsidR="00426A7D" w:rsidRPr="00285890" w:rsidRDefault="00375BD8" w:rsidP="005E613E">
      <w:pPr>
        <w:pStyle w:val="PargrafodaLista"/>
        <w:numPr>
          <w:ilvl w:val="0"/>
          <w:numId w:val="171"/>
        </w:numPr>
        <w:spacing w:after="0" w:line="240" w:lineRule="auto"/>
        <w:ind w:right="-993"/>
        <w:jc w:val="both"/>
        <w:rPr>
          <w:rFonts w:ascii="Times" w:hAnsi="Times"/>
          <w:sz w:val="22"/>
          <w:szCs w:val="22"/>
        </w:rPr>
      </w:pPr>
      <w:r w:rsidRPr="00285890">
        <w:rPr>
          <w:rFonts w:ascii="Times" w:hAnsi="Times"/>
          <w:bCs/>
          <w:i/>
          <w:iCs/>
          <w:sz w:val="22"/>
          <w:szCs w:val="22"/>
        </w:rPr>
        <w:t>L'UCP du PUSA</w:t>
      </w:r>
      <w:r w:rsidR="00426A7D" w:rsidRPr="00285890">
        <w:rPr>
          <w:rFonts w:ascii="Times" w:hAnsi="Times"/>
          <w:bCs/>
          <w:i/>
          <w:iCs/>
          <w:sz w:val="22"/>
          <w:szCs w:val="22"/>
        </w:rPr>
        <w:t xml:space="preserve"> : </w:t>
      </w:r>
      <w:r w:rsidR="00426A7D" w:rsidRPr="00285890">
        <w:rPr>
          <w:rFonts w:ascii="Times" w:hAnsi="Times"/>
          <w:sz w:val="22"/>
          <w:szCs w:val="22"/>
        </w:rPr>
        <w:t>va assurer la coordina</w:t>
      </w:r>
      <w:r w:rsidR="00D740A3" w:rsidRPr="00285890">
        <w:rPr>
          <w:rFonts w:ascii="Times" w:hAnsi="Times"/>
          <w:sz w:val="22"/>
          <w:szCs w:val="22"/>
        </w:rPr>
        <w:t>tion de la mise en œuvre du PGP</w:t>
      </w:r>
      <w:r w:rsidR="00426A7D" w:rsidRPr="00285890">
        <w:rPr>
          <w:rFonts w:ascii="Times" w:hAnsi="Times"/>
          <w:sz w:val="22"/>
          <w:szCs w:val="22"/>
        </w:rPr>
        <w:t xml:space="preserve"> et servir</w:t>
      </w:r>
      <w:r w:rsidR="00426A7D" w:rsidRPr="00285890">
        <w:rPr>
          <w:rFonts w:ascii="Times" w:hAnsi="Times"/>
          <w:bCs/>
          <w:i/>
          <w:iCs/>
          <w:sz w:val="22"/>
          <w:szCs w:val="22"/>
        </w:rPr>
        <w:t xml:space="preserve"> </w:t>
      </w:r>
      <w:r w:rsidR="00426A7D" w:rsidRPr="00285890">
        <w:rPr>
          <w:rFonts w:ascii="Times" w:hAnsi="Times"/>
          <w:sz w:val="22"/>
          <w:szCs w:val="22"/>
        </w:rPr>
        <w:t>d’interface avec les autres ac</w:t>
      </w:r>
      <w:r w:rsidRPr="00285890">
        <w:rPr>
          <w:rFonts w:ascii="Times" w:hAnsi="Times"/>
          <w:sz w:val="22"/>
          <w:szCs w:val="22"/>
        </w:rPr>
        <w:t xml:space="preserve">teurs concernés (DGA ; DPV </w:t>
      </w:r>
      <w:r w:rsidR="00426A7D" w:rsidRPr="00285890">
        <w:rPr>
          <w:rFonts w:ascii="Times" w:hAnsi="Times"/>
          <w:sz w:val="22"/>
          <w:szCs w:val="22"/>
        </w:rPr>
        <w:t>; etc.). Elle coordonnera le renforcement des capacités et la formation des agents en rapport avec le PF/DPV et celui des producteurs agricoles. Il assurera l'organisation de l'atelier de divulgation du manuel de bonnes pratiques et sa vulgarisation dans l</w:t>
      </w:r>
      <w:r w:rsidRPr="00285890">
        <w:rPr>
          <w:rFonts w:ascii="Times" w:hAnsi="Times"/>
          <w:sz w:val="22"/>
          <w:szCs w:val="22"/>
        </w:rPr>
        <w:t>es zones d'intervention du Projet PUSA</w:t>
      </w:r>
      <w:r w:rsidR="00426A7D" w:rsidRPr="00285890">
        <w:rPr>
          <w:rFonts w:ascii="Times" w:hAnsi="Times"/>
          <w:sz w:val="22"/>
          <w:szCs w:val="22"/>
        </w:rPr>
        <w:t>.</w:t>
      </w:r>
    </w:p>
    <w:p w:rsidR="00426A7D" w:rsidRPr="00285890" w:rsidRDefault="00426A7D" w:rsidP="005E613E">
      <w:pPr>
        <w:pStyle w:val="PargrafodaLista"/>
        <w:numPr>
          <w:ilvl w:val="0"/>
          <w:numId w:val="171"/>
        </w:numPr>
        <w:spacing w:after="0" w:line="240" w:lineRule="auto"/>
        <w:ind w:right="-993"/>
        <w:jc w:val="both"/>
        <w:rPr>
          <w:rFonts w:ascii="Times" w:hAnsi="Times"/>
          <w:sz w:val="22"/>
          <w:szCs w:val="22"/>
        </w:rPr>
      </w:pPr>
      <w:r w:rsidRPr="00285890">
        <w:rPr>
          <w:rFonts w:ascii="Times" w:hAnsi="Times"/>
          <w:bCs/>
          <w:i/>
          <w:iCs/>
          <w:sz w:val="22"/>
          <w:szCs w:val="22"/>
        </w:rPr>
        <w:t xml:space="preserve">Le Service de la DPV: </w:t>
      </w:r>
      <w:r w:rsidRPr="00285890">
        <w:rPr>
          <w:rFonts w:ascii="Times" w:hAnsi="Times"/>
          <w:sz w:val="22"/>
          <w:szCs w:val="22"/>
        </w:rPr>
        <w:t>elle va assurer la formation des différents acteurs et participer au suivi</w:t>
      </w:r>
      <w:r w:rsidRPr="00285890">
        <w:rPr>
          <w:rFonts w:ascii="Times" w:hAnsi="Times"/>
          <w:bCs/>
          <w:i/>
          <w:iCs/>
          <w:sz w:val="22"/>
          <w:szCs w:val="22"/>
        </w:rPr>
        <w:t xml:space="preserve"> </w:t>
      </w:r>
      <w:r w:rsidR="00D740A3" w:rsidRPr="00285890">
        <w:rPr>
          <w:rFonts w:ascii="Times" w:hAnsi="Times"/>
          <w:sz w:val="22"/>
          <w:szCs w:val="22"/>
        </w:rPr>
        <w:t>de la mise en œuvre du PGP</w:t>
      </w:r>
      <w:r w:rsidRPr="00285890">
        <w:rPr>
          <w:rFonts w:ascii="Times" w:hAnsi="Times"/>
          <w:sz w:val="22"/>
          <w:szCs w:val="22"/>
        </w:rPr>
        <w:t xml:space="preserve"> et au renforcement des capacités de ses agents sur le terrain ; la </w:t>
      </w:r>
      <w:r w:rsidRPr="00285890">
        <w:rPr>
          <w:rFonts w:ascii="Times" w:hAnsi="Times"/>
          <w:bCs/>
          <w:i/>
          <w:iCs/>
          <w:sz w:val="22"/>
          <w:szCs w:val="22"/>
        </w:rPr>
        <w:t xml:space="preserve">DPV </w:t>
      </w:r>
      <w:r w:rsidRPr="00285890">
        <w:rPr>
          <w:rFonts w:ascii="Times" w:hAnsi="Times"/>
          <w:sz w:val="22"/>
          <w:szCs w:val="22"/>
        </w:rPr>
        <w:t>assurera le</w:t>
      </w:r>
      <w:r w:rsidRPr="00285890">
        <w:rPr>
          <w:rFonts w:ascii="Times" w:hAnsi="Times"/>
          <w:bCs/>
          <w:i/>
          <w:iCs/>
          <w:sz w:val="22"/>
          <w:szCs w:val="22"/>
        </w:rPr>
        <w:t xml:space="preserve"> </w:t>
      </w:r>
      <w:r w:rsidRPr="00285890">
        <w:rPr>
          <w:rFonts w:ascii="Times" w:hAnsi="Times"/>
          <w:sz w:val="22"/>
          <w:szCs w:val="22"/>
          <w:u w:val="single"/>
        </w:rPr>
        <w:t>suivi interne</w:t>
      </w:r>
      <w:r w:rsidRPr="00285890">
        <w:rPr>
          <w:rFonts w:ascii="Times" w:hAnsi="Times"/>
          <w:bCs/>
          <w:i/>
          <w:iCs/>
          <w:sz w:val="22"/>
          <w:szCs w:val="22"/>
        </w:rPr>
        <w:t xml:space="preserve"> </w:t>
      </w:r>
      <w:r w:rsidRPr="00285890">
        <w:rPr>
          <w:rFonts w:ascii="Times" w:hAnsi="Times"/>
          <w:sz w:val="22"/>
          <w:szCs w:val="22"/>
        </w:rPr>
        <w:t>de la mise en œuvre du volet «</w:t>
      </w:r>
      <w:r w:rsidRPr="00285890">
        <w:rPr>
          <w:rFonts w:ascii="Times" w:hAnsi="Times"/>
          <w:bCs/>
          <w:i/>
          <w:iCs/>
          <w:sz w:val="22"/>
          <w:szCs w:val="22"/>
        </w:rPr>
        <w:t xml:space="preserve"> </w:t>
      </w:r>
      <w:r w:rsidRPr="00285890">
        <w:rPr>
          <w:rFonts w:ascii="Times" w:hAnsi="Times"/>
          <w:sz w:val="22"/>
          <w:szCs w:val="22"/>
          <w:u w:val="single"/>
        </w:rPr>
        <w:t>environnement et santé</w:t>
      </w:r>
      <w:r w:rsidRPr="00285890">
        <w:rPr>
          <w:rFonts w:ascii="Times" w:hAnsi="Times"/>
          <w:bCs/>
          <w:i/>
          <w:iCs/>
          <w:sz w:val="22"/>
          <w:szCs w:val="22"/>
        </w:rPr>
        <w:t xml:space="preserve"> </w:t>
      </w:r>
      <w:r w:rsidRPr="00285890">
        <w:rPr>
          <w:rFonts w:ascii="Times" w:hAnsi="Times"/>
          <w:sz w:val="22"/>
          <w:szCs w:val="22"/>
        </w:rPr>
        <w:t>» du</w:t>
      </w:r>
      <w:r w:rsidRPr="00285890">
        <w:rPr>
          <w:rFonts w:ascii="Times" w:hAnsi="Times"/>
          <w:bCs/>
          <w:i/>
          <w:iCs/>
          <w:sz w:val="22"/>
          <w:szCs w:val="22"/>
        </w:rPr>
        <w:t xml:space="preserve"> </w:t>
      </w:r>
      <w:r w:rsidR="00D740A3" w:rsidRPr="00285890">
        <w:rPr>
          <w:rFonts w:ascii="Times" w:hAnsi="Times"/>
          <w:sz w:val="22"/>
          <w:szCs w:val="22"/>
        </w:rPr>
        <w:t>PGP</w:t>
      </w:r>
      <w:r w:rsidRPr="00285890">
        <w:rPr>
          <w:rFonts w:ascii="Times" w:hAnsi="Times"/>
          <w:sz w:val="22"/>
          <w:szCs w:val="22"/>
        </w:rPr>
        <w:t xml:space="preserve"> et établira régulièrement des ra</w:t>
      </w:r>
      <w:r w:rsidR="001D5734" w:rsidRPr="00285890">
        <w:rPr>
          <w:rFonts w:ascii="Times" w:hAnsi="Times"/>
          <w:sz w:val="22"/>
          <w:szCs w:val="22"/>
        </w:rPr>
        <w:t>pports à cet effet à l'UCP PUSA</w:t>
      </w:r>
      <w:r w:rsidRPr="00285890">
        <w:rPr>
          <w:rFonts w:ascii="Times" w:hAnsi="Times"/>
          <w:sz w:val="22"/>
          <w:szCs w:val="22"/>
        </w:rPr>
        <w:t>.</w:t>
      </w:r>
    </w:p>
    <w:p w:rsidR="00426A7D" w:rsidRPr="00285890" w:rsidRDefault="00426A7D" w:rsidP="005E613E">
      <w:pPr>
        <w:pStyle w:val="PargrafodaLista"/>
        <w:numPr>
          <w:ilvl w:val="0"/>
          <w:numId w:val="171"/>
        </w:numPr>
        <w:spacing w:after="0" w:line="240" w:lineRule="auto"/>
        <w:ind w:right="-993"/>
        <w:jc w:val="both"/>
        <w:rPr>
          <w:rFonts w:ascii="Times" w:hAnsi="Times"/>
          <w:sz w:val="22"/>
          <w:szCs w:val="22"/>
        </w:rPr>
      </w:pPr>
      <w:r w:rsidRPr="00285890">
        <w:rPr>
          <w:rFonts w:ascii="Times" w:hAnsi="Times"/>
          <w:bCs/>
          <w:i/>
          <w:iCs/>
          <w:sz w:val="22"/>
          <w:szCs w:val="22"/>
        </w:rPr>
        <w:t xml:space="preserve">La DGE : </w:t>
      </w:r>
      <w:r w:rsidRPr="00285890">
        <w:rPr>
          <w:rFonts w:ascii="Times" w:hAnsi="Times"/>
          <w:sz w:val="22"/>
          <w:szCs w:val="22"/>
        </w:rPr>
        <w:t>Elle va assurera le</w:t>
      </w:r>
      <w:r w:rsidRPr="00285890">
        <w:rPr>
          <w:rFonts w:ascii="Times" w:hAnsi="Times"/>
          <w:bCs/>
          <w:i/>
          <w:iCs/>
          <w:sz w:val="22"/>
          <w:szCs w:val="22"/>
        </w:rPr>
        <w:t xml:space="preserve"> </w:t>
      </w:r>
      <w:r w:rsidRPr="00285890">
        <w:rPr>
          <w:rFonts w:ascii="Times" w:hAnsi="Times"/>
          <w:sz w:val="22"/>
          <w:szCs w:val="22"/>
          <w:u w:val="single"/>
        </w:rPr>
        <w:t>suivi externe</w:t>
      </w:r>
      <w:r w:rsidRPr="00285890">
        <w:rPr>
          <w:rFonts w:ascii="Times" w:hAnsi="Times"/>
          <w:bCs/>
          <w:i/>
          <w:iCs/>
          <w:sz w:val="22"/>
          <w:szCs w:val="22"/>
        </w:rPr>
        <w:t xml:space="preserve"> </w:t>
      </w:r>
      <w:r w:rsidRPr="00285890">
        <w:rPr>
          <w:rFonts w:ascii="Times" w:hAnsi="Times"/>
          <w:sz w:val="22"/>
          <w:szCs w:val="22"/>
        </w:rPr>
        <w:t>de la mise en œuvre du volet «</w:t>
      </w:r>
      <w:r w:rsidRPr="00285890">
        <w:rPr>
          <w:rFonts w:ascii="Times" w:hAnsi="Times"/>
          <w:bCs/>
          <w:i/>
          <w:iCs/>
          <w:sz w:val="22"/>
          <w:szCs w:val="22"/>
        </w:rPr>
        <w:t xml:space="preserve"> </w:t>
      </w:r>
      <w:r w:rsidRPr="00285890">
        <w:rPr>
          <w:rFonts w:ascii="Times" w:hAnsi="Times"/>
          <w:sz w:val="22"/>
          <w:szCs w:val="22"/>
          <w:u w:val="single"/>
        </w:rPr>
        <w:t>environnement</w:t>
      </w:r>
      <w:r w:rsidRPr="00285890">
        <w:rPr>
          <w:rFonts w:ascii="Times" w:hAnsi="Times"/>
          <w:bCs/>
          <w:i/>
          <w:iCs/>
          <w:sz w:val="22"/>
          <w:szCs w:val="22"/>
        </w:rPr>
        <w:t xml:space="preserve"> </w:t>
      </w:r>
      <w:r w:rsidRPr="00285890">
        <w:rPr>
          <w:rFonts w:ascii="Times" w:hAnsi="Times"/>
          <w:sz w:val="22"/>
          <w:szCs w:val="22"/>
        </w:rPr>
        <w:t>» de</w:t>
      </w:r>
      <w:r w:rsidRPr="00285890">
        <w:rPr>
          <w:rFonts w:ascii="Times" w:hAnsi="Times"/>
          <w:bCs/>
          <w:i/>
          <w:iCs/>
          <w:sz w:val="22"/>
          <w:szCs w:val="22"/>
        </w:rPr>
        <w:t xml:space="preserve"> </w:t>
      </w:r>
      <w:r w:rsidR="00D740A3" w:rsidRPr="00285890">
        <w:rPr>
          <w:rFonts w:ascii="Times" w:hAnsi="Times"/>
          <w:sz w:val="22"/>
          <w:szCs w:val="22"/>
        </w:rPr>
        <w:t>la mise en œuvre du PGP</w:t>
      </w:r>
      <w:r w:rsidRPr="00285890">
        <w:rPr>
          <w:rFonts w:ascii="Times" w:hAnsi="Times"/>
          <w:sz w:val="22"/>
          <w:szCs w:val="22"/>
        </w:rPr>
        <w:t xml:space="preserve"> ;</w:t>
      </w:r>
    </w:p>
    <w:p w:rsidR="00426A7D" w:rsidRPr="00285890" w:rsidRDefault="00426A7D" w:rsidP="005E613E">
      <w:pPr>
        <w:pStyle w:val="PargrafodaLista"/>
        <w:numPr>
          <w:ilvl w:val="0"/>
          <w:numId w:val="171"/>
        </w:numPr>
        <w:spacing w:after="0" w:line="240" w:lineRule="auto"/>
        <w:ind w:right="-993"/>
        <w:jc w:val="both"/>
        <w:rPr>
          <w:rFonts w:ascii="Times" w:hAnsi="Times"/>
          <w:sz w:val="22"/>
          <w:szCs w:val="22"/>
        </w:rPr>
      </w:pPr>
      <w:r w:rsidRPr="00285890">
        <w:rPr>
          <w:rFonts w:ascii="Times" w:hAnsi="Times"/>
          <w:bCs/>
          <w:i/>
          <w:iCs/>
          <w:sz w:val="22"/>
          <w:szCs w:val="22"/>
        </w:rPr>
        <w:t xml:space="preserve">Les Organisation de Producteurs Agricoles : </w:t>
      </w:r>
      <w:r w:rsidRPr="00285890">
        <w:rPr>
          <w:rFonts w:ascii="Times" w:hAnsi="Times"/>
          <w:sz w:val="22"/>
          <w:szCs w:val="22"/>
        </w:rPr>
        <w:t>Elles doivent disposer et appliquer les</w:t>
      </w:r>
      <w:r w:rsidRPr="00285890">
        <w:rPr>
          <w:rFonts w:ascii="Times" w:hAnsi="Times"/>
          <w:bCs/>
          <w:i/>
          <w:iCs/>
          <w:sz w:val="22"/>
          <w:szCs w:val="22"/>
        </w:rPr>
        <w:t xml:space="preserve"> </w:t>
      </w:r>
      <w:r w:rsidRPr="00285890">
        <w:rPr>
          <w:rFonts w:ascii="Times" w:hAnsi="Times"/>
          <w:sz w:val="22"/>
          <w:szCs w:val="22"/>
        </w:rPr>
        <w:t>procédures et les bonnes pratiques environnementales en matière d’utilisation et de gestion écologique et sécurisée des pesticides ;</w:t>
      </w:r>
    </w:p>
    <w:p w:rsidR="00426A7D" w:rsidRPr="00285890" w:rsidRDefault="00426A7D" w:rsidP="005E613E">
      <w:pPr>
        <w:pStyle w:val="PargrafodaLista"/>
        <w:numPr>
          <w:ilvl w:val="0"/>
          <w:numId w:val="171"/>
        </w:numPr>
        <w:spacing w:after="0" w:line="240" w:lineRule="auto"/>
        <w:ind w:right="-993"/>
        <w:jc w:val="both"/>
        <w:rPr>
          <w:rFonts w:ascii="Times" w:hAnsi="Times"/>
          <w:sz w:val="22"/>
          <w:szCs w:val="22"/>
        </w:rPr>
      </w:pPr>
      <w:r w:rsidRPr="00285890">
        <w:rPr>
          <w:rFonts w:ascii="Times" w:hAnsi="Times"/>
          <w:bCs/>
          <w:i/>
          <w:iCs/>
          <w:sz w:val="22"/>
          <w:szCs w:val="22"/>
        </w:rPr>
        <w:t xml:space="preserve">Les collectivités </w:t>
      </w:r>
      <w:r w:rsidR="001D5734" w:rsidRPr="00285890">
        <w:rPr>
          <w:rFonts w:ascii="Times" w:hAnsi="Times"/>
          <w:bCs/>
          <w:i/>
          <w:iCs/>
          <w:sz w:val="22"/>
          <w:szCs w:val="22"/>
        </w:rPr>
        <w:t>locales :</w:t>
      </w:r>
      <w:r w:rsidRPr="00285890">
        <w:rPr>
          <w:rFonts w:ascii="Times" w:hAnsi="Times"/>
          <w:bCs/>
          <w:i/>
          <w:iCs/>
          <w:sz w:val="22"/>
          <w:szCs w:val="22"/>
        </w:rPr>
        <w:t xml:space="preserve"> </w:t>
      </w:r>
      <w:r w:rsidRPr="00285890">
        <w:rPr>
          <w:rFonts w:ascii="Times" w:hAnsi="Times"/>
          <w:sz w:val="22"/>
          <w:szCs w:val="22"/>
        </w:rPr>
        <w:t>elles participeront à la sensibilisation des populations, aux activités</w:t>
      </w:r>
      <w:r w:rsidRPr="00285890">
        <w:rPr>
          <w:rFonts w:ascii="Times" w:hAnsi="Times"/>
          <w:bCs/>
          <w:i/>
          <w:iCs/>
          <w:sz w:val="22"/>
          <w:szCs w:val="22"/>
        </w:rPr>
        <w:t xml:space="preserve"> </w:t>
      </w:r>
      <w:r w:rsidRPr="00285890">
        <w:rPr>
          <w:rFonts w:ascii="Times" w:hAnsi="Times"/>
          <w:sz w:val="22"/>
          <w:szCs w:val="22"/>
        </w:rPr>
        <w:t>de mobilisation sociale. Elles participeront aussi à la supervision et au suivi externe de la mise en œuvre des mesures p</w:t>
      </w:r>
      <w:r w:rsidR="00D740A3" w:rsidRPr="00285890">
        <w:rPr>
          <w:rFonts w:ascii="Times" w:hAnsi="Times"/>
          <w:sz w:val="22"/>
          <w:szCs w:val="22"/>
        </w:rPr>
        <w:t>réconisées dans le cadre du PGP</w:t>
      </w:r>
      <w:r w:rsidRPr="00285890">
        <w:rPr>
          <w:rFonts w:ascii="Times" w:hAnsi="Times"/>
          <w:sz w:val="22"/>
          <w:szCs w:val="22"/>
        </w:rPr>
        <w:t xml:space="preserve"> ;</w:t>
      </w:r>
    </w:p>
    <w:p w:rsidR="00426A7D" w:rsidRPr="00285890" w:rsidRDefault="00426A7D" w:rsidP="005E613E">
      <w:pPr>
        <w:numPr>
          <w:ilvl w:val="0"/>
          <w:numId w:val="171"/>
        </w:numPr>
        <w:ind w:right="-993"/>
        <w:jc w:val="both"/>
        <w:rPr>
          <w:rFonts w:ascii="Times" w:hAnsi="Times"/>
          <w:sz w:val="22"/>
          <w:szCs w:val="22"/>
        </w:rPr>
      </w:pPr>
      <w:r w:rsidRPr="00285890">
        <w:rPr>
          <w:rFonts w:ascii="Times" w:hAnsi="Times"/>
          <w:bCs/>
          <w:i/>
          <w:iCs/>
          <w:sz w:val="22"/>
          <w:szCs w:val="22"/>
        </w:rPr>
        <w:t xml:space="preserve">Les ONG et la Société civile : </w:t>
      </w:r>
      <w:r w:rsidRPr="00285890">
        <w:rPr>
          <w:rFonts w:ascii="Times" w:hAnsi="Times"/>
          <w:sz w:val="22"/>
          <w:szCs w:val="22"/>
        </w:rPr>
        <w:t>Les ONG, OCB et autres organisations environnementales de</w:t>
      </w:r>
      <w:r w:rsidRPr="00285890">
        <w:rPr>
          <w:rFonts w:ascii="Times" w:hAnsi="Times"/>
          <w:bCs/>
          <w:i/>
          <w:iCs/>
          <w:sz w:val="22"/>
          <w:szCs w:val="22"/>
        </w:rPr>
        <w:t xml:space="preserve"> </w:t>
      </w:r>
      <w:r w:rsidRPr="00285890">
        <w:rPr>
          <w:rFonts w:ascii="Times" w:hAnsi="Times"/>
          <w:sz w:val="22"/>
          <w:szCs w:val="22"/>
        </w:rPr>
        <w:t>société civile pourront aussi participer à informer, éduquer et conscientiser les producteurs agricoles et les populations sur les aspects environnementaux et sociaux liés à la mise en</w:t>
      </w:r>
      <w:r w:rsidR="001D5734" w:rsidRPr="00285890">
        <w:rPr>
          <w:rFonts w:ascii="Times" w:hAnsi="Times"/>
          <w:sz w:val="22"/>
          <w:szCs w:val="22"/>
        </w:rPr>
        <w:t xml:space="preserve"> </w:t>
      </w:r>
      <w:r w:rsidR="00575B0A" w:rsidRPr="00285890">
        <w:rPr>
          <w:rFonts w:ascii="Times" w:hAnsi="Times"/>
          <w:sz w:val="22"/>
          <w:szCs w:val="22"/>
        </w:rPr>
        <w:t>œuvre du PGP</w:t>
      </w:r>
      <w:r w:rsidRPr="00285890">
        <w:rPr>
          <w:rFonts w:ascii="Times" w:hAnsi="Times"/>
          <w:sz w:val="22"/>
          <w:szCs w:val="22"/>
        </w:rPr>
        <w:t>, mais aussi au suivi de la mise en œuvre et à la surveillance de l’environnement.</w:t>
      </w:r>
    </w:p>
    <w:p w:rsidR="00563079" w:rsidRDefault="00426A7D" w:rsidP="002C79A5">
      <w:pPr>
        <w:ind w:right="-851"/>
        <w:jc w:val="both"/>
        <w:rPr>
          <w:b/>
        </w:rPr>
      </w:pPr>
      <w:r w:rsidRPr="00426A7D">
        <w:rPr>
          <w:b/>
          <w:noProof/>
          <w:lang w:val="pt-PT" w:eastAsia="pt-PT"/>
        </w:rPr>
        <w:drawing>
          <wp:anchor distT="0" distB="0" distL="114300" distR="114300" simplePos="0" relativeHeight="251658317" behindDoc="1" locked="0" layoutInCell="0" allowOverlap="1" wp14:anchorId="58610BF9" wp14:editId="1E15252D">
            <wp:simplePos x="0" y="0"/>
            <wp:positionH relativeFrom="column">
              <wp:posOffset>5755005</wp:posOffset>
            </wp:positionH>
            <wp:positionV relativeFrom="paragraph">
              <wp:posOffset>3569970</wp:posOffset>
            </wp:positionV>
            <wp:extent cx="387350" cy="2933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srcRect/>
                    <a:stretch>
                      <a:fillRect/>
                    </a:stretch>
                  </pic:blipFill>
                  <pic:spPr bwMode="auto">
                    <a:xfrm>
                      <a:off x="0" y="0"/>
                      <a:ext cx="387350" cy="293370"/>
                    </a:xfrm>
                    <a:prstGeom prst="rect">
                      <a:avLst/>
                    </a:prstGeom>
                    <a:noFill/>
                  </pic:spPr>
                </pic:pic>
              </a:graphicData>
            </a:graphic>
          </wp:anchor>
        </w:drawing>
      </w:r>
    </w:p>
    <w:p w:rsidR="00570C36" w:rsidRPr="00F77A94" w:rsidRDefault="00570C36" w:rsidP="002C79A5">
      <w:pPr>
        <w:ind w:right="-851"/>
        <w:jc w:val="both"/>
        <w:rPr>
          <w:b/>
        </w:rPr>
      </w:pPr>
      <w:r w:rsidRPr="00F77A94">
        <w:rPr>
          <w:b/>
        </w:rPr>
        <w:t xml:space="preserve">La mise en œuvre du suivi et coût </w:t>
      </w:r>
      <w:r w:rsidR="008D0A6E" w:rsidRPr="00F77A94">
        <w:rPr>
          <w:b/>
        </w:rPr>
        <w:t>des activités proposées</w:t>
      </w:r>
    </w:p>
    <w:p w:rsidR="00570C36" w:rsidRPr="00F77A94" w:rsidRDefault="00570C36" w:rsidP="002C79A5">
      <w:pPr>
        <w:ind w:right="-851"/>
        <w:jc w:val="both"/>
      </w:pPr>
    </w:p>
    <w:tbl>
      <w:tblPr>
        <w:tblW w:w="9960" w:type="dxa"/>
        <w:jc w:val="center"/>
        <w:tblLayout w:type="fixed"/>
        <w:tblCellMar>
          <w:left w:w="0" w:type="dxa"/>
          <w:right w:w="0" w:type="dxa"/>
        </w:tblCellMar>
        <w:tblLook w:val="04A0" w:firstRow="1" w:lastRow="0" w:firstColumn="1" w:lastColumn="0" w:noHBand="0" w:noVBand="1"/>
      </w:tblPr>
      <w:tblGrid>
        <w:gridCol w:w="1120"/>
        <w:gridCol w:w="2880"/>
        <w:gridCol w:w="860"/>
        <w:gridCol w:w="1120"/>
        <w:gridCol w:w="720"/>
        <w:gridCol w:w="1280"/>
        <w:gridCol w:w="1980"/>
      </w:tblGrid>
      <w:tr w:rsidR="00AD7BEE" w:rsidTr="00141132">
        <w:trPr>
          <w:trHeight w:val="284"/>
          <w:jc w:val="center"/>
        </w:trPr>
        <w:tc>
          <w:tcPr>
            <w:tcW w:w="1120" w:type="dxa"/>
            <w:tcBorders>
              <w:top w:val="single" w:sz="8" w:space="0" w:color="auto"/>
              <w:left w:val="single" w:sz="8" w:space="0" w:color="auto"/>
            </w:tcBorders>
            <w:vAlign w:val="bottom"/>
          </w:tcPr>
          <w:p w:rsidR="00AD7BEE" w:rsidRDefault="00AD7BEE" w:rsidP="00400424">
            <w:pPr>
              <w:ind w:left="80"/>
              <w:rPr>
                <w:sz w:val="20"/>
                <w:szCs w:val="20"/>
              </w:rPr>
            </w:pPr>
            <w:r>
              <w:rPr>
                <w:rFonts w:eastAsia="Times New Roman"/>
                <w:b/>
                <w:bCs/>
                <w:sz w:val="20"/>
                <w:szCs w:val="20"/>
              </w:rPr>
              <w:t>Détail</w:t>
            </w:r>
          </w:p>
        </w:tc>
        <w:tc>
          <w:tcPr>
            <w:tcW w:w="2880" w:type="dxa"/>
            <w:tcBorders>
              <w:top w:val="single" w:sz="8" w:space="0" w:color="auto"/>
              <w:right w:val="single" w:sz="8" w:space="0" w:color="auto"/>
            </w:tcBorders>
            <w:vAlign w:val="bottom"/>
          </w:tcPr>
          <w:p w:rsidR="00AD7BEE" w:rsidRDefault="00AD7BEE" w:rsidP="00400424"/>
        </w:tc>
        <w:tc>
          <w:tcPr>
            <w:tcW w:w="860" w:type="dxa"/>
            <w:tcBorders>
              <w:top w:val="single" w:sz="8" w:space="0" w:color="auto"/>
              <w:right w:val="single" w:sz="8" w:space="0" w:color="auto"/>
            </w:tcBorders>
            <w:vAlign w:val="bottom"/>
          </w:tcPr>
          <w:p w:rsidR="00AD7BEE" w:rsidRDefault="00AD7BEE" w:rsidP="00400424">
            <w:pPr>
              <w:ind w:left="60"/>
              <w:rPr>
                <w:sz w:val="20"/>
                <w:szCs w:val="20"/>
              </w:rPr>
            </w:pPr>
            <w:r>
              <w:rPr>
                <w:rFonts w:eastAsia="Times New Roman"/>
                <w:b/>
                <w:bCs/>
                <w:sz w:val="20"/>
                <w:szCs w:val="20"/>
              </w:rPr>
              <w:t>Unité</w:t>
            </w:r>
          </w:p>
        </w:tc>
        <w:tc>
          <w:tcPr>
            <w:tcW w:w="1120" w:type="dxa"/>
            <w:tcBorders>
              <w:top w:val="single" w:sz="8" w:space="0" w:color="auto"/>
              <w:right w:val="single" w:sz="8" w:space="0" w:color="auto"/>
            </w:tcBorders>
            <w:vAlign w:val="bottom"/>
          </w:tcPr>
          <w:p w:rsidR="00AD7BEE" w:rsidRDefault="00AD7BEE" w:rsidP="00400424">
            <w:pPr>
              <w:ind w:left="40"/>
              <w:rPr>
                <w:sz w:val="20"/>
                <w:szCs w:val="20"/>
              </w:rPr>
            </w:pPr>
            <w:r>
              <w:rPr>
                <w:rFonts w:eastAsia="Times New Roman"/>
                <w:b/>
                <w:bCs/>
                <w:sz w:val="20"/>
                <w:szCs w:val="20"/>
              </w:rPr>
              <w:t>Quantité</w:t>
            </w:r>
          </w:p>
        </w:tc>
        <w:tc>
          <w:tcPr>
            <w:tcW w:w="720" w:type="dxa"/>
            <w:tcBorders>
              <w:top w:val="single" w:sz="8" w:space="0" w:color="auto"/>
              <w:right w:val="single" w:sz="8" w:space="0" w:color="auto"/>
            </w:tcBorders>
            <w:vAlign w:val="bottom"/>
          </w:tcPr>
          <w:p w:rsidR="00AD7BEE" w:rsidRDefault="00AD7BEE" w:rsidP="00400424">
            <w:pPr>
              <w:ind w:left="60"/>
              <w:rPr>
                <w:sz w:val="20"/>
                <w:szCs w:val="20"/>
              </w:rPr>
            </w:pPr>
            <w:r>
              <w:rPr>
                <w:rFonts w:eastAsia="Times New Roman"/>
                <w:b/>
                <w:bCs/>
                <w:sz w:val="20"/>
                <w:szCs w:val="20"/>
              </w:rPr>
              <w:t>PU</w:t>
            </w:r>
          </w:p>
        </w:tc>
        <w:tc>
          <w:tcPr>
            <w:tcW w:w="1280" w:type="dxa"/>
            <w:tcBorders>
              <w:top w:val="single" w:sz="8" w:space="0" w:color="auto"/>
              <w:right w:val="single" w:sz="8" w:space="0" w:color="auto"/>
            </w:tcBorders>
            <w:vAlign w:val="bottom"/>
          </w:tcPr>
          <w:p w:rsidR="00AD7BEE" w:rsidRDefault="00AD7BEE" w:rsidP="00400424">
            <w:pPr>
              <w:jc w:val="center"/>
              <w:rPr>
                <w:sz w:val="20"/>
                <w:szCs w:val="20"/>
              </w:rPr>
            </w:pPr>
            <w:r>
              <w:rPr>
                <w:rFonts w:eastAsia="Times New Roman"/>
                <w:b/>
                <w:bCs/>
                <w:sz w:val="20"/>
                <w:szCs w:val="20"/>
              </w:rPr>
              <w:t>Total (USD)</w:t>
            </w:r>
          </w:p>
        </w:tc>
        <w:tc>
          <w:tcPr>
            <w:tcW w:w="1980" w:type="dxa"/>
            <w:tcBorders>
              <w:top w:val="single" w:sz="8" w:space="0" w:color="auto"/>
              <w:right w:val="single" w:sz="8" w:space="0" w:color="auto"/>
            </w:tcBorders>
            <w:vAlign w:val="bottom"/>
          </w:tcPr>
          <w:p w:rsidR="00AD7BEE" w:rsidRDefault="00AD7BEE" w:rsidP="00400424">
            <w:pPr>
              <w:ind w:left="480"/>
              <w:rPr>
                <w:sz w:val="20"/>
                <w:szCs w:val="20"/>
              </w:rPr>
            </w:pPr>
            <w:r>
              <w:rPr>
                <w:rFonts w:eastAsia="Times New Roman"/>
                <w:b/>
                <w:bCs/>
                <w:sz w:val="20"/>
                <w:szCs w:val="20"/>
              </w:rPr>
              <w:t>Imputation</w:t>
            </w:r>
          </w:p>
        </w:tc>
      </w:tr>
      <w:tr w:rsidR="00AD7BEE" w:rsidTr="00141132">
        <w:trPr>
          <w:trHeight w:val="52"/>
          <w:jc w:val="center"/>
        </w:trPr>
        <w:tc>
          <w:tcPr>
            <w:tcW w:w="1120" w:type="dxa"/>
            <w:tcBorders>
              <w:left w:val="single" w:sz="8" w:space="0" w:color="auto"/>
              <w:bottom w:val="single" w:sz="8" w:space="0" w:color="auto"/>
            </w:tcBorders>
            <w:vAlign w:val="bottom"/>
          </w:tcPr>
          <w:p w:rsidR="00AD7BEE" w:rsidRDefault="00AD7BEE" w:rsidP="00400424">
            <w:pPr>
              <w:rPr>
                <w:sz w:val="4"/>
                <w:szCs w:val="4"/>
              </w:rPr>
            </w:pPr>
          </w:p>
        </w:tc>
        <w:tc>
          <w:tcPr>
            <w:tcW w:w="2880" w:type="dxa"/>
            <w:tcBorders>
              <w:bottom w:val="single" w:sz="8" w:space="0" w:color="auto"/>
              <w:right w:val="single" w:sz="8" w:space="0" w:color="auto"/>
            </w:tcBorders>
            <w:vAlign w:val="bottom"/>
          </w:tcPr>
          <w:p w:rsidR="00AD7BEE" w:rsidRDefault="00AD7BEE" w:rsidP="00400424">
            <w:pPr>
              <w:rPr>
                <w:sz w:val="4"/>
                <w:szCs w:val="4"/>
              </w:rPr>
            </w:pPr>
          </w:p>
        </w:tc>
        <w:tc>
          <w:tcPr>
            <w:tcW w:w="860" w:type="dxa"/>
            <w:tcBorders>
              <w:bottom w:val="single" w:sz="8" w:space="0" w:color="auto"/>
              <w:right w:val="single" w:sz="8" w:space="0" w:color="auto"/>
            </w:tcBorders>
            <w:vAlign w:val="bottom"/>
          </w:tcPr>
          <w:p w:rsidR="00AD7BEE" w:rsidRDefault="00AD7BEE" w:rsidP="00400424">
            <w:pPr>
              <w:rPr>
                <w:sz w:val="4"/>
                <w:szCs w:val="4"/>
              </w:rPr>
            </w:pPr>
          </w:p>
        </w:tc>
        <w:tc>
          <w:tcPr>
            <w:tcW w:w="1120" w:type="dxa"/>
            <w:tcBorders>
              <w:bottom w:val="single" w:sz="8" w:space="0" w:color="auto"/>
              <w:right w:val="single" w:sz="8" w:space="0" w:color="auto"/>
            </w:tcBorders>
            <w:vAlign w:val="bottom"/>
          </w:tcPr>
          <w:p w:rsidR="00AD7BEE" w:rsidRDefault="00AD7BEE" w:rsidP="00400424">
            <w:pPr>
              <w:rPr>
                <w:sz w:val="4"/>
                <w:szCs w:val="4"/>
              </w:rPr>
            </w:pPr>
          </w:p>
        </w:tc>
        <w:tc>
          <w:tcPr>
            <w:tcW w:w="720" w:type="dxa"/>
            <w:tcBorders>
              <w:bottom w:val="single" w:sz="8" w:space="0" w:color="auto"/>
              <w:right w:val="single" w:sz="8" w:space="0" w:color="auto"/>
            </w:tcBorders>
            <w:vAlign w:val="bottom"/>
          </w:tcPr>
          <w:p w:rsidR="00AD7BEE" w:rsidRDefault="00AD7BEE" w:rsidP="00400424">
            <w:pPr>
              <w:rPr>
                <w:sz w:val="4"/>
                <w:szCs w:val="4"/>
              </w:rPr>
            </w:pPr>
          </w:p>
        </w:tc>
        <w:tc>
          <w:tcPr>
            <w:tcW w:w="1280" w:type="dxa"/>
            <w:tcBorders>
              <w:bottom w:val="single" w:sz="8" w:space="0" w:color="auto"/>
              <w:right w:val="single" w:sz="8" w:space="0" w:color="auto"/>
            </w:tcBorders>
            <w:vAlign w:val="bottom"/>
          </w:tcPr>
          <w:p w:rsidR="00AD7BEE" w:rsidRDefault="00AD7BEE" w:rsidP="00400424">
            <w:pPr>
              <w:rPr>
                <w:sz w:val="4"/>
                <w:szCs w:val="4"/>
              </w:rPr>
            </w:pPr>
          </w:p>
        </w:tc>
        <w:tc>
          <w:tcPr>
            <w:tcW w:w="1980" w:type="dxa"/>
            <w:tcBorders>
              <w:bottom w:val="single" w:sz="8" w:space="0" w:color="auto"/>
              <w:right w:val="single" w:sz="8" w:space="0" w:color="auto"/>
            </w:tcBorders>
            <w:vAlign w:val="bottom"/>
          </w:tcPr>
          <w:p w:rsidR="00AD7BEE" w:rsidRDefault="00AD7BEE" w:rsidP="00400424">
            <w:pPr>
              <w:rPr>
                <w:sz w:val="4"/>
                <w:szCs w:val="4"/>
              </w:rPr>
            </w:pPr>
          </w:p>
        </w:tc>
      </w:tr>
      <w:tr w:rsidR="00AA5066" w:rsidTr="00141132">
        <w:trPr>
          <w:trHeight w:val="212"/>
          <w:jc w:val="center"/>
        </w:trPr>
        <w:tc>
          <w:tcPr>
            <w:tcW w:w="1120" w:type="dxa"/>
            <w:tcBorders>
              <w:left w:val="single" w:sz="8" w:space="0" w:color="auto"/>
            </w:tcBorders>
            <w:vAlign w:val="bottom"/>
          </w:tcPr>
          <w:p w:rsidR="00AA5066" w:rsidRDefault="00AA5066" w:rsidP="00400424">
            <w:pPr>
              <w:spacing w:line="211" w:lineRule="exact"/>
              <w:ind w:left="80"/>
              <w:rPr>
                <w:sz w:val="20"/>
                <w:szCs w:val="20"/>
              </w:rPr>
            </w:pPr>
            <w:r>
              <w:rPr>
                <w:rFonts w:eastAsia="Times New Roman"/>
                <w:sz w:val="20"/>
                <w:szCs w:val="20"/>
              </w:rPr>
              <w:t>Produits</w:t>
            </w:r>
          </w:p>
        </w:tc>
        <w:tc>
          <w:tcPr>
            <w:tcW w:w="2880" w:type="dxa"/>
            <w:vMerge w:val="restart"/>
            <w:tcBorders>
              <w:right w:val="single" w:sz="8" w:space="0" w:color="auto"/>
            </w:tcBorders>
            <w:vAlign w:val="bottom"/>
          </w:tcPr>
          <w:p w:rsidR="00AA5066" w:rsidRDefault="00AA5066" w:rsidP="00400424">
            <w:pPr>
              <w:rPr>
                <w:sz w:val="18"/>
                <w:szCs w:val="18"/>
              </w:rPr>
            </w:pPr>
          </w:p>
        </w:tc>
        <w:tc>
          <w:tcPr>
            <w:tcW w:w="860" w:type="dxa"/>
            <w:vMerge w:val="restart"/>
            <w:tcBorders>
              <w:right w:val="single" w:sz="8" w:space="0" w:color="auto"/>
            </w:tcBorders>
            <w:vAlign w:val="bottom"/>
          </w:tcPr>
          <w:p w:rsidR="00AA5066" w:rsidRDefault="00AA5066" w:rsidP="00400424">
            <w:pPr>
              <w:rPr>
                <w:sz w:val="18"/>
                <w:szCs w:val="18"/>
              </w:rPr>
            </w:pPr>
          </w:p>
        </w:tc>
        <w:tc>
          <w:tcPr>
            <w:tcW w:w="1120" w:type="dxa"/>
            <w:vMerge w:val="restart"/>
            <w:tcBorders>
              <w:right w:val="single" w:sz="8" w:space="0" w:color="auto"/>
            </w:tcBorders>
            <w:vAlign w:val="bottom"/>
          </w:tcPr>
          <w:p w:rsidR="00AA5066" w:rsidRDefault="00AA5066" w:rsidP="00400424">
            <w:pPr>
              <w:rPr>
                <w:sz w:val="18"/>
                <w:szCs w:val="18"/>
              </w:rPr>
            </w:pPr>
          </w:p>
        </w:tc>
        <w:tc>
          <w:tcPr>
            <w:tcW w:w="720" w:type="dxa"/>
            <w:vMerge w:val="restart"/>
            <w:tcBorders>
              <w:right w:val="single" w:sz="8" w:space="0" w:color="auto"/>
            </w:tcBorders>
            <w:vAlign w:val="bottom"/>
          </w:tcPr>
          <w:p w:rsidR="00AA5066" w:rsidRDefault="00AA5066" w:rsidP="00400424">
            <w:pPr>
              <w:rPr>
                <w:sz w:val="18"/>
                <w:szCs w:val="18"/>
              </w:rPr>
            </w:pPr>
          </w:p>
        </w:tc>
        <w:tc>
          <w:tcPr>
            <w:tcW w:w="1280" w:type="dxa"/>
            <w:vMerge w:val="restart"/>
            <w:tcBorders>
              <w:right w:val="single" w:sz="8" w:space="0" w:color="auto"/>
            </w:tcBorders>
            <w:vAlign w:val="bottom"/>
          </w:tcPr>
          <w:p w:rsidR="00AA5066" w:rsidRDefault="00AA5066" w:rsidP="00400424">
            <w:pPr>
              <w:spacing w:line="211" w:lineRule="exact"/>
              <w:jc w:val="center"/>
              <w:rPr>
                <w:sz w:val="20"/>
                <w:szCs w:val="20"/>
              </w:rPr>
            </w:pPr>
            <w:r>
              <w:rPr>
                <w:rFonts w:eastAsia="Times New Roman"/>
                <w:w w:val="96"/>
                <w:sz w:val="20"/>
                <w:szCs w:val="20"/>
              </w:rPr>
              <w:t>PM</w:t>
            </w:r>
          </w:p>
        </w:tc>
        <w:tc>
          <w:tcPr>
            <w:tcW w:w="1980" w:type="dxa"/>
            <w:vMerge w:val="restart"/>
            <w:tcBorders>
              <w:right w:val="single" w:sz="8" w:space="0" w:color="auto"/>
            </w:tcBorders>
            <w:vAlign w:val="bottom"/>
          </w:tcPr>
          <w:p w:rsidR="00AA5066" w:rsidRDefault="00AA5066" w:rsidP="00400424">
            <w:pPr>
              <w:spacing w:line="211" w:lineRule="exact"/>
              <w:ind w:left="40"/>
              <w:rPr>
                <w:sz w:val="20"/>
                <w:szCs w:val="20"/>
              </w:rPr>
            </w:pPr>
            <w:r>
              <w:rPr>
                <w:rFonts w:eastAsia="Times New Roman"/>
                <w:sz w:val="20"/>
                <w:szCs w:val="20"/>
              </w:rPr>
              <w:t>Inclus dans le projet PUSA</w:t>
            </w:r>
          </w:p>
        </w:tc>
      </w:tr>
      <w:tr w:rsidR="00AA5066" w:rsidTr="00141132">
        <w:trPr>
          <w:trHeight w:val="77"/>
          <w:jc w:val="center"/>
        </w:trPr>
        <w:tc>
          <w:tcPr>
            <w:tcW w:w="1120" w:type="dxa"/>
            <w:tcBorders>
              <w:left w:val="single" w:sz="8" w:space="0" w:color="auto"/>
              <w:bottom w:val="single" w:sz="8" w:space="0" w:color="auto"/>
            </w:tcBorders>
            <w:vAlign w:val="bottom"/>
          </w:tcPr>
          <w:p w:rsidR="00AA5066" w:rsidRDefault="00AA5066" w:rsidP="00400424">
            <w:pPr>
              <w:rPr>
                <w:sz w:val="20"/>
                <w:szCs w:val="20"/>
              </w:rPr>
            </w:pPr>
          </w:p>
        </w:tc>
        <w:tc>
          <w:tcPr>
            <w:tcW w:w="2880" w:type="dxa"/>
            <w:vMerge/>
            <w:tcBorders>
              <w:bottom w:val="single" w:sz="8" w:space="0" w:color="auto"/>
              <w:right w:val="single" w:sz="8" w:space="0" w:color="auto"/>
            </w:tcBorders>
            <w:vAlign w:val="bottom"/>
          </w:tcPr>
          <w:p w:rsidR="00AA5066" w:rsidRDefault="00AA5066" w:rsidP="00400424">
            <w:pPr>
              <w:rPr>
                <w:sz w:val="20"/>
                <w:szCs w:val="20"/>
              </w:rPr>
            </w:pPr>
          </w:p>
        </w:tc>
        <w:tc>
          <w:tcPr>
            <w:tcW w:w="860" w:type="dxa"/>
            <w:vMerge/>
            <w:tcBorders>
              <w:bottom w:val="single" w:sz="8" w:space="0" w:color="auto"/>
              <w:right w:val="single" w:sz="8" w:space="0" w:color="auto"/>
            </w:tcBorders>
            <w:vAlign w:val="bottom"/>
          </w:tcPr>
          <w:p w:rsidR="00AA5066" w:rsidRDefault="00AA5066" w:rsidP="00400424">
            <w:pPr>
              <w:rPr>
                <w:sz w:val="20"/>
                <w:szCs w:val="20"/>
              </w:rPr>
            </w:pPr>
          </w:p>
        </w:tc>
        <w:tc>
          <w:tcPr>
            <w:tcW w:w="1120" w:type="dxa"/>
            <w:vMerge/>
            <w:tcBorders>
              <w:bottom w:val="single" w:sz="8" w:space="0" w:color="auto"/>
              <w:right w:val="single" w:sz="8" w:space="0" w:color="auto"/>
            </w:tcBorders>
            <w:vAlign w:val="bottom"/>
          </w:tcPr>
          <w:p w:rsidR="00AA5066" w:rsidRDefault="00AA5066" w:rsidP="00400424">
            <w:pPr>
              <w:rPr>
                <w:sz w:val="20"/>
                <w:szCs w:val="20"/>
              </w:rPr>
            </w:pPr>
          </w:p>
        </w:tc>
        <w:tc>
          <w:tcPr>
            <w:tcW w:w="720" w:type="dxa"/>
            <w:vMerge/>
            <w:tcBorders>
              <w:bottom w:val="single" w:sz="8" w:space="0" w:color="auto"/>
              <w:right w:val="single" w:sz="8" w:space="0" w:color="auto"/>
            </w:tcBorders>
            <w:vAlign w:val="bottom"/>
          </w:tcPr>
          <w:p w:rsidR="00AA5066" w:rsidRDefault="00AA5066" w:rsidP="00400424">
            <w:pPr>
              <w:rPr>
                <w:sz w:val="20"/>
                <w:szCs w:val="20"/>
              </w:rPr>
            </w:pPr>
          </w:p>
        </w:tc>
        <w:tc>
          <w:tcPr>
            <w:tcW w:w="1280" w:type="dxa"/>
            <w:vMerge/>
            <w:tcBorders>
              <w:bottom w:val="single" w:sz="8" w:space="0" w:color="auto"/>
              <w:right w:val="single" w:sz="8" w:space="0" w:color="auto"/>
            </w:tcBorders>
            <w:vAlign w:val="bottom"/>
          </w:tcPr>
          <w:p w:rsidR="00AA5066" w:rsidRDefault="00AA5066" w:rsidP="00400424">
            <w:pPr>
              <w:rPr>
                <w:sz w:val="20"/>
                <w:szCs w:val="20"/>
              </w:rPr>
            </w:pPr>
          </w:p>
        </w:tc>
        <w:tc>
          <w:tcPr>
            <w:tcW w:w="1980" w:type="dxa"/>
            <w:vMerge/>
            <w:tcBorders>
              <w:bottom w:val="single" w:sz="8" w:space="0" w:color="auto"/>
              <w:right w:val="single" w:sz="8" w:space="0" w:color="auto"/>
            </w:tcBorders>
            <w:vAlign w:val="bottom"/>
          </w:tcPr>
          <w:p w:rsidR="00AA5066" w:rsidRDefault="00AA5066" w:rsidP="00083B97">
            <w:pPr>
              <w:rPr>
                <w:sz w:val="20"/>
                <w:szCs w:val="20"/>
              </w:rPr>
            </w:pPr>
          </w:p>
        </w:tc>
      </w:tr>
      <w:tr w:rsidR="00AD7BEE" w:rsidTr="00141132">
        <w:trPr>
          <w:trHeight w:val="216"/>
          <w:jc w:val="center"/>
        </w:trPr>
        <w:tc>
          <w:tcPr>
            <w:tcW w:w="4000" w:type="dxa"/>
            <w:gridSpan w:val="2"/>
            <w:tcBorders>
              <w:left w:val="single" w:sz="8" w:space="0" w:color="auto"/>
              <w:right w:val="single" w:sz="8" w:space="0" w:color="auto"/>
            </w:tcBorders>
            <w:vAlign w:val="bottom"/>
          </w:tcPr>
          <w:p w:rsidR="00AD7BEE" w:rsidRDefault="00AD7BEE" w:rsidP="00AD7BEE">
            <w:pPr>
              <w:spacing w:line="216" w:lineRule="exact"/>
              <w:ind w:left="80"/>
              <w:rPr>
                <w:sz w:val="20"/>
                <w:szCs w:val="20"/>
              </w:rPr>
            </w:pPr>
            <w:r>
              <w:rPr>
                <w:rFonts w:eastAsia="Times New Roman"/>
                <w:sz w:val="20"/>
                <w:szCs w:val="20"/>
              </w:rPr>
              <w:t>Formation organisations de producteurs</w:t>
            </w:r>
          </w:p>
        </w:tc>
        <w:tc>
          <w:tcPr>
            <w:tcW w:w="860" w:type="dxa"/>
            <w:tcBorders>
              <w:right w:val="single" w:sz="8" w:space="0" w:color="auto"/>
            </w:tcBorders>
            <w:vAlign w:val="bottom"/>
          </w:tcPr>
          <w:p w:rsidR="00AD7BEE" w:rsidRDefault="008371D1" w:rsidP="00AD7BEE">
            <w:pPr>
              <w:spacing w:line="216" w:lineRule="exact"/>
              <w:ind w:left="60"/>
              <w:rPr>
                <w:sz w:val="20"/>
                <w:szCs w:val="20"/>
              </w:rPr>
            </w:pPr>
            <w:r>
              <w:rPr>
                <w:rFonts w:eastAsia="Times New Roman"/>
                <w:sz w:val="20"/>
                <w:szCs w:val="20"/>
              </w:rPr>
              <w:t>Atelier</w:t>
            </w:r>
          </w:p>
        </w:tc>
        <w:tc>
          <w:tcPr>
            <w:tcW w:w="1120" w:type="dxa"/>
            <w:vMerge w:val="restart"/>
            <w:tcBorders>
              <w:right w:val="single" w:sz="8" w:space="0" w:color="auto"/>
            </w:tcBorders>
          </w:tcPr>
          <w:p w:rsidR="00AD7BEE" w:rsidRDefault="00AD7BEE" w:rsidP="00083B97">
            <w:pPr>
              <w:spacing w:line="216" w:lineRule="exact"/>
              <w:ind w:left="40"/>
              <w:rPr>
                <w:sz w:val="20"/>
                <w:szCs w:val="20"/>
              </w:rPr>
            </w:pPr>
            <w:r w:rsidRPr="008346CD">
              <w:rPr>
                <w:sz w:val="22"/>
                <w:szCs w:val="22"/>
              </w:rPr>
              <w:t>12</w:t>
            </w:r>
          </w:p>
        </w:tc>
        <w:tc>
          <w:tcPr>
            <w:tcW w:w="720" w:type="dxa"/>
            <w:tcBorders>
              <w:right w:val="single" w:sz="8" w:space="0" w:color="auto"/>
            </w:tcBorders>
            <w:vAlign w:val="bottom"/>
          </w:tcPr>
          <w:p w:rsidR="00AD7BEE" w:rsidRDefault="00AD7BEE" w:rsidP="00AD7BEE">
            <w:pPr>
              <w:spacing w:line="216" w:lineRule="exact"/>
              <w:ind w:left="60"/>
              <w:rPr>
                <w:sz w:val="20"/>
                <w:szCs w:val="20"/>
              </w:rPr>
            </w:pPr>
            <w:r>
              <w:rPr>
                <w:rFonts w:eastAsia="Times New Roman"/>
                <w:sz w:val="20"/>
                <w:szCs w:val="20"/>
              </w:rPr>
              <w:t>Forfait</w:t>
            </w:r>
          </w:p>
        </w:tc>
        <w:tc>
          <w:tcPr>
            <w:tcW w:w="1280" w:type="dxa"/>
            <w:tcBorders>
              <w:right w:val="single" w:sz="8" w:space="0" w:color="auto"/>
            </w:tcBorders>
            <w:vAlign w:val="bottom"/>
          </w:tcPr>
          <w:p w:rsidR="00AD7BEE" w:rsidRDefault="00AD7BEE" w:rsidP="00AD7BEE">
            <w:pPr>
              <w:spacing w:line="216" w:lineRule="exact"/>
              <w:jc w:val="center"/>
              <w:rPr>
                <w:sz w:val="20"/>
                <w:szCs w:val="20"/>
              </w:rPr>
            </w:pPr>
            <w:r>
              <w:rPr>
                <w:sz w:val="20"/>
                <w:szCs w:val="20"/>
              </w:rPr>
              <w:t>5 000 000</w:t>
            </w:r>
          </w:p>
        </w:tc>
        <w:tc>
          <w:tcPr>
            <w:tcW w:w="1980" w:type="dxa"/>
            <w:tcBorders>
              <w:right w:val="single" w:sz="8" w:space="0" w:color="auto"/>
            </w:tcBorders>
            <w:vAlign w:val="bottom"/>
          </w:tcPr>
          <w:p w:rsidR="00AD7BEE" w:rsidRDefault="00AD7BEE" w:rsidP="00AD7BEE">
            <w:pPr>
              <w:spacing w:line="216" w:lineRule="exact"/>
              <w:ind w:left="40"/>
              <w:rPr>
                <w:sz w:val="20"/>
                <w:szCs w:val="20"/>
              </w:rPr>
            </w:pPr>
            <w:r>
              <w:rPr>
                <w:rFonts w:eastAsia="Times New Roman"/>
                <w:sz w:val="20"/>
                <w:szCs w:val="20"/>
              </w:rPr>
              <w:t>Inclus dans le CGES</w:t>
            </w:r>
          </w:p>
        </w:tc>
      </w:tr>
      <w:tr w:rsidR="00AD7BEE" w:rsidTr="00141132">
        <w:trPr>
          <w:trHeight w:val="235"/>
          <w:jc w:val="center"/>
        </w:trPr>
        <w:tc>
          <w:tcPr>
            <w:tcW w:w="1120" w:type="dxa"/>
            <w:tcBorders>
              <w:left w:val="single" w:sz="8" w:space="0" w:color="auto"/>
              <w:bottom w:val="single" w:sz="8" w:space="0" w:color="auto"/>
            </w:tcBorders>
            <w:vAlign w:val="bottom"/>
          </w:tcPr>
          <w:p w:rsidR="00AD7BEE" w:rsidRDefault="00AD7BEE" w:rsidP="00AD7BEE">
            <w:pPr>
              <w:rPr>
                <w:sz w:val="20"/>
                <w:szCs w:val="20"/>
              </w:rPr>
            </w:pPr>
          </w:p>
        </w:tc>
        <w:tc>
          <w:tcPr>
            <w:tcW w:w="2880" w:type="dxa"/>
            <w:tcBorders>
              <w:bottom w:val="single" w:sz="8" w:space="0" w:color="auto"/>
              <w:right w:val="single" w:sz="8" w:space="0" w:color="auto"/>
            </w:tcBorders>
            <w:vAlign w:val="bottom"/>
          </w:tcPr>
          <w:p w:rsidR="00AD7BEE" w:rsidRDefault="00AD7BEE" w:rsidP="00AD7BEE">
            <w:pPr>
              <w:rPr>
                <w:sz w:val="20"/>
                <w:szCs w:val="20"/>
              </w:rPr>
            </w:pPr>
          </w:p>
        </w:tc>
        <w:tc>
          <w:tcPr>
            <w:tcW w:w="860" w:type="dxa"/>
            <w:tcBorders>
              <w:bottom w:val="single" w:sz="8" w:space="0" w:color="auto"/>
              <w:right w:val="single" w:sz="8" w:space="0" w:color="auto"/>
            </w:tcBorders>
          </w:tcPr>
          <w:p w:rsidR="00AD7BEE" w:rsidRDefault="00AD7BEE">
            <w:pPr>
              <w:rPr>
                <w:sz w:val="20"/>
                <w:szCs w:val="20"/>
              </w:rPr>
            </w:pPr>
          </w:p>
        </w:tc>
        <w:tc>
          <w:tcPr>
            <w:tcW w:w="1120" w:type="dxa"/>
            <w:vMerge/>
            <w:tcBorders>
              <w:bottom w:val="single" w:sz="8" w:space="0" w:color="auto"/>
              <w:right w:val="single" w:sz="8" w:space="0" w:color="auto"/>
            </w:tcBorders>
            <w:vAlign w:val="bottom"/>
          </w:tcPr>
          <w:p w:rsidR="00AD7BEE" w:rsidRDefault="00AD7BEE" w:rsidP="00AD7BEE">
            <w:pPr>
              <w:ind w:left="40"/>
              <w:rPr>
                <w:sz w:val="20"/>
                <w:szCs w:val="20"/>
              </w:rPr>
            </w:pPr>
          </w:p>
        </w:tc>
        <w:tc>
          <w:tcPr>
            <w:tcW w:w="720" w:type="dxa"/>
            <w:tcBorders>
              <w:bottom w:val="single" w:sz="8" w:space="0" w:color="auto"/>
              <w:right w:val="single" w:sz="8" w:space="0" w:color="auto"/>
            </w:tcBorders>
            <w:vAlign w:val="bottom"/>
          </w:tcPr>
          <w:p w:rsidR="00AD7BEE" w:rsidRDefault="00AD7BEE" w:rsidP="00AD7BEE">
            <w:pPr>
              <w:rPr>
                <w:sz w:val="20"/>
                <w:szCs w:val="20"/>
              </w:rPr>
            </w:pPr>
          </w:p>
        </w:tc>
        <w:tc>
          <w:tcPr>
            <w:tcW w:w="1280" w:type="dxa"/>
            <w:tcBorders>
              <w:bottom w:val="single" w:sz="8" w:space="0" w:color="auto"/>
              <w:right w:val="single" w:sz="8" w:space="0" w:color="auto"/>
            </w:tcBorders>
            <w:vAlign w:val="bottom"/>
          </w:tcPr>
          <w:p w:rsidR="00AD7BEE" w:rsidRDefault="00AD7BEE" w:rsidP="00AD7BEE">
            <w:pPr>
              <w:rPr>
                <w:sz w:val="20"/>
                <w:szCs w:val="20"/>
              </w:rPr>
            </w:pPr>
          </w:p>
        </w:tc>
        <w:tc>
          <w:tcPr>
            <w:tcW w:w="1980" w:type="dxa"/>
            <w:tcBorders>
              <w:bottom w:val="single" w:sz="8" w:space="0" w:color="auto"/>
              <w:right w:val="single" w:sz="8" w:space="0" w:color="auto"/>
            </w:tcBorders>
            <w:vAlign w:val="bottom"/>
          </w:tcPr>
          <w:p w:rsidR="00AD7BEE" w:rsidRDefault="00AD7BEE" w:rsidP="00AD7BEE">
            <w:pPr>
              <w:rPr>
                <w:sz w:val="20"/>
                <w:szCs w:val="20"/>
              </w:rPr>
            </w:pPr>
          </w:p>
        </w:tc>
      </w:tr>
      <w:tr w:rsidR="00AD7BEE" w:rsidTr="00141132">
        <w:trPr>
          <w:trHeight w:val="240"/>
          <w:jc w:val="center"/>
        </w:trPr>
        <w:tc>
          <w:tcPr>
            <w:tcW w:w="4000" w:type="dxa"/>
            <w:gridSpan w:val="2"/>
            <w:tcBorders>
              <w:left w:val="single" w:sz="8" w:space="0" w:color="auto"/>
              <w:right w:val="single" w:sz="8" w:space="0" w:color="auto"/>
            </w:tcBorders>
            <w:vAlign w:val="bottom"/>
          </w:tcPr>
          <w:p w:rsidR="00AD7BEE" w:rsidRDefault="00A03248" w:rsidP="00400424">
            <w:pPr>
              <w:spacing w:line="216" w:lineRule="exact"/>
              <w:ind w:left="80"/>
              <w:rPr>
                <w:sz w:val="20"/>
                <w:szCs w:val="20"/>
              </w:rPr>
            </w:pPr>
            <w:r>
              <w:rPr>
                <w:rFonts w:eastAsia="Times New Roman"/>
                <w:sz w:val="20"/>
                <w:szCs w:val="20"/>
              </w:rPr>
              <w:t xml:space="preserve">Formation </w:t>
            </w:r>
            <w:r w:rsidR="008371D1">
              <w:rPr>
                <w:rFonts w:eastAsia="Times New Roman"/>
                <w:sz w:val="20"/>
                <w:szCs w:val="20"/>
              </w:rPr>
              <w:t>agents protection</w:t>
            </w:r>
            <w:r w:rsidR="00AD7BEE">
              <w:rPr>
                <w:rFonts w:eastAsia="Times New Roman"/>
                <w:sz w:val="20"/>
                <w:szCs w:val="20"/>
              </w:rPr>
              <w:t xml:space="preserve">  des  végétaux  et</w:t>
            </w:r>
          </w:p>
        </w:tc>
        <w:tc>
          <w:tcPr>
            <w:tcW w:w="860" w:type="dxa"/>
            <w:tcBorders>
              <w:right w:val="single" w:sz="8" w:space="0" w:color="auto"/>
            </w:tcBorders>
            <w:vAlign w:val="bottom"/>
          </w:tcPr>
          <w:p w:rsidR="00AD7BEE" w:rsidRDefault="008371D1" w:rsidP="00400424">
            <w:pPr>
              <w:spacing w:line="216" w:lineRule="exact"/>
              <w:ind w:left="60"/>
              <w:rPr>
                <w:sz w:val="20"/>
                <w:szCs w:val="20"/>
              </w:rPr>
            </w:pPr>
            <w:r>
              <w:rPr>
                <w:rFonts w:eastAsia="Times New Roman"/>
                <w:sz w:val="20"/>
                <w:szCs w:val="20"/>
              </w:rPr>
              <w:t>Atelier</w:t>
            </w:r>
          </w:p>
        </w:tc>
        <w:tc>
          <w:tcPr>
            <w:tcW w:w="1120" w:type="dxa"/>
            <w:tcBorders>
              <w:right w:val="single" w:sz="8" w:space="0" w:color="auto"/>
            </w:tcBorders>
            <w:vAlign w:val="bottom"/>
          </w:tcPr>
          <w:p w:rsidR="00AD7BEE" w:rsidRDefault="00AD7BEE" w:rsidP="00400424">
            <w:pPr>
              <w:spacing w:line="216" w:lineRule="exact"/>
              <w:ind w:left="40"/>
              <w:rPr>
                <w:sz w:val="20"/>
                <w:szCs w:val="20"/>
              </w:rPr>
            </w:pPr>
            <w:r>
              <w:rPr>
                <w:rFonts w:eastAsia="Times New Roman"/>
                <w:sz w:val="20"/>
                <w:szCs w:val="20"/>
              </w:rPr>
              <w:t xml:space="preserve"> 12</w:t>
            </w:r>
          </w:p>
        </w:tc>
        <w:tc>
          <w:tcPr>
            <w:tcW w:w="720" w:type="dxa"/>
            <w:tcBorders>
              <w:right w:val="single" w:sz="8" w:space="0" w:color="auto"/>
            </w:tcBorders>
            <w:vAlign w:val="bottom"/>
          </w:tcPr>
          <w:p w:rsidR="00AD7BEE" w:rsidRDefault="00AD7BEE" w:rsidP="00400424">
            <w:pPr>
              <w:spacing w:line="216" w:lineRule="exact"/>
              <w:ind w:left="60"/>
              <w:rPr>
                <w:sz w:val="20"/>
                <w:szCs w:val="20"/>
              </w:rPr>
            </w:pPr>
            <w:r>
              <w:rPr>
                <w:rFonts w:eastAsia="Times New Roman"/>
                <w:sz w:val="20"/>
                <w:szCs w:val="20"/>
              </w:rPr>
              <w:t>Forfait</w:t>
            </w:r>
          </w:p>
        </w:tc>
        <w:tc>
          <w:tcPr>
            <w:tcW w:w="1280" w:type="dxa"/>
            <w:tcBorders>
              <w:right w:val="single" w:sz="8" w:space="0" w:color="auto"/>
            </w:tcBorders>
            <w:vAlign w:val="bottom"/>
          </w:tcPr>
          <w:p w:rsidR="00AD7BEE" w:rsidRDefault="001671A6" w:rsidP="00400424">
            <w:pPr>
              <w:spacing w:line="216" w:lineRule="exact"/>
              <w:jc w:val="center"/>
              <w:rPr>
                <w:sz w:val="20"/>
                <w:szCs w:val="20"/>
              </w:rPr>
            </w:pPr>
            <w:r>
              <w:rPr>
                <w:rFonts w:eastAsia="Times New Roman"/>
                <w:sz w:val="20"/>
                <w:szCs w:val="20"/>
              </w:rPr>
              <w:t xml:space="preserve"> 5 000 000</w:t>
            </w:r>
          </w:p>
        </w:tc>
        <w:tc>
          <w:tcPr>
            <w:tcW w:w="1980" w:type="dxa"/>
            <w:tcBorders>
              <w:right w:val="single" w:sz="8" w:space="0" w:color="auto"/>
            </w:tcBorders>
            <w:vAlign w:val="bottom"/>
          </w:tcPr>
          <w:p w:rsidR="00AD7BEE" w:rsidRDefault="00AD7BEE" w:rsidP="00400424">
            <w:pPr>
              <w:spacing w:line="216" w:lineRule="exact"/>
              <w:ind w:left="40"/>
              <w:rPr>
                <w:sz w:val="20"/>
                <w:szCs w:val="20"/>
              </w:rPr>
            </w:pPr>
            <w:r>
              <w:rPr>
                <w:rFonts w:eastAsia="Times New Roman"/>
                <w:sz w:val="20"/>
                <w:szCs w:val="20"/>
              </w:rPr>
              <w:t>Inclus dans le CGES</w:t>
            </w:r>
          </w:p>
        </w:tc>
      </w:tr>
      <w:tr w:rsidR="00AD7BEE" w:rsidTr="00141132">
        <w:trPr>
          <w:trHeight w:val="235"/>
          <w:jc w:val="center"/>
        </w:trPr>
        <w:tc>
          <w:tcPr>
            <w:tcW w:w="4000" w:type="dxa"/>
            <w:gridSpan w:val="2"/>
            <w:tcBorders>
              <w:left w:val="single" w:sz="8" w:space="0" w:color="auto"/>
              <w:bottom w:val="single" w:sz="8" w:space="0" w:color="auto"/>
              <w:right w:val="single" w:sz="8" w:space="0" w:color="auto"/>
            </w:tcBorders>
            <w:vAlign w:val="bottom"/>
          </w:tcPr>
          <w:p w:rsidR="00AD7BEE" w:rsidRDefault="00AD7BEE" w:rsidP="00400424">
            <w:pPr>
              <w:ind w:left="80"/>
              <w:rPr>
                <w:sz w:val="20"/>
                <w:szCs w:val="20"/>
              </w:rPr>
            </w:pPr>
            <w:r>
              <w:rPr>
                <w:rFonts w:eastAsia="Times New Roman"/>
                <w:sz w:val="20"/>
                <w:szCs w:val="20"/>
              </w:rPr>
              <w:t>services de vulgarisation (séminaire atelier)</w:t>
            </w:r>
          </w:p>
        </w:tc>
        <w:tc>
          <w:tcPr>
            <w:tcW w:w="860" w:type="dxa"/>
            <w:tcBorders>
              <w:bottom w:val="single" w:sz="8" w:space="0" w:color="auto"/>
              <w:right w:val="single" w:sz="8" w:space="0" w:color="auto"/>
            </w:tcBorders>
            <w:vAlign w:val="bottom"/>
          </w:tcPr>
          <w:p w:rsidR="00AD7BEE" w:rsidRDefault="00AD7BEE" w:rsidP="00400424">
            <w:pPr>
              <w:rPr>
                <w:sz w:val="20"/>
                <w:szCs w:val="20"/>
              </w:rPr>
            </w:pPr>
          </w:p>
        </w:tc>
        <w:tc>
          <w:tcPr>
            <w:tcW w:w="1120" w:type="dxa"/>
            <w:tcBorders>
              <w:bottom w:val="single" w:sz="8" w:space="0" w:color="auto"/>
              <w:right w:val="single" w:sz="8" w:space="0" w:color="auto"/>
            </w:tcBorders>
            <w:vAlign w:val="bottom"/>
          </w:tcPr>
          <w:p w:rsidR="00AD7BEE" w:rsidRDefault="00AD7BEE" w:rsidP="00083B97">
            <w:pPr>
              <w:rPr>
                <w:sz w:val="20"/>
                <w:szCs w:val="20"/>
              </w:rPr>
            </w:pPr>
          </w:p>
        </w:tc>
        <w:tc>
          <w:tcPr>
            <w:tcW w:w="720" w:type="dxa"/>
            <w:tcBorders>
              <w:bottom w:val="single" w:sz="8" w:space="0" w:color="auto"/>
              <w:right w:val="single" w:sz="8" w:space="0" w:color="auto"/>
            </w:tcBorders>
            <w:vAlign w:val="bottom"/>
          </w:tcPr>
          <w:p w:rsidR="00AD7BEE" w:rsidRDefault="00AD7BEE" w:rsidP="00400424">
            <w:pPr>
              <w:rPr>
                <w:sz w:val="20"/>
                <w:szCs w:val="20"/>
              </w:rPr>
            </w:pPr>
          </w:p>
        </w:tc>
        <w:tc>
          <w:tcPr>
            <w:tcW w:w="1280" w:type="dxa"/>
            <w:tcBorders>
              <w:bottom w:val="single" w:sz="8" w:space="0" w:color="auto"/>
              <w:right w:val="single" w:sz="8" w:space="0" w:color="auto"/>
            </w:tcBorders>
            <w:vAlign w:val="bottom"/>
          </w:tcPr>
          <w:p w:rsidR="00AD7BEE" w:rsidRDefault="00AD7BEE" w:rsidP="00400424">
            <w:pPr>
              <w:rPr>
                <w:sz w:val="20"/>
                <w:szCs w:val="20"/>
              </w:rPr>
            </w:pPr>
          </w:p>
        </w:tc>
        <w:tc>
          <w:tcPr>
            <w:tcW w:w="1980" w:type="dxa"/>
            <w:tcBorders>
              <w:bottom w:val="single" w:sz="8" w:space="0" w:color="auto"/>
              <w:right w:val="single" w:sz="8" w:space="0" w:color="auto"/>
            </w:tcBorders>
            <w:vAlign w:val="bottom"/>
          </w:tcPr>
          <w:p w:rsidR="00AD7BEE" w:rsidRDefault="00AD7BEE" w:rsidP="00400424">
            <w:pPr>
              <w:rPr>
                <w:sz w:val="20"/>
                <w:szCs w:val="20"/>
              </w:rPr>
            </w:pPr>
          </w:p>
        </w:tc>
      </w:tr>
      <w:tr w:rsidR="00AD7BEE" w:rsidTr="00141132">
        <w:trPr>
          <w:trHeight w:val="216"/>
          <w:jc w:val="center"/>
        </w:trPr>
        <w:tc>
          <w:tcPr>
            <w:tcW w:w="4000" w:type="dxa"/>
            <w:gridSpan w:val="2"/>
            <w:tcBorders>
              <w:left w:val="single" w:sz="8" w:space="0" w:color="auto"/>
              <w:right w:val="single" w:sz="8" w:space="0" w:color="auto"/>
            </w:tcBorders>
            <w:vAlign w:val="bottom"/>
          </w:tcPr>
          <w:p w:rsidR="00AD7BEE" w:rsidRDefault="00AD7BEE" w:rsidP="00400424">
            <w:pPr>
              <w:spacing w:line="216" w:lineRule="exact"/>
              <w:ind w:left="80"/>
              <w:rPr>
                <w:sz w:val="20"/>
                <w:szCs w:val="20"/>
              </w:rPr>
            </w:pPr>
            <w:r>
              <w:rPr>
                <w:rFonts w:eastAsia="Times New Roman"/>
                <w:sz w:val="20"/>
                <w:szCs w:val="20"/>
              </w:rPr>
              <w:t>Activités de sensibilisation, information</w:t>
            </w:r>
          </w:p>
        </w:tc>
        <w:tc>
          <w:tcPr>
            <w:tcW w:w="860" w:type="dxa"/>
            <w:tcBorders>
              <w:right w:val="single" w:sz="8" w:space="0" w:color="auto"/>
            </w:tcBorders>
            <w:vAlign w:val="bottom"/>
          </w:tcPr>
          <w:p w:rsidR="00AD7BEE" w:rsidRDefault="001671A6" w:rsidP="00400424">
            <w:pPr>
              <w:spacing w:line="216" w:lineRule="exact"/>
              <w:ind w:left="60"/>
              <w:rPr>
                <w:sz w:val="20"/>
                <w:szCs w:val="20"/>
              </w:rPr>
            </w:pPr>
            <w:r>
              <w:rPr>
                <w:rFonts w:eastAsia="Times New Roman"/>
                <w:sz w:val="20"/>
                <w:szCs w:val="20"/>
              </w:rPr>
              <w:t>Campagne</w:t>
            </w:r>
          </w:p>
        </w:tc>
        <w:tc>
          <w:tcPr>
            <w:tcW w:w="1120" w:type="dxa"/>
            <w:tcBorders>
              <w:right w:val="single" w:sz="8" w:space="0" w:color="auto"/>
            </w:tcBorders>
            <w:vAlign w:val="bottom"/>
          </w:tcPr>
          <w:p w:rsidR="00AD7BEE" w:rsidRDefault="001671A6" w:rsidP="00400424">
            <w:pPr>
              <w:rPr>
                <w:sz w:val="18"/>
                <w:szCs w:val="18"/>
              </w:rPr>
            </w:pPr>
            <w:r>
              <w:rPr>
                <w:sz w:val="18"/>
                <w:szCs w:val="18"/>
              </w:rPr>
              <w:t>10</w:t>
            </w:r>
          </w:p>
        </w:tc>
        <w:tc>
          <w:tcPr>
            <w:tcW w:w="720" w:type="dxa"/>
            <w:tcBorders>
              <w:right w:val="single" w:sz="8" w:space="0" w:color="auto"/>
            </w:tcBorders>
            <w:vAlign w:val="bottom"/>
          </w:tcPr>
          <w:p w:rsidR="00AD7BEE" w:rsidRDefault="001671A6" w:rsidP="00400424">
            <w:pPr>
              <w:rPr>
                <w:sz w:val="18"/>
                <w:szCs w:val="18"/>
              </w:rPr>
            </w:pPr>
            <w:r>
              <w:rPr>
                <w:sz w:val="18"/>
                <w:szCs w:val="18"/>
              </w:rPr>
              <w:t>1000 000</w:t>
            </w:r>
          </w:p>
        </w:tc>
        <w:tc>
          <w:tcPr>
            <w:tcW w:w="1280" w:type="dxa"/>
            <w:tcBorders>
              <w:right w:val="single" w:sz="8" w:space="0" w:color="auto"/>
            </w:tcBorders>
            <w:vAlign w:val="bottom"/>
          </w:tcPr>
          <w:p w:rsidR="00AD7BEE" w:rsidRDefault="001671A6" w:rsidP="00400424">
            <w:pPr>
              <w:spacing w:line="216" w:lineRule="exact"/>
              <w:jc w:val="center"/>
              <w:rPr>
                <w:sz w:val="20"/>
                <w:szCs w:val="20"/>
              </w:rPr>
            </w:pPr>
            <w:r>
              <w:rPr>
                <w:rFonts w:eastAsia="Times New Roman"/>
                <w:sz w:val="20"/>
                <w:szCs w:val="20"/>
              </w:rPr>
              <w:t>10 000 000</w:t>
            </w:r>
          </w:p>
        </w:tc>
        <w:tc>
          <w:tcPr>
            <w:tcW w:w="1980" w:type="dxa"/>
            <w:tcBorders>
              <w:right w:val="single" w:sz="8" w:space="0" w:color="auto"/>
            </w:tcBorders>
            <w:vAlign w:val="bottom"/>
          </w:tcPr>
          <w:p w:rsidR="00AD7BEE" w:rsidRDefault="001671A6" w:rsidP="00400424">
            <w:pPr>
              <w:spacing w:line="216" w:lineRule="exact"/>
              <w:ind w:left="40"/>
              <w:rPr>
                <w:sz w:val="20"/>
                <w:szCs w:val="20"/>
              </w:rPr>
            </w:pPr>
            <w:r>
              <w:rPr>
                <w:rFonts w:eastAsia="Times New Roman"/>
                <w:sz w:val="20"/>
                <w:szCs w:val="20"/>
              </w:rPr>
              <w:t xml:space="preserve">Inclus dans le </w:t>
            </w:r>
            <w:r w:rsidR="00AD7BEE">
              <w:rPr>
                <w:rFonts w:eastAsia="Times New Roman"/>
                <w:sz w:val="20"/>
                <w:szCs w:val="20"/>
              </w:rPr>
              <w:t>CGES</w:t>
            </w:r>
          </w:p>
        </w:tc>
      </w:tr>
      <w:tr w:rsidR="00AD7BEE" w:rsidTr="00141132">
        <w:trPr>
          <w:trHeight w:val="78"/>
          <w:jc w:val="center"/>
        </w:trPr>
        <w:tc>
          <w:tcPr>
            <w:tcW w:w="4000" w:type="dxa"/>
            <w:gridSpan w:val="2"/>
            <w:tcBorders>
              <w:left w:val="single" w:sz="8" w:space="0" w:color="auto"/>
              <w:bottom w:val="single" w:sz="8" w:space="0" w:color="auto"/>
              <w:right w:val="single" w:sz="8" w:space="0" w:color="auto"/>
            </w:tcBorders>
            <w:vAlign w:val="bottom"/>
          </w:tcPr>
          <w:p w:rsidR="00AD7BEE" w:rsidRDefault="00AD7BEE" w:rsidP="00400424">
            <w:pPr>
              <w:rPr>
                <w:sz w:val="6"/>
                <w:szCs w:val="6"/>
              </w:rPr>
            </w:pPr>
          </w:p>
        </w:tc>
        <w:tc>
          <w:tcPr>
            <w:tcW w:w="860" w:type="dxa"/>
            <w:tcBorders>
              <w:bottom w:val="single" w:sz="8" w:space="0" w:color="auto"/>
              <w:right w:val="single" w:sz="8" w:space="0" w:color="auto"/>
            </w:tcBorders>
            <w:vAlign w:val="bottom"/>
          </w:tcPr>
          <w:p w:rsidR="00AD7BEE" w:rsidRDefault="00AD7BEE" w:rsidP="00400424">
            <w:pPr>
              <w:rPr>
                <w:sz w:val="6"/>
                <w:szCs w:val="6"/>
              </w:rPr>
            </w:pPr>
          </w:p>
        </w:tc>
        <w:tc>
          <w:tcPr>
            <w:tcW w:w="1120" w:type="dxa"/>
            <w:tcBorders>
              <w:bottom w:val="single" w:sz="8" w:space="0" w:color="auto"/>
              <w:right w:val="single" w:sz="8" w:space="0" w:color="auto"/>
            </w:tcBorders>
            <w:vAlign w:val="bottom"/>
          </w:tcPr>
          <w:p w:rsidR="00AD7BEE" w:rsidRDefault="00AD7BEE" w:rsidP="00400424">
            <w:pPr>
              <w:rPr>
                <w:sz w:val="6"/>
                <w:szCs w:val="6"/>
              </w:rPr>
            </w:pPr>
          </w:p>
        </w:tc>
        <w:tc>
          <w:tcPr>
            <w:tcW w:w="720" w:type="dxa"/>
            <w:tcBorders>
              <w:bottom w:val="single" w:sz="8" w:space="0" w:color="auto"/>
              <w:right w:val="single" w:sz="8" w:space="0" w:color="auto"/>
            </w:tcBorders>
            <w:vAlign w:val="bottom"/>
          </w:tcPr>
          <w:p w:rsidR="00AD7BEE" w:rsidRDefault="00AD7BEE" w:rsidP="00400424">
            <w:pPr>
              <w:rPr>
                <w:sz w:val="6"/>
                <w:szCs w:val="6"/>
              </w:rPr>
            </w:pPr>
          </w:p>
        </w:tc>
        <w:tc>
          <w:tcPr>
            <w:tcW w:w="1280" w:type="dxa"/>
            <w:tcBorders>
              <w:bottom w:val="single" w:sz="8" w:space="0" w:color="auto"/>
              <w:right w:val="single" w:sz="8" w:space="0" w:color="auto"/>
            </w:tcBorders>
            <w:vAlign w:val="bottom"/>
          </w:tcPr>
          <w:p w:rsidR="00AD7BEE" w:rsidRDefault="00AD7BEE" w:rsidP="00400424">
            <w:pPr>
              <w:rPr>
                <w:sz w:val="6"/>
                <w:szCs w:val="6"/>
              </w:rPr>
            </w:pPr>
          </w:p>
        </w:tc>
        <w:tc>
          <w:tcPr>
            <w:tcW w:w="1980" w:type="dxa"/>
            <w:tcBorders>
              <w:bottom w:val="single" w:sz="8" w:space="0" w:color="auto"/>
              <w:right w:val="single" w:sz="8" w:space="0" w:color="auto"/>
            </w:tcBorders>
            <w:vAlign w:val="bottom"/>
          </w:tcPr>
          <w:p w:rsidR="00AD7BEE" w:rsidRDefault="00AD7BEE" w:rsidP="00400424">
            <w:pPr>
              <w:rPr>
                <w:sz w:val="6"/>
                <w:szCs w:val="6"/>
              </w:rPr>
            </w:pPr>
          </w:p>
        </w:tc>
      </w:tr>
      <w:tr w:rsidR="00AD7BEE" w:rsidTr="00345951">
        <w:trPr>
          <w:trHeight w:val="212"/>
          <w:jc w:val="center"/>
        </w:trPr>
        <w:tc>
          <w:tcPr>
            <w:tcW w:w="4000" w:type="dxa"/>
            <w:gridSpan w:val="2"/>
            <w:tcBorders>
              <w:left w:val="single" w:sz="8" w:space="0" w:color="auto"/>
              <w:bottom w:val="single" w:sz="4" w:space="0" w:color="auto"/>
              <w:right w:val="single" w:sz="8" w:space="0" w:color="auto"/>
            </w:tcBorders>
            <w:vAlign w:val="bottom"/>
          </w:tcPr>
          <w:p w:rsidR="00AD7BEE" w:rsidRDefault="00AD7BEE" w:rsidP="00400424">
            <w:pPr>
              <w:spacing w:line="211" w:lineRule="exact"/>
              <w:ind w:left="80"/>
              <w:rPr>
                <w:sz w:val="20"/>
                <w:szCs w:val="20"/>
              </w:rPr>
            </w:pPr>
            <w:r>
              <w:rPr>
                <w:rFonts w:eastAsia="Times New Roman"/>
                <w:sz w:val="20"/>
                <w:szCs w:val="20"/>
              </w:rPr>
              <w:t>Guide de bonnes pratiques d’utilisation</w:t>
            </w:r>
          </w:p>
        </w:tc>
        <w:tc>
          <w:tcPr>
            <w:tcW w:w="860" w:type="dxa"/>
            <w:tcBorders>
              <w:bottom w:val="single" w:sz="4" w:space="0" w:color="auto"/>
              <w:right w:val="single" w:sz="8" w:space="0" w:color="auto"/>
            </w:tcBorders>
            <w:vAlign w:val="bottom"/>
          </w:tcPr>
          <w:p w:rsidR="00AD7BEE" w:rsidRDefault="00AD7BEE" w:rsidP="00400424">
            <w:pPr>
              <w:rPr>
                <w:sz w:val="18"/>
                <w:szCs w:val="18"/>
              </w:rPr>
            </w:pPr>
          </w:p>
        </w:tc>
        <w:tc>
          <w:tcPr>
            <w:tcW w:w="1120" w:type="dxa"/>
            <w:tcBorders>
              <w:bottom w:val="single" w:sz="4" w:space="0" w:color="auto"/>
              <w:right w:val="single" w:sz="8" w:space="0" w:color="auto"/>
            </w:tcBorders>
            <w:vAlign w:val="bottom"/>
          </w:tcPr>
          <w:p w:rsidR="00AD7BEE" w:rsidRDefault="001671A6" w:rsidP="00400424">
            <w:pPr>
              <w:spacing w:line="211" w:lineRule="exact"/>
              <w:ind w:left="40"/>
              <w:rPr>
                <w:sz w:val="20"/>
                <w:szCs w:val="20"/>
              </w:rPr>
            </w:pPr>
            <w:r>
              <w:rPr>
                <w:rFonts w:eastAsia="Times New Roman"/>
                <w:sz w:val="20"/>
                <w:szCs w:val="20"/>
              </w:rPr>
              <w:t>Forfait</w:t>
            </w:r>
          </w:p>
        </w:tc>
        <w:tc>
          <w:tcPr>
            <w:tcW w:w="720" w:type="dxa"/>
            <w:tcBorders>
              <w:bottom w:val="single" w:sz="4" w:space="0" w:color="auto"/>
              <w:right w:val="single" w:sz="8" w:space="0" w:color="auto"/>
            </w:tcBorders>
            <w:vAlign w:val="bottom"/>
          </w:tcPr>
          <w:p w:rsidR="00AD7BEE" w:rsidRDefault="00AD7BEE" w:rsidP="00400424">
            <w:pPr>
              <w:rPr>
                <w:sz w:val="18"/>
                <w:szCs w:val="18"/>
              </w:rPr>
            </w:pPr>
          </w:p>
        </w:tc>
        <w:tc>
          <w:tcPr>
            <w:tcW w:w="1280" w:type="dxa"/>
            <w:tcBorders>
              <w:bottom w:val="single" w:sz="4" w:space="0" w:color="auto"/>
              <w:right w:val="single" w:sz="8" w:space="0" w:color="auto"/>
            </w:tcBorders>
            <w:vAlign w:val="bottom"/>
          </w:tcPr>
          <w:p w:rsidR="00AD7BEE" w:rsidRDefault="00AD7BEE" w:rsidP="00400424">
            <w:pPr>
              <w:spacing w:line="211" w:lineRule="exact"/>
              <w:jc w:val="center"/>
              <w:rPr>
                <w:sz w:val="20"/>
                <w:szCs w:val="20"/>
              </w:rPr>
            </w:pPr>
            <w:r>
              <w:rPr>
                <w:rFonts w:eastAsia="Times New Roman"/>
                <w:w w:val="96"/>
                <w:sz w:val="20"/>
                <w:szCs w:val="20"/>
              </w:rPr>
              <w:t>PM</w:t>
            </w:r>
          </w:p>
        </w:tc>
        <w:tc>
          <w:tcPr>
            <w:tcW w:w="1980" w:type="dxa"/>
            <w:tcBorders>
              <w:bottom w:val="single" w:sz="4" w:space="0" w:color="auto"/>
              <w:right w:val="single" w:sz="8" w:space="0" w:color="auto"/>
            </w:tcBorders>
            <w:vAlign w:val="bottom"/>
          </w:tcPr>
          <w:p w:rsidR="00AD7BEE" w:rsidRDefault="001671A6" w:rsidP="00400424">
            <w:pPr>
              <w:spacing w:line="211" w:lineRule="exact"/>
              <w:ind w:left="40"/>
              <w:rPr>
                <w:sz w:val="20"/>
                <w:szCs w:val="20"/>
              </w:rPr>
            </w:pPr>
            <w:r>
              <w:rPr>
                <w:rFonts w:eastAsia="Times New Roman"/>
                <w:sz w:val="20"/>
                <w:szCs w:val="20"/>
              </w:rPr>
              <w:t>Inclus dans le projet PUSA</w:t>
            </w:r>
          </w:p>
        </w:tc>
      </w:tr>
      <w:tr w:rsidR="007C308F" w:rsidTr="00345951">
        <w:trPr>
          <w:trHeight w:val="212"/>
          <w:jc w:val="center"/>
        </w:trPr>
        <w:tc>
          <w:tcPr>
            <w:tcW w:w="4000" w:type="dxa"/>
            <w:gridSpan w:val="2"/>
            <w:tcBorders>
              <w:top w:val="single" w:sz="4" w:space="0" w:color="auto"/>
              <w:left w:val="single" w:sz="4" w:space="0" w:color="auto"/>
              <w:bottom w:val="single" w:sz="4" w:space="0" w:color="auto"/>
              <w:right w:val="single" w:sz="4" w:space="0" w:color="auto"/>
            </w:tcBorders>
            <w:vAlign w:val="bottom"/>
          </w:tcPr>
          <w:p w:rsidR="007C308F" w:rsidRDefault="007C308F" w:rsidP="007C308F">
            <w:pPr>
              <w:spacing w:line="211" w:lineRule="exact"/>
              <w:ind w:left="80"/>
              <w:rPr>
                <w:rFonts w:eastAsia="Times New Roman"/>
                <w:sz w:val="20"/>
                <w:szCs w:val="20"/>
              </w:rPr>
            </w:pPr>
            <w:r w:rsidRPr="00260B47">
              <w:rPr>
                <w:rFonts w:eastAsia="Times New Roman"/>
                <w:sz w:val="21"/>
                <w:szCs w:val="21"/>
              </w:rPr>
              <w:t>Promotion  de  l’usage  des  stratégies  alternatives  de lutte</w:t>
            </w:r>
          </w:p>
        </w:tc>
        <w:tc>
          <w:tcPr>
            <w:tcW w:w="860" w:type="dxa"/>
            <w:tcBorders>
              <w:top w:val="single" w:sz="4" w:space="0" w:color="auto"/>
              <w:left w:val="single" w:sz="4" w:space="0" w:color="auto"/>
              <w:bottom w:val="single" w:sz="4" w:space="0" w:color="auto"/>
              <w:right w:val="single" w:sz="4" w:space="0" w:color="auto"/>
            </w:tcBorders>
            <w:vAlign w:val="bottom"/>
          </w:tcPr>
          <w:p w:rsidR="007C308F" w:rsidRDefault="007C308F" w:rsidP="007C308F">
            <w:pPr>
              <w:rPr>
                <w:sz w:val="18"/>
                <w:szCs w:val="18"/>
              </w:rPr>
            </w:pPr>
            <w:r>
              <w:rPr>
                <w:rFonts w:eastAsia="Times New Roman"/>
                <w:sz w:val="20"/>
                <w:szCs w:val="20"/>
              </w:rPr>
              <w:t>Campagne</w:t>
            </w:r>
          </w:p>
        </w:tc>
        <w:tc>
          <w:tcPr>
            <w:tcW w:w="1120" w:type="dxa"/>
            <w:tcBorders>
              <w:top w:val="single" w:sz="4" w:space="0" w:color="auto"/>
              <w:left w:val="single" w:sz="4" w:space="0" w:color="auto"/>
              <w:bottom w:val="single" w:sz="4" w:space="0" w:color="auto"/>
              <w:right w:val="single" w:sz="4" w:space="0" w:color="auto"/>
            </w:tcBorders>
            <w:vAlign w:val="bottom"/>
          </w:tcPr>
          <w:p w:rsidR="007C308F" w:rsidRDefault="007C308F" w:rsidP="007C308F">
            <w:pPr>
              <w:spacing w:line="211" w:lineRule="exact"/>
              <w:ind w:left="40"/>
              <w:rPr>
                <w:rFonts w:eastAsia="Times New Roman"/>
                <w:sz w:val="20"/>
                <w:szCs w:val="20"/>
              </w:rPr>
            </w:pPr>
            <w:r>
              <w:rPr>
                <w:sz w:val="18"/>
                <w:szCs w:val="18"/>
              </w:rPr>
              <w:t>10</w:t>
            </w:r>
          </w:p>
        </w:tc>
        <w:tc>
          <w:tcPr>
            <w:tcW w:w="720" w:type="dxa"/>
            <w:tcBorders>
              <w:top w:val="single" w:sz="4" w:space="0" w:color="auto"/>
              <w:left w:val="single" w:sz="4" w:space="0" w:color="auto"/>
              <w:bottom w:val="single" w:sz="4" w:space="0" w:color="auto"/>
              <w:right w:val="single" w:sz="4" w:space="0" w:color="auto"/>
            </w:tcBorders>
            <w:vAlign w:val="bottom"/>
          </w:tcPr>
          <w:p w:rsidR="007C308F" w:rsidRDefault="007C308F" w:rsidP="007C308F">
            <w:pPr>
              <w:rPr>
                <w:sz w:val="18"/>
                <w:szCs w:val="18"/>
              </w:rPr>
            </w:pPr>
            <w:r>
              <w:rPr>
                <w:sz w:val="18"/>
                <w:szCs w:val="18"/>
              </w:rPr>
              <w:t>1000 000</w:t>
            </w:r>
          </w:p>
        </w:tc>
        <w:tc>
          <w:tcPr>
            <w:tcW w:w="1280" w:type="dxa"/>
            <w:tcBorders>
              <w:top w:val="single" w:sz="4" w:space="0" w:color="auto"/>
              <w:left w:val="single" w:sz="4" w:space="0" w:color="auto"/>
              <w:bottom w:val="single" w:sz="4" w:space="0" w:color="auto"/>
              <w:right w:val="single" w:sz="4" w:space="0" w:color="auto"/>
            </w:tcBorders>
            <w:vAlign w:val="bottom"/>
          </w:tcPr>
          <w:p w:rsidR="007C308F" w:rsidRDefault="007C308F" w:rsidP="007C308F">
            <w:pPr>
              <w:spacing w:line="211" w:lineRule="exact"/>
              <w:jc w:val="center"/>
              <w:rPr>
                <w:rFonts w:eastAsia="Times New Roman"/>
                <w:w w:val="96"/>
                <w:sz w:val="20"/>
                <w:szCs w:val="20"/>
              </w:rPr>
            </w:pPr>
            <w:r>
              <w:rPr>
                <w:rFonts w:eastAsia="Times New Roman"/>
                <w:sz w:val="20"/>
                <w:szCs w:val="20"/>
              </w:rPr>
              <w:t>10 000 000</w:t>
            </w:r>
          </w:p>
        </w:tc>
        <w:tc>
          <w:tcPr>
            <w:tcW w:w="1980" w:type="dxa"/>
            <w:tcBorders>
              <w:top w:val="single" w:sz="4" w:space="0" w:color="auto"/>
              <w:left w:val="single" w:sz="4" w:space="0" w:color="auto"/>
              <w:bottom w:val="single" w:sz="4" w:space="0" w:color="auto"/>
              <w:right w:val="single" w:sz="4" w:space="0" w:color="auto"/>
            </w:tcBorders>
            <w:vAlign w:val="bottom"/>
          </w:tcPr>
          <w:p w:rsidR="007C308F" w:rsidRDefault="007C308F" w:rsidP="007C308F">
            <w:pPr>
              <w:spacing w:line="211" w:lineRule="exact"/>
              <w:ind w:left="40"/>
              <w:rPr>
                <w:rFonts w:eastAsia="Times New Roman"/>
                <w:sz w:val="20"/>
                <w:szCs w:val="20"/>
              </w:rPr>
            </w:pPr>
            <w:r>
              <w:rPr>
                <w:rFonts w:eastAsia="Times New Roman"/>
                <w:sz w:val="20"/>
                <w:szCs w:val="20"/>
              </w:rPr>
              <w:t>Inclus dans le projet PUSA</w:t>
            </w:r>
          </w:p>
        </w:tc>
      </w:tr>
      <w:tr w:rsidR="007C308F" w:rsidTr="00141132">
        <w:trPr>
          <w:trHeight w:val="216"/>
          <w:jc w:val="center"/>
        </w:trPr>
        <w:tc>
          <w:tcPr>
            <w:tcW w:w="1120" w:type="dxa"/>
            <w:tcBorders>
              <w:left w:val="single" w:sz="8" w:space="0" w:color="auto"/>
            </w:tcBorders>
            <w:vAlign w:val="bottom"/>
          </w:tcPr>
          <w:p w:rsidR="007C308F" w:rsidRDefault="007C308F" w:rsidP="007C308F">
            <w:pPr>
              <w:spacing w:line="216" w:lineRule="exact"/>
              <w:ind w:left="80"/>
              <w:rPr>
                <w:sz w:val="20"/>
                <w:szCs w:val="20"/>
              </w:rPr>
            </w:pPr>
            <w:r>
              <w:rPr>
                <w:rFonts w:eastAsia="Times New Roman"/>
                <w:sz w:val="20"/>
                <w:szCs w:val="20"/>
              </w:rPr>
              <w:t>Promotion</w:t>
            </w:r>
          </w:p>
        </w:tc>
        <w:tc>
          <w:tcPr>
            <w:tcW w:w="2880" w:type="dxa"/>
            <w:tcBorders>
              <w:right w:val="single" w:sz="8" w:space="0" w:color="auto"/>
            </w:tcBorders>
            <w:vAlign w:val="bottom"/>
          </w:tcPr>
          <w:p w:rsidR="007C308F" w:rsidRDefault="007C308F" w:rsidP="007C308F">
            <w:pPr>
              <w:spacing w:line="216" w:lineRule="exact"/>
              <w:ind w:left="180"/>
              <w:rPr>
                <w:sz w:val="20"/>
                <w:szCs w:val="20"/>
              </w:rPr>
            </w:pPr>
            <w:r>
              <w:rPr>
                <w:rFonts w:eastAsia="Times New Roman"/>
                <w:sz w:val="20"/>
                <w:szCs w:val="20"/>
              </w:rPr>
              <w:t>de   supports   scientifiques   et</w:t>
            </w:r>
          </w:p>
        </w:tc>
        <w:tc>
          <w:tcPr>
            <w:tcW w:w="860" w:type="dxa"/>
            <w:tcBorders>
              <w:right w:val="single" w:sz="8" w:space="0" w:color="auto"/>
            </w:tcBorders>
            <w:vAlign w:val="bottom"/>
          </w:tcPr>
          <w:p w:rsidR="007C308F" w:rsidRDefault="007C308F" w:rsidP="007C308F">
            <w:pPr>
              <w:rPr>
                <w:sz w:val="18"/>
                <w:szCs w:val="18"/>
              </w:rPr>
            </w:pPr>
          </w:p>
        </w:tc>
        <w:tc>
          <w:tcPr>
            <w:tcW w:w="1120" w:type="dxa"/>
            <w:tcBorders>
              <w:right w:val="single" w:sz="8" w:space="0" w:color="auto"/>
            </w:tcBorders>
            <w:vAlign w:val="bottom"/>
          </w:tcPr>
          <w:p w:rsidR="007C308F" w:rsidRDefault="007C308F" w:rsidP="007C308F">
            <w:pPr>
              <w:spacing w:line="216" w:lineRule="exact"/>
              <w:ind w:left="40"/>
              <w:rPr>
                <w:sz w:val="20"/>
                <w:szCs w:val="20"/>
              </w:rPr>
            </w:pPr>
            <w:r>
              <w:rPr>
                <w:rFonts w:eastAsia="Times New Roman"/>
                <w:sz w:val="20"/>
                <w:szCs w:val="20"/>
              </w:rPr>
              <w:t>Forfait</w:t>
            </w:r>
          </w:p>
        </w:tc>
        <w:tc>
          <w:tcPr>
            <w:tcW w:w="720" w:type="dxa"/>
            <w:tcBorders>
              <w:right w:val="single" w:sz="8" w:space="0" w:color="auto"/>
            </w:tcBorders>
            <w:vAlign w:val="bottom"/>
          </w:tcPr>
          <w:p w:rsidR="007C308F" w:rsidRDefault="007C308F" w:rsidP="007C308F">
            <w:pPr>
              <w:rPr>
                <w:sz w:val="18"/>
                <w:szCs w:val="18"/>
              </w:rPr>
            </w:pPr>
          </w:p>
        </w:tc>
        <w:tc>
          <w:tcPr>
            <w:tcW w:w="1280" w:type="dxa"/>
            <w:tcBorders>
              <w:right w:val="single" w:sz="8" w:space="0" w:color="auto"/>
            </w:tcBorders>
            <w:vAlign w:val="bottom"/>
          </w:tcPr>
          <w:p w:rsidR="007C308F" w:rsidRDefault="007C308F" w:rsidP="007C308F">
            <w:pPr>
              <w:spacing w:line="216" w:lineRule="exact"/>
              <w:jc w:val="center"/>
              <w:rPr>
                <w:sz w:val="20"/>
                <w:szCs w:val="20"/>
              </w:rPr>
            </w:pPr>
            <w:r>
              <w:rPr>
                <w:rFonts w:eastAsia="Times New Roman"/>
                <w:w w:val="96"/>
                <w:sz w:val="20"/>
                <w:szCs w:val="20"/>
              </w:rPr>
              <w:t>PM</w:t>
            </w:r>
          </w:p>
        </w:tc>
        <w:tc>
          <w:tcPr>
            <w:tcW w:w="1980" w:type="dxa"/>
            <w:tcBorders>
              <w:right w:val="single" w:sz="8" w:space="0" w:color="auto"/>
            </w:tcBorders>
            <w:vAlign w:val="bottom"/>
          </w:tcPr>
          <w:p w:rsidR="007C308F" w:rsidRDefault="007C308F" w:rsidP="007C308F">
            <w:pPr>
              <w:spacing w:line="216" w:lineRule="exact"/>
              <w:ind w:left="40"/>
              <w:rPr>
                <w:sz w:val="20"/>
                <w:szCs w:val="20"/>
              </w:rPr>
            </w:pPr>
            <w:r>
              <w:rPr>
                <w:rFonts w:eastAsia="Times New Roman"/>
                <w:sz w:val="20"/>
                <w:szCs w:val="20"/>
              </w:rPr>
              <w:t>Inclus dans le CGES</w:t>
            </w:r>
          </w:p>
        </w:tc>
      </w:tr>
      <w:tr w:rsidR="007C308F" w:rsidTr="00141132">
        <w:trPr>
          <w:trHeight w:val="230"/>
          <w:jc w:val="center"/>
        </w:trPr>
        <w:tc>
          <w:tcPr>
            <w:tcW w:w="4000" w:type="dxa"/>
            <w:gridSpan w:val="2"/>
            <w:tcBorders>
              <w:left w:val="single" w:sz="8" w:space="0" w:color="auto"/>
              <w:right w:val="single" w:sz="8" w:space="0" w:color="auto"/>
            </w:tcBorders>
            <w:vAlign w:val="bottom"/>
          </w:tcPr>
          <w:p w:rsidR="007C308F" w:rsidRDefault="007C308F" w:rsidP="007C308F">
            <w:pPr>
              <w:ind w:left="80"/>
              <w:rPr>
                <w:sz w:val="20"/>
                <w:szCs w:val="20"/>
              </w:rPr>
            </w:pPr>
            <w:r>
              <w:rPr>
                <w:rFonts w:eastAsia="Times New Roman"/>
                <w:sz w:val="20"/>
                <w:szCs w:val="20"/>
              </w:rPr>
              <w:t>techniques (expérimentation, fiches techniques)</w:t>
            </w:r>
          </w:p>
        </w:tc>
        <w:tc>
          <w:tcPr>
            <w:tcW w:w="860" w:type="dxa"/>
            <w:tcBorders>
              <w:right w:val="single" w:sz="8" w:space="0" w:color="auto"/>
            </w:tcBorders>
            <w:vAlign w:val="bottom"/>
          </w:tcPr>
          <w:p w:rsidR="007C308F" w:rsidRDefault="007C308F" w:rsidP="007C308F">
            <w:pPr>
              <w:rPr>
                <w:sz w:val="20"/>
                <w:szCs w:val="20"/>
              </w:rPr>
            </w:pPr>
          </w:p>
        </w:tc>
        <w:tc>
          <w:tcPr>
            <w:tcW w:w="1120" w:type="dxa"/>
            <w:tcBorders>
              <w:right w:val="single" w:sz="8" w:space="0" w:color="auto"/>
            </w:tcBorders>
            <w:vAlign w:val="bottom"/>
          </w:tcPr>
          <w:p w:rsidR="007C308F" w:rsidRDefault="007C308F" w:rsidP="007C308F">
            <w:pPr>
              <w:rPr>
                <w:sz w:val="20"/>
                <w:szCs w:val="20"/>
              </w:rPr>
            </w:pPr>
          </w:p>
        </w:tc>
        <w:tc>
          <w:tcPr>
            <w:tcW w:w="720" w:type="dxa"/>
            <w:tcBorders>
              <w:right w:val="single" w:sz="8" w:space="0" w:color="auto"/>
            </w:tcBorders>
            <w:vAlign w:val="bottom"/>
          </w:tcPr>
          <w:p w:rsidR="007C308F" w:rsidRDefault="007C308F" w:rsidP="007C308F">
            <w:pPr>
              <w:rPr>
                <w:sz w:val="20"/>
                <w:szCs w:val="20"/>
              </w:rPr>
            </w:pPr>
          </w:p>
        </w:tc>
        <w:tc>
          <w:tcPr>
            <w:tcW w:w="1280" w:type="dxa"/>
            <w:tcBorders>
              <w:right w:val="single" w:sz="8" w:space="0" w:color="auto"/>
            </w:tcBorders>
            <w:vAlign w:val="bottom"/>
          </w:tcPr>
          <w:p w:rsidR="007C308F" w:rsidRDefault="007C308F" w:rsidP="007C308F">
            <w:pPr>
              <w:rPr>
                <w:sz w:val="20"/>
                <w:szCs w:val="20"/>
              </w:rPr>
            </w:pPr>
          </w:p>
        </w:tc>
        <w:tc>
          <w:tcPr>
            <w:tcW w:w="1980" w:type="dxa"/>
            <w:tcBorders>
              <w:right w:val="single" w:sz="8" w:space="0" w:color="auto"/>
            </w:tcBorders>
            <w:vAlign w:val="bottom"/>
          </w:tcPr>
          <w:p w:rsidR="007C308F" w:rsidRDefault="007C308F" w:rsidP="007C308F">
            <w:pPr>
              <w:rPr>
                <w:sz w:val="20"/>
                <w:szCs w:val="20"/>
              </w:rPr>
            </w:pPr>
          </w:p>
        </w:tc>
      </w:tr>
      <w:tr w:rsidR="007C308F" w:rsidTr="00141132">
        <w:trPr>
          <w:trHeight w:val="256"/>
          <w:jc w:val="center"/>
        </w:trPr>
        <w:tc>
          <w:tcPr>
            <w:tcW w:w="4000" w:type="dxa"/>
            <w:gridSpan w:val="2"/>
            <w:tcBorders>
              <w:left w:val="single" w:sz="8" w:space="0" w:color="auto"/>
              <w:bottom w:val="single" w:sz="8" w:space="0" w:color="auto"/>
              <w:right w:val="single" w:sz="8" w:space="0" w:color="auto"/>
            </w:tcBorders>
            <w:vAlign w:val="bottom"/>
          </w:tcPr>
          <w:p w:rsidR="007C308F" w:rsidRDefault="007C308F" w:rsidP="007C308F"/>
        </w:tc>
        <w:tc>
          <w:tcPr>
            <w:tcW w:w="860" w:type="dxa"/>
            <w:tcBorders>
              <w:bottom w:val="single" w:sz="8" w:space="0" w:color="auto"/>
              <w:right w:val="single" w:sz="8" w:space="0" w:color="auto"/>
            </w:tcBorders>
            <w:vAlign w:val="bottom"/>
          </w:tcPr>
          <w:p w:rsidR="007C308F" w:rsidRDefault="007C308F" w:rsidP="007C308F"/>
        </w:tc>
        <w:tc>
          <w:tcPr>
            <w:tcW w:w="1120" w:type="dxa"/>
            <w:tcBorders>
              <w:bottom w:val="single" w:sz="8" w:space="0" w:color="auto"/>
              <w:right w:val="single" w:sz="8" w:space="0" w:color="auto"/>
            </w:tcBorders>
            <w:vAlign w:val="bottom"/>
          </w:tcPr>
          <w:p w:rsidR="007C308F" w:rsidRDefault="007C308F" w:rsidP="007C308F"/>
        </w:tc>
        <w:tc>
          <w:tcPr>
            <w:tcW w:w="720" w:type="dxa"/>
            <w:tcBorders>
              <w:bottom w:val="single" w:sz="8" w:space="0" w:color="auto"/>
              <w:right w:val="single" w:sz="8" w:space="0" w:color="auto"/>
            </w:tcBorders>
            <w:vAlign w:val="bottom"/>
          </w:tcPr>
          <w:p w:rsidR="007C308F" w:rsidRDefault="007C308F" w:rsidP="007C308F"/>
        </w:tc>
        <w:tc>
          <w:tcPr>
            <w:tcW w:w="1280" w:type="dxa"/>
            <w:tcBorders>
              <w:bottom w:val="single" w:sz="8" w:space="0" w:color="auto"/>
              <w:right w:val="single" w:sz="8" w:space="0" w:color="auto"/>
            </w:tcBorders>
            <w:vAlign w:val="bottom"/>
          </w:tcPr>
          <w:p w:rsidR="007C308F" w:rsidRDefault="007C308F" w:rsidP="007C308F"/>
        </w:tc>
        <w:tc>
          <w:tcPr>
            <w:tcW w:w="1980" w:type="dxa"/>
            <w:tcBorders>
              <w:bottom w:val="single" w:sz="8" w:space="0" w:color="auto"/>
              <w:right w:val="single" w:sz="8" w:space="0" w:color="auto"/>
            </w:tcBorders>
            <w:vAlign w:val="bottom"/>
          </w:tcPr>
          <w:p w:rsidR="007C308F" w:rsidRDefault="007C308F" w:rsidP="007C308F"/>
        </w:tc>
      </w:tr>
      <w:tr w:rsidR="007C308F" w:rsidTr="00141132">
        <w:trPr>
          <w:trHeight w:val="212"/>
          <w:jc w:val="center"/>
        </w:trPr>
        <w:tc>
          <w:tcPr>
            <w:tcW w:w="4000" w:type="dxa"/>
            <w:gridSpan w:val="2"/>
            <w:tcBorders>
              <w:left w:val="single" w:sz="8" w:space="0" w:color="auto"/>
              <w:right w:val="single" w:sz="8" w:space="0" w:color="auto"/>
            </w:tcBorders>
            <w:vAlign w:val="bottom"/>
          </w:tcPr>
          <w:p w:rsidR="007C308F" w:rsidRDefault="007C308F" w:rsidP="007C308F">
            <w:pPr>
              <w:spacing w:line="211" w:lineRule="exact"/>
              <w:ind w:left="80"/>
              <w:rPr>
                <w:sz w:val="20"/>
                <w:szCs w:val="20"/>
              </w:rPr>
            </w:pPr>
            <w:r>
              <w:rPr>
                <w:rFonts w:eastAsia="Times New Roman"/>
                <w:sz w:val="20"/>
                <w:szCs w:val="20"/>
              </w:rPr>
              <w:t>Matériels de protection</w:t>
            </w:r>
          </w:p>
        </w:tc>
        <w:tc>
          <w:tcPr>
            <w:tcW w:w="860" w:type="dxa"/>
            <w:tcBorders>
              <w:right w:val="single" w:sz="8" w:space="0" w:color="auto"/>
            </w:tcBorders>
            <w:vAlign w:val="bottom"/>
          </w:tcPr>
          <w:p w:rsidR="007C308F" w:rsidRDefault="007C308F" w:rsidP="007C308F">
            <w:pPr>
              <w:rPr>
                <w:sz w:val="18"/>
                <w:szCs w:val="18"/>
              </w:rPr>
            </w:pPr>
          </w:p>
        </w:tc>
        <w:tc>
          <w:tcPr>
            <w:tcW w:w="1120" w:type="dxa"/>
            <w:tcBorders>
              <w:right w:val="single" w:sz="8" w:space="0" w:color="auto"/>
            </w:tcBorders>
            <w:vAlign w:val="bottom"/>
          </w:tcPr>
          <w:p w:rsidR="007C308F" w:rsidRDefault="007C308F" w:rsidP="007C308F">
            <w:pPr>
              <w:rPr>
                <w:sz w:val="18"/>
                <w:szCs w:val="18"/>
              </w:rPr>
            </w:pPr>
          </w:p>
        </w:tc>
        <w:tc>
          <w:tcPr>
            <w:tcW w:w="720" w:type="dxa"/>
            <w:tcBorders>
              <w:right w:val="single" w:sz="8" w:space="0" w:color="auto"/>
            </w:tcBorders>
            <w:vAlign w:val="bottom"/>
          </w:tcPr>
          <w:p w:rsidR="007C308F" w:rsidRDefault="007C308F" w:rsidP="007C308F">
            <w:pPr>
              <w:rPr>
                <w:sz w:val="18"/>
                <w:szCs w:val="18"/>
              </w:rPr>
            </w:pPr>
          </w:p>
        </w:tc>
        <w:tc>
          <w:tcPr>
            <w:tcW w:w="1280" w:type="dxa"/>
            <w:tcBorders>
              <w:right w:val="single" w:sz="8" w:space="0" w:color="auto"/>
            </w:tcBorders>
            <w:vAlign w:val="bottom"/>
          </w:tcPr>
          <w:p w:rsidR="007C308F" w:rsidRDefault="007C308F" w:rsidP="007C308F">
            <w:pPr>
              <w:spacing w:line="211" w:lineRule="exact"/>
              <w:jc w:val="center"/>
              <w:rPr>
                <w:sz w:val="20"/>
                <w:szCs w:val="20"/>
              </w:rPr>
            </w:pPr>
            <w:r>
              <w:rPr>
                <w:rFonts w:eastAsia="Times New Roman"/>
                <w:w w:val="96"/>
                <w:sz w:val="20"/>
                <w:szCs w:val="20"/>
              </w:rPr>
              <w:t>PM</w:t>
            </w:r>
          </w:p>
        </w:tc>
        <w:tc>
          <w:tcPr>
            <w:tcW w:w="1980" w:type="dxa"/>
            <w:tcBorders>
              <w:right w:val="single" w:sz="8" w:space="0" w:color="auto"/>
            </w:tcBorders>
            <w:vAlign w:val="bottom"/>
          </w:tcPr>
          <w:p w:rsidR="007C308F" w:rsidRDefault="007C308F" w:rsidP="007C308F">
            <w:pPr>
              <w:spacing w:line="211" w:lineRule="exact"/>
              <w:ind w:left="40"/>
              <w:rPr>
                <w:sz w:val="20"/>
                <w:szCs w:val="20"/>
              </w:rPr>
            </w:pPr>
            <w:r>
              <w:rPr>
                <w:rFonts w:eastAsia="Times New Roman"/>
                <w:sz w:val="20"/>
                <w:szCs w:val="20"/>
              </w:rPr>
              <w:t>Inclus dans le projet PUSA</w:t>
            </w:r>
          </w:p>
        </w:tc>
      </w:tr>
      <w:tr w:rsidR="007C308F" w:rsidTr="00141132">
        <w:trPr>
          <w:trHeight w:val="80"/>
          <w:jc w:val="center"/>
        </w:trPr>
        <w:tc>
          <w:tcPr>
            <w:tcW w:w="1120" w:type="dxa"/>
            <w:tcBorders>
              <w:left w:val="single" w:sz="8" w:space="0" w:color="auto"/>
              <w:bottom w:val="single" w:sz="8" w:space="0" w:color="auto"/>
            </w:tcBorders>
            <w:vAlign w:val="bottom"/>
          </w:tcPr>
          <w:p w:rsidR="007C308F" w:rsidRDefault="007C308F" w:rsidP="007C308F">
            <w:pPr>
              <w:rPr>
                <w:sz w:val="6"/>
                <w:szCs w:val="6"/>
              </w:rPr>
            </w:pPr>
          </w:p>
        </w:tc>
        <w:tc>
          <w:tcPr>
            <w:tcW w:w="2880" w:type="dxa"/>
            <w:tcBorders>
              <w:bottom w:val="single" w:sz="8" w:space="0" w:color="auto"/>
              <w:right w:val="single" w:sz="8" w:space="0" w:color="auto"/>
            </w:tcBorders>
            <w:vAlign w:val="bottom"/>
          </w:tcPr>
          <w:p w:rsidR="007C308F" w:rsidRDefault="007C308F" w:rsidP="007C308F">
            <w:pPr>
              <w:rPr>
                <w:sz w:val="6"/>
                <w:szCs w:val="6"/>
              </w:rPr>
            </w:pPr>
          </w:p>
        </w:tc>
        <w:tc>
          <w:tcPr>
            <w:tcW w:w="860" w:type="dxa"/>
            <w:tcBorders>
              <w:bottom w:val="single" w:sz="8" w:space="0" w:color="auto"/>
              <w:right w:val="single" w:sz="8" w:space="0" w:color="auto"/>
            </w:tcBorders>
            <w:vAlign w:val="bottom"/>
          </w:tcPr>
          <w:p w:rsidR="007C308F" w:rsidRDefault="007C308F" w:rsidP="007C308F">
            <w:pPr>
              <w:rPr>
                <w:sz w:val="6"/>
                <w:szCs w:val="6"/>
              </w:rPr>
            </w:pPr>
          </w:p>
        </w:tc>
        <w:tc>
          <w:tcPr>
            <w:tcW w:w="1120" w:type="dxa"/>
            <w:tcBorders>
              <w:bottom w:val="single" w:sz="8" w:space="0" w:color="auto"/>
              <w:right w:val="single" w:sz="8" w:space="0" w:color="auto"/>
            </w:tcBorders>
            <w:vAlign w:val="bottom"/>
          </w:tcPr>
          <w:p w:rsidR="007C308F" w:rsidRDefault="007C308F" w:rsidP="007C308F">
            <w:pPr>
              <w:rPr>
                <w:sz w:val="6"/>
                <w:szCs w:val="6"/>
              </w:rPr>
            </w:pPr>
          </w:p>
        </w:tc>
        <w:tc>
          <w:tcPr>
            <w:tcW w:w="720" w:type="dxa"/>
            <w:tcBorders>
              <w:bottom w:val="single" w:sz="8" w:space="0" w:color="auto"/>
              <w:right w:val="single" w:sz="8" w:space="0" w:color="auto"/>
            </w:tcBorders>
            <w:vAlign w:val="bottom"/>
          </w:tcPr>
          <w:p w:rsidR="007C308F" w:rsidRDefault="007C308F" w:rsidP="007C308F">
            <w:pPr>
              <w:rPr>
                <w:sz w:val="6"/>
                <w:szCs w:val="6"/>
              </w:rPr>
            </w:pPr>
          </w:p>
        </w:tc>
        <w:tc>
          <w:tcPr>
            <w:tcW w:w="1280" w:type="dxa"/>
            <w:tcBorders>
              <w:bottom w:val="single" w:sz="8" w:space="0" w:color="auto"/>
              <w:right w:val="single" w:sz="8" w:space="0" w:color="auto"/>
            </w:tcBorders>
            <w:vAlign w:val="bottom"/>
          </w:tcPr>
          <w:p w:rsidR="007C308F" w:rsidRDefault="007C308F" w:rsidP="007C308F">
            <w:pPr>
              <w:rPr>
                <w:sz w:val="6"/>
                <w:szCs w:val="6"/>
              </w:rPr>
            </w:pPr>
          </w:p>
        </w:tc>
        <w:tc>
          <w:tcPr>
            <w:tcW w:w="1980" w:type="dxa"/>
            <w:tcBorders>
              <w:bottom w:val="single" w:sz="8" w:space="0" w:color="auto"/>
              <w:right w:val="single" w:sz="8" w:space="0" w:color="auto"/>
            </w:tcBorders>
            <w:vAlign w:val="bottom"/>
          </w:tcPr>
          <w:p w:rsidR="007C308F" w:rsidRDefault="007C308F" w:rsidP="007C308F">
            <w:pPr>
              <w:rPr>
                <w:sz w:val="6"/>
                <w:szCs w:val="6"/>
              </w:rPr>
            </w:pPr>
          </w:p>
        </w:tc>
      </w:tr>
      <w:tr w:rsidR="007C308F" w:rsidTr="00141132">
        <w:trPr>
          <w:trHeight w:val="216"/>
          <w:jc w:val="center"/>
        </w:trPr>
        <w:tc>
          <w:tcPr>
            <w:tcW w:w="1120" w:type="dxa"/>
            <w:tcBorders>
              <w:left w:val="single" w:sz="8" w:space="0" w:color="auto"/>
            </w:tcBorders>
            <w:vAlign w:val="bottom"/>
          </w:tcPr>
          <w:p w:rsidR="007C308F" w:rsidRPr="00A03248" w:rsidRDefault="007C308F" w:rsidP="007C308F">
            <w:pPr>
              <w:spacing w:line="216" w:lineRule="exact"/>
              <w:ind w:left="80"/>
              <w:rPr>
                <w:b/>
                <w:sz w:val="20"/>
                <w:szCs w:val="20"/>
              </w:rPr>
            </w:pPr>
            <w:r w:rsidRPr="00A03248">
              <w:rPr>
                <w:rFonts w:eastAsia="Times New Roman"/>
                <w:b/>
                <w:sz w:val="20"/>
                <w:szCs w:val="20"/>
              </w:rPr>
              <w:t>TOTAL</w:t>
            </w:r>
          </w:p>
        </w:tc>
        <w:tc>
          <w:tcPr>
            <w:tcW w:w="2880" w:type="dxa"/>
            <w:vAlign w:val="bottom"/>
          </w:tcPr>
          <w:p w:rsidR="007C308F" w:rsidRDefault="007C308F" w:rsidP="007C308F">
            <w:pPr>
              <w:rPr>
                <w:sz w:val="18"/>
                <w:szCs w:val="18"/>
              </w:rPr>
            </w:pPr>
          </w:p>
        </w:tc>
        <w:tc>
          <w:tcPr>
            <w:tcW w:w="860" w:type="dxa"/>
            <w:vAlign w:val="bottom"/>
          </w:tcPr>
          <w:p w:rsidR="007C308F" w:rsidRDefault="007C308F" w:rsidP="007C308F">
            <w:pPr>
              <w:rPr>
                <w:sz w:val="18"/>
                <w:szCs w:val="18"/>
              </w:rPr>
            </w:pPr>
          </w:p>
        </w:tc>
        <w:tc>
          <w:tcPr>
            <w:tcW w:w="1120" w:type="dxa"/>
            <w:vAlign w:val="bottom"/>
          </w:tcPr>
          <w:p w:rsidR="007C308F" w:rsidRDefault="007C308F" w:rsidP="007C308F">
            <w:pPr>
              <w:rPr>
                <w:sz w:val="18"/>
                <w:szCs w:val="18"/>
              </w:rPr>
            </w:pPr>
          </w:p>
        </w:tc>
        <w:tc>
          <w:tcPr>
            <w:tcW w:w="720" w:type="dxa"/>
            <w:tcBorders>
              <w:right w:val="single" w:sz="8" w:space="0" w:color="auto"/>
            </w:tcBorders>
            <w:vAlign w:val="bottom"/>
          </w:tcPr>
          <w:p w:rsidR="007C308F" w:rsidRDefault="007C308F" w:rsidP="007C308F">
            <w:pPr>
              <w:rPr>
                <w:sz w:val="18"/>
                <w:szCs w:val="18"/>
              </w:rPr>
            </w:pPr>
          </w:p>
        </w:tc>
        <w:tc>
          <w:tcPr>
            <w:tcW w:w="1280" w:type="dxa"/>
            <w:tcBorders>
              <w:right w:val="single" w:sz="8" w:space="0" w:color="auto"/>
            </w:tcBorders>
            <w:vAlign w:val="bottom"/>
          </w:tcPr>
          <w:p w:rsidR="007C308F" w:rsidRDefault="007C308F" w:rsidP="007C308F">
            <w:pPr>
              <w:spacing w:line="216" w:lineRule="exact"/>
              <w:jc w:val="center"/>
              <w:rPr>
                <w:sz w:val="20"/>
                <w:szCs w:val="20"/>
              </w:rPr>
            </w:pPr>
            <w:r>
              <w:rPr>
                <w:rFonts w:eastAsia="Times New Roman"/>
                <w:b/>
                <w:bCs/>
                <w:sz w:val="20"/>
                <w:szCs w:val="20"/>
              </w:rPr>
              <w:t>30 000 000</w:t>
            </w:r>
          </w:p>
        </w:tc>
        <w:tc>
          <w:tcPr>
            <w:tcW w:w="1980" w:type="dxa"/>
            <w:tcBorders>
              <w:right w:val="single" w:sz="8" w:space="0" w:color="auto"/>
            </w:tcBorders>
            <w:vAlign w:val="bottom"/>
          </w:tcPr>
          <w:p w:rsidR="007C308F" w:rsidRDefault="007C308F" w:rsidP="007C308F">
            <w:pPr>
              <w:rPr>
                <w:sz w:val="18"/>
                <w:szCs w:val="18"/>
              </w:rPr>
            </w:pPr>
          </w:p>
        </w:tc>
      </w:tr>
      <w:tr w:rsidR="007C308F" w:rsidTr="00141132">
        <w:trPr>
          <w:trHeight w:val="76"/>
          <w:jc w:val="center"/>
        </w:trPr>
        <w:tc>
          <w:tcPr>
            <w:tcW w:w="1120" w:type="dxa"/>
            <w:tcBorders>
              <w:left w:val="single" w:sz="8" w:space="0" w:color="auto"/>
              <w:bottom w:val="single" w:sz="8" w:space="0" w:color="auto"/>
            </w:tcBorders>
            <w:vAlign w:val="bottom"/>
          </w:tcPr>
          <w:p w:rsidR="007C308F" w:rsidRDefault="007C308F" w:rsidP="007C308F">
            <w:pPr>
              <w:rPr>
                <w:sz w:val="6"/>
                <w:szCs w:val="6"/>
              </w:rPr>
            </w:pPr>
          </w:p>
        </w:tc>
        <w:tc>
          <w:tcPr>
            <w:tcW w:w="2880" w:type="dxa"/>
            <w:tcBorders>
              <w:bottom w:val="single" w:sz="8" w:space="0" w:color="auto"/>
            </w:tcBorders>
            <w:vAlign w:val="bottom"/>
          </w:tcPr>
          <w:p w:rsidR="007C308F" w:rsidRDefault="007C308F" w:rsidP="007C308F">
            <w:pPr>
              <w:rPr>
                <w:sz w:val="6"/>
                <w:szCs w:val="6"/>
              </w:rPr>
            </w:pPr>
          </w:p>
        </w:tc>
        <w:tc>
          <w:tcPr>
            <w:tcW w:w="860" w:type="dxa"/>
            <w:tcBorders>
              <w:bottom w:val="single" w:sz="8" w:space="0" w:color="auto"/>
            </w:tcBorders>
            <w:vAlign w:val="bottom"/>
          </w:tcPr>
          <w:p w:rsidR="007C308F" w:rsidRDefault="007C308F" w:rsidP="007C308F">
            <w:pPr>
              <w:rPr>
                <w:sz w:val="6"/>
                <w:szCs w:val="6"/>
              </w:rPr>
            </w:pPr>
          </w:p>
        </w:tc>
        <w:tc>
          <w:tcPr>
            <w:tcW w:w="1120" w:type="dxa"/>
            <w:tcBorders>
              <w:bottom w:val="single" w:sz="8" w:space="0" w:color="auto"/>
            </w:tcBorders>
            <w:vAlign w:val="bottom"/>
          </w:tcPr>
          <w:p w:rsidR="007C308F" w:rsidRDefault="007C308F" w:rsidP="007C308F">
            <w:pPr>
              <w:rPr>
                <w:sz w:val="6"/>
                <w:szCs w:val="6"/>
              </w:rPr>
            </w:pPr>
          </w:p>
        </w:tc>
        <w:tc>
          <w:tcPr>
            <w:tcW w:w="720" w:type="dxa"/>
            <w:tcBorders>
              <w:bottom w:val="single" w:sz="8" w:space="0" w:color="auto"/>
              <w:right w:val="single" w:sz="8" w:space="0" w:color="auto"/>
            </w:tcBorders>
            <w:vAlign w:val="bottom"/>
          </w:tcPr>
          <w:p w:rsidR="007C308F" w:rsidRDefault="007C308F" w:rsidP="007C308F">
            <w:pPr>
              <w:rPr>
                <w:sz w:val="6"/>
                <w:szCs w:val="6"/>
              </w:rPr>
            </w:pPr>
          </w:p>
        </w:tc>
        <w:tc>
          <w:tcPr>
            <w:tcW w:w="1280" w:type="dxa"/>
            <w:tcBorders>
              <w:bottom w:val="single" w:sz="8" w:space="0" w:color="auto"/>
              <w:right w:val="single" w:sz="8" w:space="0" w:color="auto"/>
            </w:tcBorders>
            <w:vAlign w:val="bottom"/>
          </w:tcPr>
          <w:p w:rsidR="007C308F" w:rsidRDefault="007C308F" w:rsidP="007C308F">
            <w:pPr>
              <w:rPr>
                <w:sz w:val="6"/>
                <w:szCs w:val="6"/>
              </w:rPr>
            </w:pPr>
          </w:p>
        </w:tc>
        <w:tc>
          <w:tcPr>
            <w:tcW w:w="1980" w:type="dxa"/>
            <w:tcBorders>
              <w:bottom w:val="single" w:sz="8" w:space="0" w:color="auto"/>
              <w:right w:val="single" w:sz="8" w:space="0" w:color="auto"/>
            </w:tcBorders>
            <w:vAlign w:val="bottom"/>
          </w:tcPr>
          <w:p w:rsidR="007C308F" w:rsidRDefault="007C308F" w:rsidP="007C308F">
            <w:pPr>
              <w:rPr>
                <w:sz w:val="6"/>
                <w:szCs w:val="6"/>
              </w:rPr>
            </w:pPr>
          </w:p>
        </w:tc>
      </w:tr>
    </w:tbl>
    <w:p w:rsidR="00AD7BEE" w:rsidRDefault="00AD7BEE" w:rsidP="00AD7BEE">
      <w:pPr>
        <w:spacing w:line="20" w:lineRule="exact"/>
        <w:rPr>
          <w:sz w:val="20"/>
          <w:szCs w:val="20"/>
        </w:rPr>
      </w:pPr>
    </w:p>
    <w:p w:rsidR="00AD7BEE" w:rsidRDefault="00AD7BEE" w:rsidP="00AD7BEE">
      <w:pPr>
        <w:spacing w:line="200" w:lineRule="exact"/>
        <w:rPr>
          <w:sz w:val="20"/>
          <w:szCs w:val="20"/>
        </w:rPr>
      </w:pPr>
    </w:p>
    <w:p w:rsidR="006F4E8C" w:rsidRDefault="006F4E8C" w:rsidP="005E613E">
      <w:pPr>
        <w:ind w:left="851" w:right="-851"/>
        <w:rPr>
          <w:sz w:val="20"/>
          <w:szCs w:val="20"/>
        </w:rPr>
      </w:pPr>
      <w:r>
        <w:rPr>
          <w:rFonts w:eastAsia="Times New Roman"/>
          <w:b/>
          <w:bCs/>
        </w:rPr>
        <w:t>Bibliographie</w:t>
      </w:r>
    </w:p>
    <w:p w:rsidR="00A5748D" w:rsidRPr="00766DE5" w:rsidRDefault="00A5748D" w:rsidP="005E613E">
      <w:pPr>
        <w:tabs>
          <w:tab w:val="left" w:pos="700"/>
        </w:tabs>
        <w:spacing w:line="227" w:lineRule="auto"/>
        <w:ind w:left="700" w:right="-851"/>
        <w:rPr>
          <w:rFonts w:ascii="Symbol" w:eastAsia="Symbol" w:hAnsi="Symbol" w:cs="Symbol"/>
          <w:sz w:val="20"/>
          <w:szCs w:val="20"/>
        </w:rPr>
      </w:pPr>
    </w:p>
    <w:p w:rsidR="008A7978" w:rsidRPr="00766DE5" w:rsidRDefault="006F4E8C" w:rsidP="005E613E">
      <w:pPr>
        <w:numPr>
          <w:ilvl w:val="0"/>
          <w:numId w:val="152"/>
        </w:numPr>
        <w:tabs>
          <w:tab w:val="left" w:pos="700"/>
        </w:tabs>
        <w:spacing w:line="227" w:lineRule="auto"/>
        <w:ind w:left="1134" w:right="-851" w:hanging="364"/>
        <w:rPr>
          <w:rFonts w:ascii="Symbol" w:eastAsia="Symbol" w:hAnsi="Symbol" w:cs="Symbol"/>
          <w:sz w:val="20"/>
          <w:szCs w:val="20"/>
        </w:rPr>
      </w:pPr>
      <w:r w:rsidRPr="00A03248">
        <w:rPr>
          <w:rFonts w:eastAsia="Times New Roman"/>
          <w:sz w:val="20"/>
          <w:szCs w:val="20"/>
        </w:rPr>
        <w:t xml:space="preserve">Comité Permanent Inter Etats de Lutte Contre la Sécheresse au Sahel (CILSS) </w:t>
      </w:r>
    </w:p>
    <w:p w:rsidR="00C9604D" w:rsidRPr="00A03248" w:rsidRDefault="00C9604D" w:rsidP="005E613E">
      <w:pPr>
        <w:numPr>
          <w:ilvl w:val="0"/>
          <w:numId w:val="152"/>
        </w:numPr>
        <w:tabs>
          <w:tab w:val="left" w:pos="700"/>
          <w:tab w:val="left" w:pos="8647"/>
        </w:tabs>
        <w:spacing w:line="227" w:lineRule="auto"/>
        <w:ind w:left="1134" w:right="-851" w:hanging="364"/>
        <w:rPr>
          <w:rFonts w:ascii="Symbol" w:eastAsia="Symbol" w:hAnsi="Symbol" w:cs="Symbol"/>
          <w:sz w:val="20"/>
          <w:szCs w:val="20"/>
        </w:rPr>
      </w:pPr>
      <w:r>
        <w:rPr>
          <w:rFonts w:eastAsia="Times New Roman"/>
          <w:sz w:val="20"/>
          <w:szCs w:val="20"/>
        </w:rPr>
        <w:t>PGP du PAESAII, Avril 2014</w:t>
      </w:r>
    </w:p>
    <w:p w:rsidR="008A7978" w:rsidRPr="00A03248" w:rsidRDefault="008A7978" w:rsidP="005E613E">
      <w:pPr>
        <w:numPr>
          <w:ilvl w:val="0"/>
          <w:numId w:val="152"/>
        </w:numPr>
        <w:tabs>
          <w:tab w:val="left" w:pos="700"/>
          <w:tab w:val="left" w:pos="8647"/>
        </w:tabs>
        <w:spacing w:line="227" w:lineRule="auto"/>
        <w:ind w:left="1134" w:right="-851" w:hanging="364"/>
        <w:rPr>
          <w:rFonts w:ascii="Symbol" w:eastAsia="Symbol" w:hAnsi="Symbol" w:cs="Symbol"/>
          <w:sz w:val="20"/>
          <w:szCs w:val="20"/>
        </w:rPr>
      </w:pPr>
      <w:r w:rsidRPr="00A03248">
        <w:rPr>
          <w:rFonts w:eastAsia="Times New Roman"/>
          <w:sz w:val="20"/>
          <w:szCs w:val="20"/>
        </w:rPr>
        <w:t>Plan de Gestion des Pestes et des Pesticides (PGPP) PEASE II avril 2014</w:t>
      </w:r>
    </w:p>
    <w:p w:rsidR="006F4E8C" w:rsidRPr="00A03248" w:rsidRDefault="006F4E8C" w:rsidP="005E613E">
      <w:pPr>
        <w:numPr>
          <w:ilvl w:val="0"/>
          <w:numId w:val="152"/>
        </w:numPr>
        <w:tabs>
          <w:tab w:val="left" w:pos="700"/>
          <w:tab w:val="left" w:pos="8647"/>
        </w:tabs>
        <w:spacing w:line="227" w:lineRule="auto"/>
        <w:ind w:left="1134" w:right="-851" w:hanging="364"/>
        <w:rPr>
          <w:rFonts w:ascii="Symbol" w:eastAsia="Symbol" w:hAnsi="Symbol" w:cs="Symbol"/>
          <w:sz w:val="20"/>
          <w:szCs w:val="20"/>
        </w:rPr>
      </w:pPr>
      <w:r w:rsidRPr="00A03248">
        <w:rPr>
          <w:rFonts w:eastAsia="Times New Roman"/>
          <w:sz w:val="20"/>
          <w:szCs w:val="20"/>
        </w:rPr>
        <w:t xml:space="preserve">Réglementation Commune aux Etats membres du CILss sur l’Homologation des Pesticides, dec, </w:t>
      </w:r>
      <w:r w:rsidR="00C57DC6" w:rsidRPr="00A03248">
        <w:rPr>
          <w:rFonts w:eastAsia="Times New Roman"/>
          <w:sz w:val="20"/>
          <w:szCs w:val="20"/>
        </w:rPr>
        <w:t>1999 ;</w:t>
      </w:r>
    </w:p>
    <w:p w:rsidR="006F4E8C" w:rsidRPr="00A03248" w:rsidRDefault="006F4E8C" w:rsidP="005E613E">
      <w:pPr>
        <w:tabs>
          <w:tab w:val="left" w:pos="8647"/>
        </w:tabs>
        <w:spacing w:line="1" w:lineRule="exact"/>
        <w:ind w:left="1134" w:right="-851"/>
        <w:rPr>
          <w:rFonts w:ascii="Symbol" w:eastAsia="Symbol" w:hAnsi="Symbol" w:cs="Symbol"/>
          <w:sz w:val="20"/>
          <w:szCs w:val="20"/>
        </w:rPr>
      </w:pPr>
    </w:p>
    <w:p w:rsidR="006F4E8C" w:rsidRPr="00A03248" w:rsidRDefault="006F4E8C" w:rsidP="005E613E">
      <w:pPr>
        <w:numPr>
          <w:ilvl w:val="0"/>
          <w:numId w:val="152"/>
        </w:numPr>
        <w:tabs>
          <w:tab w:val="left" w:pos="700"/>
          <w:tab w:val="left" w:pos="8647"/>
        </w:tabs>
        <w:spacing w:line="237" w:lineRule="auto"/>
        <w:ind w:left="1134" w:right="-851" w:hanging="364"/>
        <w:rPr>
          <w:rFonts w:ascii="Symbol" w:eastAsia="Symbol" w:hAnsi="Symbol" w:cs="Symbol"/>
          <w:sz w:val="20"/>
          <w:szCs w:val="20"/>
        </w:rPr>
      </w:pPr>
      <w:r w:rsidRPr="00A03248">
        <w:rPr>
          <w:rFonts w:eastAsia="Times New Roman"/>
          <w:sz w:val="20"/>
          <w:szCs w:val="20"/>
        </w:rPr>
        <w:t xml:space="preserve">Signature de la convention de Rotterdam par le Guinée Bissau en </w:t>
      </w:r>
      <w:r w:rsidR="00C57DC6" w:rsidRPr="00A03248">
        <w:rPr>
          <w:rFonts w:eastAsia="Times New Roman"/>
          <w:sz w:val="20"/>
          <w:szCs w:val="20"/>
        </w:rPr>
        <w:t>1999 ;</w:t>
      </w:r>
    </w:p>
    <w:p w:rsidR="006F4E8C" w:rsidRPr="00A03248" w:rsidRDefault="006F4E8C" w:rsidP="005E613E">
      <w:pPr>
        <w:numPr>
          <w:ilvl w:val="0"/>
          <w:numId w:val="152"/>
        </w:numPr>
        <w:tabs>
          <w:tab w:val="left" w:pos="700"/>
          <w:tab w:val="left" w:pos="8647"/>
        </w:tabs>
        <w:ind w:left="1134" w:right="-851" w:hanging="364"/>
        <w:rPr>
          <w:rFonts w:ascii="Symbol" w:eastAsia="Symbol" w:hAnsi="Symbol" w:cs="Symbol"/>
          <w:sz w:val="20"/>
          <w:szCs w:val="20"/>
        </w:rPr>
      </w:pPr>
      <w:r w:rsidRPr="00A03248">
        <w:rPr>
          <w:rFonts w:eastAsia="Times New Roman"/>
          <w:sz w:val="20"/>
          <w:szCs w:val="20"/>
        </w:rPr>
        <w:t>PEASA, Manuel d'utilisation des pesticides (2011)</w:t>
      </w:r>
    </w:p>
    <w:p w:rsidR="006F4E8C" w:rsidRPr="00A03248" w:rsidRDefault="006F4E8C" w:rsidP="005E613E">
      <w:pPr>
        <w:numPr>
          <w:ilvl w:val="0"/>
          <w:numId w:val="152"/>
        </w:numPr>
        <w:tabs>
          <w:tab w:val="left" w:pos="700"/>
          <w:tab w:val="left" w:pos="8647"/>
        </w:tabs>
        <w:ind w:left="1134" w:right="-851" w:hanging="364"/>
        <w:rPr>
          <w:rFonts w:ascii="Symbol" w:eastAsia="Symbol" w:hAnsi="Symbol" w:cs="Symbol"/>
          <w:sz w:val="20"/>
          <w:szCs w:val="20"/>
        </w:rPr>
      </w:pPr>
      <w:r w:rsidRPr="00A03248">
        <w:rPr>
          <w:rFonts w:eastAsia="Times New Roman"/>
          <w:sz w:val="20"/>
          <w:szCs w:val="20"/>
        </w:rPr>
        <w:t>Liste Globale actualisé des pesticides autorisés par le CSP, janvier 1999,</w:t>
      </w:r>
    </w:p>
    <w:p w:rsidR="006F4E8C" w:rsidRPr="00A03248" w:rsidRDefault="006F4E8C" w:rsidP="005E613E">
      <w:pPr>
        <w:numPr>
          <w:ilvl w:val="0"/>
          <w:numId w:val="152"/>
        </w:numPr>
        <w:tabs>
          <w:tab w:val="left" w:pos="700"/>
          <w:tab w:val="left" w:pos="8647"/>
        </w:tabs>
        <w:ind w:left="1134" w:right="-851" w:hanging="364"/>
        <w:rPr>
          <w:rFonts w:ascii="Symbol" w:eastAsia="Symbol" w:hAnsi="Symbol" w:cs="Symbol"/>
          <w:sz w:val="20"/>
          <w:szCs w:val="20"/>
        </w:rPr>
      </w:pPr>
      <w:r w:rsidRPr="00A03248">
        <w:rPr>
          <w:rFonts w:eastAsia="Times New Roman"/>
          <w:sz w:val="20"/>
          <w:szCs w:val="20"/>
        </w:rPr>
        <w:t>Protocole de Carthagène sur la prévention des risques biotechnologiques signée en 2000 ;</w:t>
      </w:r>
    </w:p>
    <w:p w:rsidR="006F4E8C" w:rsidRPr="00A03248" w:rsidRDefault="006F4E8C" w:rsidP="005E613E">
      <w:pPr>
        <w:tabs>
          <w:tab w:val="left" w:pos="8647"/>
        </w:tabs>
        <w:spacing w:line="26" w:lineRule="exact"/>
        <w:ind w:left="1134" w:right="-851"/>
        <w:rPr>
          <w:rFonts w:ascii="Symbol" w:eastAsia="Symbol" w:hAnsi="Symbol" w:cs="Symbol"/>
          <w:sz w:val="20"/>
          <w:szCs w:val="20"/>
        </w:rPr>
      </w:pPr>
    </w:p>
    <w:p w:rsidR="006F4E8C" w:rsidRPr="00A03248" w:rsidRDefault="006F4E8C" w:rsidP="005E613E">
      <w:pPr>
        <w:numPr>
          <w:ilvl w:val="0"/>
          <w:numId w:val="152"/>
        </w:numPr>
        <w:tabs>
          <w:tab w:val="left" w:pos="700"/>
          <w:tab w:val="left" w:pos="8647"/>
        </w:tabs>
        <w:spacing w:line="227" w:lineRule="auto"/>
        <w:ind w:left="1134" w:right="-851" w:hanging="364"/>
        <w:rPr>
          <w:rFonts w:ascii="Symbol" w:eastAsia="Symbol" w:hAnsi="Symbol" w:cs="Symbol"/>
          <w:sz w:val="20"/>
          <w:szCs w:val="20"/>
        </w:rPr>
      </w:pPr>
      <w:r w:rsidRPr="00A03248">
        <w:rPr>
          <w:rFonts w:eastAsia="Times New Roman"/>
          <w:sz w:val="20"/>
          <w:szCs w:val="20"/>
        </w:rPr>
        <w:t>Protocole d’Accord créant l’Agence Internationale de Développement de l’Information environnementale (ADIE) en Juillet 1997 renouvelé en Mars 2003 ;</w:t>
      </w:r>
    </w:p>
    <w:p w:rsidR="006F4E8C" w:rsidRPr="00A03248" w:rsidRDefault="006F4E8C" w:rsidP="005E613E">
      <w:pPr>
        <w:tabs>
          <w:tab w:val="left" w:pos="8647"/>
        </w:tabs>
        <w:spacing w:line="29" w:lineRule="exact"/>
        <w:ind w:left="1134" w:right="-851"/>
        <w:rPr>
          <w:rFonts w:ascii="Symbol" w:eastAsia="Symbol" w:hAnsi="Symbol" w:cs="Symbol"/>
          <w:sz w:val="20"/>
          <w:szCs w:val="20"/>
        </w:rPr>
      </w:pPr>
    </w:p>
    <w:p w:rsidR="006F4E8C" w:rsidRPr="00A03248" w:rsidRDefault="006F4E8C" w:rsidP="005E613E">
      <w:pPr>
        <w:numPr>
          <w:ilvl w:val="0"/>
          <w:numId w:val="152"/>
        </w:numPr>
        <w:tabs>
          <w:tab w:val="left" w:pos="700"/>
          <w:tab w:val="left" w:pos="8647"/>
        </w:tabs>
        <w:spacing w:line="227" w:lineRule="auto"/>
        <w:ind w:left="1134" w:right="-851" w:hanging="364"/>
        <w:rPr>
          <w:rFonts w:ascii="Symbol" w:eastAsia="Symbol" w:hAnsi="Symbol" w:cs="Symbol"/>
          <w:sz w:val="20"/>
          <w:szCs w:val="20"/>
        </w:rPr>
      </w:pPr>
      <w:r w:rsidRPr="00A03248">
        <w:rPr>
          <w:rFonts w:eastAsia="Times New Roman"/>
          <w:sz w:val="20"/>
          <w:szCs w:val="20"/>
        </w:rPr>
        <w:t>Protocole de Montréal relatif à des substances qui appauvrissent la couche d’ozone, entrée en vigueur le 1er Janvier 1989 et ratifié par 183 pays ;</w:t>
      </w:r>
    </w:p>
    <w:p w:rsidR="006F4E8C" w:rsidRPr="00A03248" w:rsidRDefault="006F4E8C" w:rsidP="005E613E">
      <w:pPr>
        <w:tabs>
          <w:tab w:val="left" w:pos="8647"/>
        </w:tabs>
        <w:spacing w:line="1" w:lineRule="exact"/>
        <w:ind w:left="1134" w:right="-851"/>
        <w:rPr>
          <w:rFonts w:ascii="Symbol" w:eastAsia="Symbol" w:hAnsi="Symbol" w:cs="Symbol"/>
          <w:sz w:val="20"/>
          <w:szCs w:val="20"/>
        </w:rPr>
      </w:pPr>
    </w:p>
    <w:p w:rsidR="006F4E8C" w:rsidRPr="00A03248" w:rsidRDefault="006F4E8C" w:rsidP="005E613E">
      <w:pPr>
        <w:numPr>
          <w:ilvl w:val="0"/>
          <w:numId w:val="152"/>
        </w:numPr>
        <w:tabs>
          <w:tab w:val="left" w:pos="700"/>
          <w:tab w:val="left" w:pos="8647"/>
        </w:tabs>
        <w:spacing w:line="237" w:lineRule="auto"/>
        <w:ind w:left="1134" w:right="-851" w:hanging="364"/>
        <w:rPr>
          <w:rFonts w:ascii="Symbol" w:eastAsia="Symbol" w:hAnsi="Symbol" w:cs="Symbol"/>
          <w:sz w:val="20"/>
          <w:szCs w:val="20"/>
        </w:rPr>
      </w:pPr>
      <w:r w:rsidRPr="00A03248">
        <w:rPr>
          <w:rFonts w:eastAsia="Times New Roman"/>
          <w:sz w:val="20"/>
          <w:szCs w:val="20"/>
        </w:rPr>
        <w:t>Convention International pour la Protection des Végétaux ‘’CIPV’’ (nouveau texte révisé) ;</w:t>
      </w:r>
    </w:p>
    <w:p w:rsidR="006F4E8C" w:rsidRPr="00A03248" w:rsidRDefault="006F4E8C" w:rsidP="005E613E">
      <w:pPr>
        <w:numPr>
          <w:ilvl w:val="0"/>
          <w:numId w:val="152"/>
        </w:numPr>
        <w:tabs>
          <w:tab w:val="left" w:pos="700"/>
          <w:tab w:val="left" w:pos="8647"/>
        </w:tabs>
        <w:ind w:left="1134" w:right="-851" w:hanging="364"/>
        <w:rPr>
          <w:rFonts w:ascii="Symbol" w:eastAsia="Symbol" w:hAnsi="Symbol" w:cs="Symbol"/>
          <w:sz w:val="20"/>
          <w:szCs w:val="20"/>
        </w:rPr>
      </w:pPr>
      <w:r w:rsidRPr="00A03248">
        <w:rPr>
          <w:rFonts w:eastAsia="Times New Roman"/>
          <w:sz w:val="20"/>
          <w:szCs w:val="20"/>
        </w:rPr>
        <w:t>Convention de Stockholm sur les Polluants Organiques Persistants signée et ratifiée en 2002 ;</w:t>
      </w:r>
    </w:p>
    <w:p w:rsidR="006F4E8C" w:rsidRPr="00A03248" w:rsidRDefault="006F4E8C" w:rsidP="005E613E">
      <w:pPr>
        <w:tabs>
          <w:tab w:val="left" w:pos="8647"/>
        </w:tabs>
        <w:spacing w:line="26" w:lineRule="exact"/>
        <w:ind w:left="1134" w:right="-851"/>
        <w:rPr>
          <w:rFonts w:ascii="Symbol" w:eastAsia="Symbol" w:hAnsi="Symbol" w:cs="Symbol"/>
          <w:sz w:val="20"/>
          <w:szCs w:val="20"/>
        </w:rPr>
      </w:pPr>
    </w:p>
    <w:p w:rsidR="006F4E8C" w:rsidRPr="00A03248" w:rsidRDefault="006F4E8C" w:rsidP="005E613E">
      <w:pPr>
        <w:tabs>
          <w:tab w:val="left" w:pos="8647"/>
        </w:tabs>
        <w:spacing w:line="26" w:lineRule="exact"/>
        <w:ind w:left="1134" w:right="-851"/>
        <w:rPr>
          <w:rFonts w:ascii="Symbol" w:eastAsia="Symbol" w:hAnsi="Symbol" w:cs="Symbol"/>
          <w:sz w:val="20"/>
          <w:szCs w:val="20"/>
        </w:rPr>
      </w:pPr>
    </w:p>
    <w:p w:rsidR="006F4E8C" w:rsidRPr="00A03248" w:rsidRDefault="006F4E8C" w:rsidP="005E613E">
      <w:pPr>
        <w:numPr>
          <w:ilvl w:val="0"/>
          <w:numId w:val="152"/>
        </w:numPr>
        <w:tabs>
          <w:tab w:val="left" w:pos="700"/>
          <w:tab w:val="left" w:pos="8647"/>
        </w:tabs>
        <w:spacing w:line="227" w:lineRule="auto"/>
        <w:ind w:left="1134" w:right="-851" w:hanging="364"/>
        <w:rPr>
          <w:rFonts w:ascii="Symbol" w:eastAsia="Symbol" w:hAnsi="Symbol" w:cs="Symbol"/>
          <w:sz w:val="20"/>
          <w:szCs w:val="20"/>
        </w:rPr>
      </w:pPr>
      <w:r w:rsidRPr="00A03248">
        <w:rPr>
          <w:rFonts w:eastAsia="Times New Roman"/>
          <w:sz w:val="20"/>
          <w:szCs w:val="20"/>
        </w:rPr>
        <w:t xml:space="preserve">Convention de Berne sur la conservation de la faune et de la flore sauvage Européennes et de leurs Habitats naturels </w:t>
      </w:r>
    </w:p>
    <w:p w:rsidR="006F4E8C" w:rsidRPr="00A03248" w:rsidRDefault="006F4E8C" w:rsidP="005E613E">
      <w:pPr>
        <w:tabs>
          <w:tab w:val="left" w:pos="8647"/>
        </w:tabs>
        <w:spacing w:line="29" w:lineRule="exact"/>
        <w:ind w:left="1134" w:right="-851"/>
        <w:rPr>
          <w:rFonts w:ascii="Symbol" w:eastAsia="Symbol" w:hAnsi="Symbol" w:cs="Symbol"/>
          <w:sz w:val="20"/>
          <w:szCs w:val="20"/>
        </w:rPr>
      </w:pPr>
    </w:p>
    <w:p w:rsidR="006F4E8C" w:rsidRPr="00A03248" w:rsidRDefault="006F4E8C" w:rsidP="005E613E">
      <w:pPr>
        <w:numPr>
          <w:ilvl w:val="0"/>
          <w:numId w:val="152"/>
        </w:numPr>
        <w:tabs>
          <w:tab w:val="left" w:pos="700"/>
          <w:tab w:val="left" w:pos="8647"/>
        </w:tabs>
        <w:spacing w:line="231" w:lineRule="auto"/>
        <w:ind w:left="1134" w:right="-851" w:hanging="364"/>
        <w:jc w:val="both"/>
        <w:rPr>
          <w:rFonts w:ascii="Symbol" w:eastAsia="Symbol" w:hAnsi="Symbol" w:cs="Symbol"/>
          <w:sz w:val="20"/>
          <w:szCs w:val="20"/>
        </w:rPr>
      </w:pPr>
      <w:r w:rsidRPr="00A03248">
        <w:rPr>
          <w:rFonts w:eastAsia="Times New Roman"/>
          <w:sz w:val="20"/>
          <w:szCs w:val="20"/>
        </w:rPr>
        <w:t>Convention de Bâle sur le contrôle des mouvements transfrontaliers les déchets dangereux et de leur élimination, conclue à Bâle, Suisse, le 22 Mars 1989 et entrée en vigueur en Mai 1992 ;</w:t>
      </w:r>
    </w:p>
    <w:p w:rsidR="006F4E8C" w:rsidRPr="00A03248" w:rsidRDefault="006F4E8C" w:rsidP="005E613E">
      <w:pPr>
        <w:tabs>
          <w:tab w:val="left" w:pos="8647"/>
        </w:tabs>
        <w:spacing w:line="28" w:lineRule="exact"/>
        <w:ind w:left="1134" w:right="-851"/>
        <w:rPr>
          <w:rFonts w:ascii="Symbol" w:eastAsia="Symbol" w:hAnsi="Symbol" w:cs="Symbol"/>
          <w:sz w:val="20"/>
          <w:szCs w:val="20"/>
        </w:rPr>
      </w:pPr>
    </w:p>
    <w:p w:rsidR="006F4E8C" w:rsidRPr="00A03248" w:rsidRDefault="006F4E8C" w:rsidP="005E613E">
      <w:pPr>
        <w:numPr>
          <w:ilvl w:val="0"/>
          <w:numId w:val="152"/>
        </w:numPr>
        <w:tabs>
          <w:tab w:val="left" w:pos="700"/>
          <w:tab w:val="left" w:pos="8647"/>
        </w:tabs>
        <w:spacing w:line="231" w:lineRule="auto"/>
        <w:ind w:left="1134" w:right="-851" w:hanging="364"/>
        <w:jc w:val="both"/>
        <w:rPr>
          <w:rFonts w:ascii="Symbol" w:eastAsia="Symbol" w:hAnsi="Symbol" w:cs="Symbol"/>
          <w:sz w:val="20"/>
          <w:szCs w:val="20"/>
        </w:rPr>
      </w:pPr>
      <w:r w:rsidRPr="00A03248">
        <w:rPr>
          <w:rFonts w:eastAsia="Times New Roman"/>
          <w:sz w:val="20"/>
          <w:szCs w:val="20"/>
        </w:rPr>
        <w:t>Convention de Rotterdam sur la procédure de consentement préalable en connaissance de cause applicable à certains produits chimiques et pesticides dangereux qui fait l’objet d’un commerce International ;</w:t>
      </w:r>
    </w:p>
    <w:p w:rsidR="006F4E8C" w:rsidRPr="00A03248" w:rsidRDefault="006F4E8C" w:rsidP="005E613E">
      <w:pPr>
        <w:tabs>
          <w:tab w:val="left" w:pos="8647"/>
        </w:tabs>
        <w:spacing w:line="26" w:lineRule="exact"/>
        <w:ind w:left="1134" w:right="-851"/>
        <w:rPr>
          <w:rFonts w:ascii="Symbol" w:eastAsia="Symbol" w:hAnsi="Symbol" w:cs="Symbol"/>
          <w:sz w:val="20"/>
          <w:szCs w:val="20"/>
        </w:rPr>
      </w:pPr>
    </w:p>
    <w:p w:rsidR="006F4E8C" w:rsidRPr="00A03248" w:rsidRDefault="006F4E8C" w:rsidP="005E613E">
      <w:pPr>
        <w:numPr>
          <w:ilvl w:val="0"/>
          <w:numId w:val="152"/>
        </w:numPr>
        <w:tabs>
          <w:tab w:val="left" w:pos="700"/>
          <w:tab w:val="left" w:pos="8647"/>
        </w:tabs>
        <w:spacing w:line="227" w:lineRule="auto"/>
        <w:ind w:left="1134" w:right="-851" w:hanging="364"/>
        <w:rPr>
          <w:rFonts w:ascii="Symbol" w:eastAsia="Symbol" w:hAnsi="Symbol" w:cs="Symbol"/>
          <w:sz w:val="20"/>
          <w:szCs w:val="20"/>
        </w:rPr>
      </w:pPr>
      <w:r w:rsidRPr="00A03248">
        <w:rPr>
          <w:rFonts w:eastAsia="Times New Roman"/>
          <w:sz w:val="20"/>
          <w:szCs w:val="20"/>
        </w:rPr>
        <w:t>Convention sur la diversité biologique adoptée au Sommet de la Terre de 1992 à Rio de Janeiro, Brésil ;</w:t>
      </w:r>
    </w:p>
    <w:p w:rsidR="006F4E8C" w:rsidRPr="00A03248" w:rsidRDefault="006F4E8C" w:rsidP="005E613E">
      <w:pPr>
        <w:tabs>
          <w:tab w:val="left" w:pos="8647"/>
        </w:tabs>
        <w:spacing w:line="29" w:lineRule="exact"/>
        <w:ind w:left="1134" w:right="-851"/>
        <w:rPr>
          <w:rFonts w:ascii="Symbol" w:eastAsia="Symbol" w:hAnsi="Symbol" w:cs="Symbol"/>
          <w:sz w:val="20"/>
          <w:szCs w:val="20"/>
        </w:rPr>
      </w:pPr>
    </w:p>
    <w:p w:rsidR="008A7978" w:rsidRPr="00A03248" w:rsidRDefault="006F4E8C" w:rsidP="005E613E">
      <w:pPr>
        <w:numPr>
          <w:ilvl w:val="0"/>
          <w:numId w:val="152"/>
        </w:numPr>
        <w:tabs>
          <w:tab w:val="left" w:pos="700"/>
          <w:tab w:val="left" w:pos="8647"/>
        </w:tabs>
        <w:spacing w:line="227" w:lineRule="auto"/>
        <w:ind w:left="1134" w:right="-851" w:hanging="364"/>
        <w:rPr>
          <w:rFonts w:ascii="Symbol" w:eastAsia="Symbol" w:hAnsi="Symbol" w:cs="Symbol"/>
          <w:sz w:val="20"/>
          <w:szCs w:val="20"/>
        </w:rPr>
      </w:pPr>
      <w:r w:rsidRPr="00A03248">
        <w:rPr>
          <w:rFonts w:eastAsia="Times New Roman"/>
          <w:sz w:val="20"/>
          <w:szCs w:val="20"/>
        </w:rPr>
        <w:t>Convention de Bamako sur l’interdiction d’importer des déchets dangereux et le contrôle de leurs mouvements transfrontaliers en Afrique, adoptée le 30 Janvier 1991.</w:t>
      </w:r>
    </w:p>
    <w:p w:rsidR="00F20DD9" w:rsidRDefault="008A7978" w:rsidP="005E613E">
      <w:pPr>
        <w:tabs>
          <w:tab w:val="left" w:pos="1830"/>
          <w:tab w:val="left" w:pos="8647"/>
        </w:tabs>
        <w:ind w:left="1134" w:right="-851"/>
        <w:rPr>
          <w:rFonts w:eastAsia="Times New Roman"/>
          <w:sz w:val="20"/>
          <w:szCs w:val="20"/>
          <w:lang w:val="en-US"/>
        </w:rPr>
      </w:pPr>
      <w:r w:rsidRPr="001F2701">
        <w:rPr>
          <w:rFonts w:eastAsia="Times New Roman"/>
          <w:sz w:val="20"/>
          <w:szCs w:val="20"/>
        </w:rPr>
        <w:t xml:space="preserve">              </w:t>
      </w:r>
      <w:r w:rsidR="006F4E8C" w:rsidRPr="00A03248">
        <w:rPr>
          <w:rFonts w:eastAsia="Times New Roman"/>
          <w:sz w:val="20"/>
          <w:szCs w:val="20"/>
          <w:lang w:val="en-US"/>
        </w:rPr>
        <w:t>The World Bank Operational Manuel Bank Procedures Application of EA to projects</w:t>
      </w:r>
    </w:p>
    <w:p w:rsidR="001A0D27" w:rsidRDefault="001A0D27" w:rsidP="005E613E">
      <w:pPr>
        <w:tabs>
          <w:tab w:val="left" w:pos="1830"/>
          <w:tab w:val="left" w:pos="8647"/>
        </w:tabs>
        <w:ind w:right="-851"/>
        <w:rPr>
          <w:rFonts w:eastAsia="Times New Roman"/>
          <w:sz w:val="20"/>
          <w:szCs w:val="20"/>
          <w:lang w:val="en-US"/>
        </w:rPr>
      </w:pPr>
    </w:p>
    <w:p w:rsidR="001A0D27" w:rsidRPr="005E613E" w:rsidRDefault="001A0D27" w:rsidP="005E613E">
      <w:pPr>
        <w:pStyle w:val="Cabealho1"/>
        <w:numPr>
          <w:ilvl w:val="0"/>
          <w:numId w:val="0"/>
        </w:numPr>
        <w:pBdr>
          <w:bottom w:val="thickThinSmallGap" w:sz="24" w:space="1" w:color="auto"/>
        </w:pBdr>
        <w:shd w:val="clear" w:color="auto" w:fill="E2EFD9" w:themeFill="accent6" w:themeFillTint="33"/>
        <w:spacing w:after="120"/>
        <w:ind w:right="-851"/>
        <w:rPr>
          <w:rFonts w:ascii="Times New Roman" w:hAnsi="Times New Roman"/>
          <w:sz w:val="28"/>
          <w:szCs w:val="28"/>
        </w:rPr>
      </w:pPr>
      <w:bookmarkStart w:id="549" w:name="_Toc73459838"/>
      <w:r w:rsidRPr="005E613E">
        <w:rPr>
          <w:rFonts w:ascii="Times New Roman" w:hAnsi="Times New Roman"/>
          <w:sz w:val="28"/>
          <w:szCs w:val="28"/>
        </w:rPr>
        <w:t>Anne</w:t>
      </w:r>
      <w:r w:rsidR="005E613E">
        <w:rPr>
          <w:rFonts w:ascii="Times New Roman" w:hAnsi="Times New Roman"/>
          <w:sz w:val="28"/>
          <w:szCs w:val="28"/>
        </w:rPr>
        <w:t xml:space="preserve">xe 6 </w:t>
      </w:r>
      <w:r w:rsidRPr="005E613E">
        <w:rPr>
          <w:rFonts w:ascii="Times New Roman" w:hAnsi="Times New Roman"/>
          <w:sz w:val="28"/>
          <w:szCs w:val="28"/>
        </w:rPr>
        <w:t xml:space="preserve">: </w:t>
      </w:r>
      <w:r w:rsidR="002F367A" w:rsidRPr="005E613E">
        <w:rPr>
          <w:rFonts w:ascii="Times New Roman" w:hAnsi="Times New Roman"/>
          <w:sz w:val="28"/>
          <w:szCs w:val="28"/>
        </w:rPr>
        <w:t xml:space="preserve"> Guide de bonnes pratiques</w:t>
      </w:r>
      <w:r w:rsidR="00862C8B" w:rsidRPr="005E613E">
        <w:rPr>
          <w:rFonts w:ascii="Times New Roman" w:hAnsi="Times New Roman"/>
          <w:sz w:val="28"/>
          <w:szCs w:val="28"/>
        </w:rPr>
        <w:t xml:space="preserve"> </w:t>
      </w:r>
      <w:r w:rsidR="002F367A" w:rsidRPr="005E613E">
        <w:rPr>
          <w:rFonts w:ascii="Times New Roman" w:hAnsi="Times New Roman"/>
          <w:sz w:val="28"/>
          <w:szCs w:val="28"/>
        </w:rPr>
        <w:t xml:space="preserve">et </w:t>
      </w:r>
      <w:r w:rsidRPr="005E613E">
        <w:rPr>
          <w:rFonts w:ascii="Times New Roman" w:hAnsi="Times New Roman"/>
          <w:sz w:val="28"/>
          <w:szCs w:val="28"/>
        </w:rPr>
        <w:t>Mesures requises pour la réduction des risques liés aux pesticides</w:t>
      </w:r>
      <w:bookmarkEnd w:id="549"/>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b/>
          <w:bCs/>
          <w:i/>
          <w:iCs/>
          <w:sz w:val="20"/>
          <w:szCs w:val="20"/>
        </w:rPr>
        <w:t>Sécurité d’emploi des pesticides</w:t>
      </w:r>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Les pesticides sont toxiques pour les vermines mais aussi pour l’Homme. Cependant, si l’on prend des précautions suffisantes, ils ne devraient constituer une menace ni pour la population, ni pour les espèces animales non visées. La plupart d’entre eux peuvent avoir des effets nocifs si on les avale ou s’ils restent en contact prolongé avec la peau. Lorsqu’on pulvérise un pesticide sous forme de fines particules, on risque d’en absorber avec l’air que l’on respire. Il existe en outre un risque de contamination de l’eau, de la nourriture et du sol. Des précautions particulières doivent être prises pendant le transport, le stockage et la manipulation des pesticides. Il faut nettoyer régulièrement le matériel d’épandage et bien l’entretenir pour éviter les fuites. Les personnes qui se servent de pesticides doivent apprendre à les utiliser en toute sécurité.</w:t>
      </w:r>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b/>
          <w:bCs/>
          <w:i/>
          <w:iCs/>
          <w:sz w:val="20"/>
          <w:szCs w:val="20"/>
        </w:rPr>
        <w:t>Homologation des insecticides</w:t>
      </w:r>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sz w:val="20"/>
          <w:szCs w:val="20"/>
        </w:rPr>
        <w:t>Renforcer la procédure d’homologation des insecticides en veillant sur :</w:t>
      </w:r>
    </w:p>
    <w:p w:rsidR="001A0D27" w:rsidRPr="00F609B2" w:rsidRDefault="00007168"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L’harmonisation</w:t>
      </w:r>
      <w:r w:rsidR="001A0D27" w:rsidRPr="00F609B2">
        <w:rPr>
          <w:rFonts w:ascii="Times New Roman" w:eastAsia="Times New Roman" w:hAnsi="Times New Roman"/>
        </w:rPr>
        <w:t xml:space="preserve">, entre le système national d’homologation des pesticides et autres produits utilisés en santé publique </w:t>
      </w:r>
    </w:p>
    <w:p w:rsidR="0032291D"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l’adoption des spécifications de l’OMS applicables aux pesticides aux fins de la procédure nationale d’homologation ;</w:t>
      </w:r>
    </w:p>
    <w:p w:rsidR="0032291D"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le renforcement de l’organisme pilote en matière de réglementation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la collecte et la publication des données relatives aux produits importés et manufacturés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la revue périodique de l’homologation.</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Il est également recommandé, lorsque des achats de pesticides sont envisagés pour combattre des vecteurs, de s’inspirer des principes directeurs énoncés par l’OMS. Pour l’acquisition des insecticides destinés à la santé publique les lignes de conduite suivantes sont préconisées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élaborer des directives nationales applicables aux achats de produits destinés à la lutte anti-vectorielle et veiller à ce que tous les organismes acheteurs les respectent scrupuleusement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Utiliser les Pyréthrinoïdes de synthèse : Deltaméthrine SC, Perméthrine EC, vectron, Icon, Cyfluthrine comme préconisé par la politique nationale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se référer aux principes directeurs énoncés par l’OMS ou la FAO au sujet des appels d’offres, aux recommandations de la FAO pour l’étiquetage et aux recommandations de l’OMS concernant les produits (pour les pulvérisations intra domiciliaires);</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faire figurer dans les appels d’offres les détails de l’appui technique, de la maintenance, de la formation et du recyclage des produits qui feront partie du service après-vente engageant les fabricants; appliquer le principe du retour à l’envoyeur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 xml:space="preserve">contrôler la qualité et la quantité de chaque lot d’insecticides et supports imprégnés avant la réception des commandes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veiller à ce que les produits soient clairement étiquetés en français et si possible en langue locale et dans le respect scrupuleux des exigences nationales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préciser quel type d’emballage permettra de garantir l’efficacité, la durée de conservation ainsi que la sécurité humaine et environnementale lors de la manipulation des produits conditionnés, dans le respect rigoureux des exigences nationales ;</w:t>
      </w:r>
      <w:bookmarkStart w:id="550" w:name="page43"/>
      <w:bookmarkEnd w:id="550"/>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 xml:space="preserve">veiller à ce que les dons de pesticides destinés à la santé publique respectent les prescriptions de la procédure d’homologation </w:t>
      </w:r>
      <w:r w:rsidR="00BA3E6A" w:rsidRPr="00F609B2">
        <w:rPr>
          <w:rFonts w:ascii="Times New Roman" w:eastAsia="Times New Roman" w:hAnsi="Times New Roman"/>
        </w:rPr>
        <w:t xml:space="preserve">en Guinée Bissau </w:t>
      </w:r>
      <w:r w:rsidRPr="00F609B2">
        <w:rPr>
          <w:rFonts w:ascii="Times New Roman" w:eastAsia="Times New Roman" w:hAnsi="Times New Roman"/>
        </w:rPr>
        <w:t>et puissent être utilisés avant leur date de péremption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instaurer une consultation, avant la réception d’un don, entre les ministères, structures concernées et les donateurs pour une utilisation rationnelle du produit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exiger des utilisateurs le port de vêtements et équipements de protection recommandés afin de réduire au minimum leur exposition aux insecticides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obtenir du fabricant un rapport d’analyse physico-chimique et la certification de l’acceptabilité du produit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 xml:space="preserve">exiger du fabricant un rapport d’analyse du produit et de sa formulation avec indication de conduite à tenir en cas d’intoxication </w:t>
      </w:r>
    </w:p>
    <w:p w:rsidR="001A0D27" w:rsidRPr="00F609B2"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F609B2">
        <w:rPr>
          <w:rFonts w:ascii="Times New Roman" w:eastAsia="Times New Roman" w:hAnsi="Times New Roman"/>
        </w:rPr>
        <w:t>faire procéder à une analyse physico-chimique du produit par l’organisme acheteur avant expédition et à l’arrivée sur les lieux.</w:t>
      </w: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b/>
          <w:bCs/>
          <w:i/>
          <w:iCs/>
          <w:sz w:val="20"/>
          <w:szCs w:val="20"/>
        </w:rPr>
        <w:t>Précautions</w:t>
      </w: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sz w:val="20"/>
          <w:szCs w:val="20"/>
          <w:u w:val="single"/>
        </w:rPr>
        <w:t>Etiquetage</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Les pesticides doivent être emballés et étiquetés conformément aux normes de l’OMS. L’étiquette doit être rédigée en anglais et dans la langue du lieu; elle doit indiquer le contenu, les consignes de sécurité (mise en garde) et toutes dispositions à prendre en cas d’ingestion ou de contamination accidentelle. Toujours laisser le produit dans son récipient d’origine. Prendre les mesures de précaution voulues et porter les vêtements de protection conformément aux recommandations.</w:t>
      </w:r>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u w:val="single"/>
        </w:rPr>
        <w:t>Stockage et transport</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Conserver les pesticides dans un endroit dont on puisse verrouiller l’entrée et qui ne soit pas accessible aux personnes non autorisées ou aux enfants. En aucun cas les pesticides ne doivent être conservés en un lieu où l’on risquerait de les prendre pour de la nourriture ou de la boisson. Il faut les tenir au sec et</w:t>
      </w:r>
      <w:r w:rsidR="009219EB">
        <w:rPr>
          <w:rFonts w:eastAsia="Times New Roman"/>
          <w:sz w:val="20"/>
          <w:szCs w:val="20"/>
        </w:rPr>
        <w:t xml:space="preserve"> à </w:t>
      </w:r>
      <w:r w:rsidRPr="001A0D27">
        <w:rPr>
          <w:rFonts w:eastAsia="Times New Roman"/>
          <w:sz w:val="20"/>
          <w:szCs w:val="20"/>
        </w:rPr>
        <w:t>l’abri du soleil. On évitera de les transporter dans un véhicule servant aussi au transport de denrées alimentaires.</w:t>
      </w:r>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 xml:space="preserve">Afin d’assurer la sécurité dans le stockage et le transport, la structure publique ou privée en charge de la gestion des insecticides et supports imprégnés d’insecticides qui auront été acquis devra respecter la réglementation en vigueur </w:t>
      </w:r>
      <w:r w:rsidR="00B35A8D">
        <w:rPr>
          <w:rFonts w:eastAsia="Times New Roman"/>
          <w:sz w:val="20"/>
          <w:szCs w:val="20"/>
        </w:rPr>
        <w:t>en Guinée Bissau</w:t>
      </w:r>
      <w:r w:rsidR="00B35A8D" w:rsidRPr="001A0D27">
        <w:rPr>
          <w:rFonts w:eastAsia="Times New Roman"/>
          <w:sz w:val="20"/>
          <w:szCs w:val="20"/>
        </w:rPr>
        <w:t xml:space="preserve"> </w:t>
      </w:r>
      <w:r w:rsidRPr="001A0D27">
        <w:rPr>
          <w:rFonts w:eastAsia="Times New Roman"/>
          <w:sz w:val="20"/>
          <w:szCs w:val="20"/>
        </w:rPr>
        <w:t>ainsi que les conditions de conservation recommandée par le fabricant en relation avec :</w:t>
      </w:r>
    </w:p>
    <w:p w:rsidR="001A0D27" w:rsidRPr="001A0D27" w:rsidRDefault="001A0D27" w:rsidP="005E613E">
      <w:pPr>
        <w:tabs>
          <w:tab w:val="left" w:pos="1830"/>
          <w:tab w:val="left" w:pos="8647"/>
        </w:tabs>
        <w:ind w:left="284" w:right="-851"/>
        <w:rPr>
          <w:rFonts w:eastAsia="Times New Roman"/>
          <w:sz w:val="20"/>
          <w:szCs w:val="20"/>
        </w:rPr>
      </w:pPr>
    </w:p>
    <w:p w:rsidR="001A0D27" w:rsidRPr="00766DE5" w:rsidRDefault="001A0D27" w:rsidP="005E613E">
      <w:pPr>
        <w:tabs>
          <w:tab w:val="left" w:pos="1830"/>
          <w:tab w:val="left" w:pos="8647"/>
        </w:tabs>
        <w:ind w:left="284" w:right="-851"/>
        <w:rPr>
          <w:rFonts w:eastAsia="Times New Roman"/>
        </w:rPr>
      </w:pPr>
      <w:r w:rsidRPr="001A0D27">
        <w:rPr>
          <w:rFonts w:eastAsia="Times New Roman"/>
          <w:sz w:val="20"/>
          <w:szCs w:val="20"/>
        </w:rPr>
        <w:t>la conservation de l’étiquetage d’origine,</w:t>
      </w:r>
    </w:p>
    <w:p w:rsidR="001A0D27" w:rsidRPr="001018F6"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1018F6">
        <w:rPr>
          <w:rFonts w:ascii="Times New Roman" w:eastAsia="Times New Roman" w:hAnsi="Times New Roman"/>
        </w:rPr>
        <w:t>la prévention des déversements ou débordements accidentels,</w:t>
      </w:r>
    </w:p>
    <w:p w:rsidR="001A0D27" w:rsidRPr="001018F6"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1018F6">
        <w:rPr>
          <w:rFonts w:ascii="Times New Roman" w:eastAsia="Times New Roman" w:hAnsi="Times New Roman"/>
        </w:rPr>
        <w:t>l’utilisation de récipients appropriés,</w:t>
      </w:r>
    </w:p>
    <w:p w:rsidR="001A0D27" w:rsidRPr="001018F6" w:rsidRDefault="001A0D27" w:rsidP="005E613E">
      <w:pPr>
        <w:pStyle w:val="PargrafodaLista"/>
        <w:numPr>
          <w:ilvl w:val="0"/>
          <w:numId w:val="174"/>
        </w:numPr>
        <w:tabs>
          <w:tab w:val="left" w:pos="1830"/>
          <w:tab w:val="left" w:pos="8647"/>
        </w:tabs>
        <w:ind w:left="709" w:right="-50" w:hanging="142"/>
        <w:jc w:val="both"/>
        <w:rPr>
          <w:rFonts w:ascii="Times New Roman" w:eastAsia="Times New Roman" w:hAnsi="Times New Roman"/>
        </w:rPr>
      </w:pPr>
      <w:r w:rsidRPr="001018F6">
        <w:rPr>
          <w:rFonts w:ascii="Times New Roman" w:eastAsia="Times New Roman" w:hAnsi="Times New Roman"/>
        </w:rPr>
        <w:t>le marquage convenable des produits stockés,</w:t>
      </w:r>
    </w:p>
    <w:p w:rsidR="001A0D27" w:rsidRPr="001018F6" w:rsidRDefault="001A0D27" w:rsidP="005E613E">
      <w:pPr>
        <w:pStyle w:val="PargrafodaLista"/>
        <w:numPr>
          <w:ilvl w:val="0"/>
          <w:numId w:val="174"/>
        </w:numPr>
        <w:tabs>
          <w:tab w:val="left" w:pos="1830"/>
          <w:tab w:val="left" w:pos="8647"/>
        </w:tabs>
        <w:ind w:left="709" w:right="-50" w:hanging="142"/>
        <w:jc w:val="both"/>
        <w:rPr>
          <w:rFonts w:ascii="Times New Roman" w:eastAsia="Times New Roman" w:hAnsi="Times New Roman"/>
        </w:rPr>
      </w:pPr>
      <w:r w:rsidRPr="001018F6">
        <w:rPr>
          <w:rFonts w:ascii="Times New Roman" w:eastAsia="Times New Roman" w:hAnsi="Times New Roman"/>
        </w:rPr>
        <w:t>les spécifications relatives aux locaux,</w:t>
      </w:r>
    </w:p>
    <w:p w:rsidR="001A0D27" w:rsidRPr="001018F6" w:rsidRDefault="001A0D27" w:rsidP="005E613E">
      <w:pPr>
        <w:pStyle w:val="PargrafodaLista"/>
        <w:numPr>
          <w:ilvl w:val="0"/>
          <w:numId w:val="174"/>
        </w:numPr>
        <w:tabs>
          <w:tab w:val="left" w:pos="1830"/>
          <w:tab w:val="left" w:pos="8647"/>
        </w:tabs>
        <w:ind w:left="709" w:right="-50" w:hanging="142"/>
        <w:jc w:val="both"/>
        <w:rPr>
          <w:rFonts w:ascii="Times New Roman" w:eastAsia="Times New Roman" w:hAnsi="Times New Roman"/>
        </w:rPr>
      </w:pPr>
      <w:r w:rsidRPr="001018F6">
        <w:rPr>
          <w:rFonts w:ascii="Times New Roman" w:eastAsia="Times New Roman" w:hAnsi="Times New Roman"/>
        </w:rPr>
        <w:t>la séparation des produits</w:t>
      </w:r>
    </w:p>
    <w:p w:rsidR="001A0D27" w:rsidRPr="001018F6" w:rsidRDefault="001A0D27" w:rsidP="005E613E">
      <w:pPr>
        <w:pStyle w:val="PargrafodaLista"/>
        <w:numPr>
          <w:ilvl w:val="0"/>
          <w:numId w:val="174"/>
        </w:numPr>
        <w:tabs>
          <w:tab w:val="left" w:pos="1830"/>
          <w:tab w:val="left" w:pos="8647"/>
        </w:tabs>
        <w:ind w:left="709" w:right="-50" w:hanging="142"/>
        <w:jc w:val="both"/>
        <w:rPr>
          <w:rFonts w:ascii="Times New Roman" w:eastAsia="Times New Roman" w:hAnsi="Times New Roman"/>
        </w:rPr>
      </w:pPr>
      <w:r w:rsidRPr="001018F6">
        <w:rPr>
          <w:rFonts w:ascii="Times New Roman" w:eastAsia="Times New Roman" w:hAnsi="Times New Roman"/>
        </w:rPr>
        <w:t>la protection contre l’humidité et la contamination par d’autres produits,</w:t>
      </w:r>
    </w:p>
    <w:p w:rsidR="001A0D27" w:rsidRPr="001018F6" w:rsidRDefault="001A0D27" w:rsidP="005E613E">
      <w:pPr>
        <w:pStyle w:val="PargrafodaLista"/>
        <w:numPr>
          <w:ilvl w:val="0"/>
          <w:numId w:val="174"/>
        </w:numPr>
        <w:tabs>
          <w:tab w:val="left" w:pos="1830"/>
          <w:tab w:val="left" w:pos="8647"/>
        </w:tabs>
        <w:ind w:left="709" w:right="-50" w:hanging="142"/>
        <w:jc w:val="both"/>
        <w:rPr>
          <w:rFonts w:ascii="Times New Roman" w:eastAsia="Times New Roman" w:hAnsi="Times New Roman"/>
        </w:rPr>
      </w:pPr>
      <w:r w:rsidRPr="001018F6">
        <w:rPr>
          <w:rFonts w:ascii="Times New Roman" w:eastAsia="Times New Roman" w:hAnsi="Times New Roman"/>
        </w:rPr>
        <w:t>la restriction de l’accès aux locaux de stockage,</w:t>
      </w:r>
    </w:p>
    <w:p w:rsidR="001A0D27" w:rsidRPr="00766DE5" w:rsidRDefault="001A0D27" w:rsidP="005E613E">
      <w:pPr>
        <w:pStyle w:val="PargrafodaLista"/>
        <w:numPr>
          <w:ilvl w:val="0"/>
          <w:numId w:val="174"/>
        </w:numPr>
        <w:tabs>
          <w:tab w:val="left" w:pos="1830"/>
          <w:tab w:val="left" w:pos="8647"/>
        </w:tabs>
        <w:ind w:left="709" w:right="-851" w:hanging="142"/>
        <w:jc w:val="both"/>
        <w:rPr>
          <w:rFonts w:eastAsia="Times New Roman"/>
        </w:rPr>
      </w:pPr>
      <w:r w:rsidRPr="001A0D27">
        <w:rPr>
          <w:rFonts w:eastAsia="Times New Roman"/>
        </w:rPr>
        <w:t>le magasin de stockage sous clé afin de garantir l’intégrité et la sécurité des produits.</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Les entrepôts de pesticides doivent être situés à distance des habitations humaines ou abris pour animaux, des sources d’eau, des puits et des canaux. Ils doivent être situés sur une hauteur et sécurisés par des clôtures, leur accès étant réservé aux personnes autorisées</w:t>
      </w:r>
    </w:p>
    <w:p w:rsidR="001A0D27" w:rsidRPr="001A0D27" w:rsidRDefault="001A0D27" w:rsidP="005E613E">
      <w:pPr>
        <w:tabs>
          <w:tab w:val="left" w:pos="1830"/>
          <w:tab w:val="left" w:pos="8647"/>
        </w:tabs>
        <w:ind w:left="284" w:right="-851"/>
        <w:rPr>
          <w:rFonts w:eastAsia="Times New Roman"/>
          <w:sz w:val="20"/>
          <w:szCs w:val="20"/>
        </w:rPr>
      </w:pPr>
      <w:bookmarkStart w:id="551" w:name="page44"/>
      <w:bookmarkEnd w:id="551"/>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Il ne faut pas entreposer de pesticides dans des lieux où ils risquent d’être exposés à la lumière solaire,</w:t>
      </w:r>
      <w:r w:rsidR="002204CA">
        <w:rPr>
          <w:rFonts w:eastAsia="Times New Roman"/>
          <w:sz w:val="20"/>
          <w:szCs w:val="20"/>
        </w:rPr>
        <w:t xml:space="preserve"> à</w:t>
      </w:r>
      <w:r w:rsidR="00B35A8D">
        <w:rPr>
          <w:rFonts w:eastAsia="Times New Roman"/>
          <w:sz w:val="20"/>
          <w:szCs w:val="20"/>
        </w:rPr>
        <w:t xml:space="preserve"> </w:t>
      </w:r>
      <w:r w:rsidRPr="001A0D27">
        <w:rPr>
          <w:rFonts w:eastAsia="Times New Roman"/>
          <w:sz w:val="20"/>
          <w:szCs w:val="20"/>
        </w:rPr>
        <w:t>l’eau ou à l’humidité, ce qui aurait pour effet de nuire à leur stabilité. Les entrepôts doivent être sécurisés et bien ventilés.</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Il faut éviter de transporter dans un même véhicule des pesticides et des produits agricoles, des denrées alimentaires, des vêtements, des jouets ou des cosmétiques car ces produits pourraient devenir dangereux en cas de contamination.</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Les récipients de pesticides doivent être chargés dans les véhicules de manière à ce qu’ils ne subissent pas de dommages pendant le transport, que leurs étiquettes ne soient pas arrachées et qu’ils ne viennent pas à glisser et à tomber sur une route dont le revêtement peut être irrégulier. Les véhicules qui transportent des pesticides doivent porter un panneau de mise en garde placé bien en évidence et indiquant la nature du chargement.</w:t>
      </w:r>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sz w:val="20"/>
          <w:szCs w:val="20"/>
          <w:u w:val="single"/>
        </w:rPr>
        <w:t>Distribution</w:t>
      </w: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sz w:val="20"/>
          <w:szCs w:val="20"/>
        </w:rPr>
        <w:t>La distribution doit s’inspirer des lignes directrices suivantes :</w:t>
      </w:r>
    </w:p>
    <w:p w:rsidR="001A0D27" w:rsidRPr="001A0D27" w:rsidRDefault="001A0D27" w:rsidP="005E613E">
      <w:pPr>
        <w:tabs>
          <w:tab w:val="left" w:pos="1830"/>
          <w:tab w:val="left" w:pos="8647"/>
        </w:tabs>
        <w:ind w:left="284" w:right="-851"/>
        <w:rPr>
          <w:rFonts w:eastAsia="Times New Roman"/>
          <w:sz w:val="20"/>
          <w:szCs w:val="20"/>
        </w:rPr>
      </w:pPr>
    </w:p>
    <w:p w:rsidR="001A0D27" w:rsidRPr="001018F6"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1018F6">
        <w:rPr>
          <w:rFonts w:ascii="Times New Roman" w:eastAsia="Times New Roman" w:hAnsi="Times New Roman"/>
        </w:rPr>
        <w:t>L’emballage (emballage original ou nouvel emballage) doit garantir la sécurité pendant la distribution et éviter la vente ou la distribution non autorisées de produits destinés à la lutte anti-vectorielle ;</w:t>
      </w:r>
    </w:p>
    <w:p w:rsidR="001A0D27" w:rsidRPr="001018F6"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1018F6">
        <w:rPr>
          <w:rFonts w:ascii="Times New Roman" w:eastAsia="Times New Roman" w:hAnsi="Times New Roman"/>
        </w:rPr>
        <w:t>le distributeur doit être informé et conscientiser de la dangerosité de son chargement ;</w:t>
      </w:r>
    </w:p>
    <w:p w:rsidR="001A0D27" w:rsidRPr="001018F6"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1018F6">
        <w:rPr>
          <w:rFonts w:ascii="Times New Roman" w:eastAsia="Times New Roman" w:hAnsi="Times New Roman"/>
        </w:rPr>
        <w:t xml:space="preserve">le distributeur doit effectuer ses livraisons dans les délais convenus </w:t>
      </w:r>
    </w:p>
    <w:p w:rsidR="001A0D27" w:rsidRPr="001018F6"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1018F6">
        <w:rPr>
          <w:rFonts w:ascii="Times New Roman" w:eastAsia="Times New Roman" w:hAnsi="Times New Roman"/>
        </w:rPr>
        <w:t>le système de distribution des insecticides et supports imprégnés doit permettre de réduire les risques liés à la multiplicité des manipulations et des transports ;</w:t>
      </w:r>
    </w:p>
    <w:p w:rsidR="001A0D27" w:rsidRPr="001018F6"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1018F6">
        <w:rPr>
          <w:rFonts w:ascii="Times New Roman" w:eastAsia="Times New Roman" w:hAnsi="Times New Roman"/>
        </w:rPr>
        <w:t>si le département acquéreur n’est pas en mesure d’assurer le transport des produits et matériels, il doit être stipulé dans les appels d’offres que le fournisseur est tenu d’assurer le transport des insecticides et supports imprégnés jusqu’à l’entrepôt ;</w:t>
      </w:r>
    </w:p>
    <w:p w:rsidR="001A0D27" w:rsidRPr="001018F6" w:rsidRDefault="001A0D27" w:rsidP="005E613E">
      <w:pPr>
        <w:pStyle w:val="PargrafodaLista"/>
        <w:numPr>
          <w:ilvl w:val="0"/>
          <w:numId w:val="174"/>
        </w:numPr>
        <w:tabs>
          <w:tab w:val="left" w:pos="1830"/>
          <w:tab w:val="left" w:pos="8647"/>
        </w:tabs>
        <w:ind w:left="709" w:right="-851" w:hanging="142"/>
        <w:jc w:val="both"/>
        <w:rPr>
          <w:rFonts w:ascii="Times New Roman" w:eastAsia="Times New Roman" w:hAnsi="Times New Roman"/>
        </w:rPr>
      </w:pPr>
      <w:r w:rsidRPr="001018F6">
        <w:rPr>
          <w:rFonts w:ascii="Times New Roman" w:eastAsia="Times New Roman" w:hAnsi="Times New Roman"/>
        </w:rPr>
        <w:t xml:space="preserve">tous les distributeurs d’insecticides et matériels d’épandage doivent être en possession d’une licence d’exploitation conformément à la réglementation en vigueur </w:t>
      </w:r>
      <w:r w:rsidR="00BA3E6A" w:rsidRPr="001018F6">
        <w:rPr>
          <w:rFonts w:ascii="Times New Roman" w:eastAsia="Times New Roman" w:hAnsi="Times New Roman"/>
        </w:rPr>
        <w:t>en Guinée Bissau</w:t>
      </w:r>
      <w:r w:rsidRPr="001018F6">
        <w:rPr>
          <w:rFonts w:ascii="Times New Roman" w:eastAsia="Times New Roman" w:hAnsi="Times New Roman"/>
        </w:rPr>
        <w:t>.</w:t>
      </w: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sz w:val="20"/>
          <w:szCs w:val="20"/>
          <w:u w:val="single"/>
        </w:rPr>
        <w:t>Elimination (</w:t>
      </w:r>
      <w:r w:rsidRPr="001A0D27">
        <w:rPr>
          <w:rFonts w:eastAsia="Times New Roman"/>
          <w:sz w:val="20"/>
          <w:szCs w:val="20"/>
        </w:rPr>
        <w:t xml:space="preserve">se conformer à la procédure </w:t>
      </w:r>
      <w:r w:rsidR="00AD44CE">
        <w:rPr>
          <w:rFonts w:eastAsia="Times New Roman"/>
          <w:sz w:val="20"/>
          <w:szCs w:val="20"/>
        </w:rPr>
        <w:t>en Guinée Bissau</w:t>
      </w:r>
      <w:r w:rsidRPr="001A0D27">
        <w:rPr>
          <w:rFonts w:eastAsia="Times New Roman"/>
          <w:sz w:val="20"/>
          <w:szCs w:val="20"/>
        </w:rPr>
        <w:t>)</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Après les opérations, la suspension d’insecticide qui reste peut être éliminée sans risque en la déversant dans un trou creusé tout spécialement ou dans une latrine à fosse. Il ne faut pas se débarrasser d’un pesticide en le jetant dans un endroit où il risque de contaminer de l’eau utilisée pour la boisson ou le lavage ou encore parvenir jusqu’à un étang ou un cours d’eau. Certains insecticides, comme les pyréthrinoïdes, sont très toxiques pour les poissons. Creuser un trou à au moins 100 mètres de tout cours d’eau, puits ou habitations. Si on se trouve dans une région de collines, il faut creuser le trou en contrebas. Verser toutes les eaux qui ont servi au lavage des mains après le traitement. Enterrer tous les récipients, boîtes, bouteilles etc. qui ont contenu des pesticides. Reboucher le trou le plus rapidement possible. Les emballages ou récipients en carton, papier ou plastique — ces derniers, nettoyés — peuvent être brûlés, si cela est autorisé, à bonne distance des maisons et des sources d’eau potable. En ce qui concerne la réutilisation de récipients après nettoyage, voir l’encadré ci-dessous.</w:t>
      </w:r>
    </w:p>
    <w:p w:rsidR="001A0D27" w:rsidRPr="001A0D27" w:rsidRDefault="001A0D27" w:rsidP="005E613E">
      <w:pPr>
        <w:tabs>
          <w:tab w:val="left" w:pos="1830"/>
          <w:tab w:val="left" w:pos="8647"/>
        </w:tabs>
        <w:ind w:left="284" w:right="-851"/>
        <w:jc w:val="both"/>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Les suspensions de pyréthrinoïdes peuvent être déversées sur un sol sec où elles seront rapidement absorbées et subiront ensuite une décomposition qui les rendra inoffensives pour l’environnement. S’il reste une certaine quantité de solution insecticide, on peut l’utiliser pour détruire les fourmis et les blattes. Il suffit pour cela de verser un peu de solution sur les endroits infestés (sous l’évier de la cuisine, dans les coins) ou de passer une éponge imbibée. Pour faire temporairement obstacle à la prolifération des insectes, on peut verser une certaine quantité de solution à l’intérieur et autour des latrines ou sur d’autres gîtes larvaires. Les solutions de pyréthrinoïdes destinées au traitement des moustiquaires et autres tissus peuvent être utilisées quelques jours après leur préparation. On peut également s’en servir pour traiter les nattes et les matelas de corde afin d’empêcher les moustiques de venir piquer par en bas. On peut aussi traiter les matelas pour combattre les punaises.</w:t>
      </w:r>
      <w:bookmarkStart w:id="552" w:name="page45"/>
      <w:bookmarkEnd w:id="552"/>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b/>
          <w:bCs/>
          <w:i/>
          <w:iCs/>
          <w:sz w:val="20"/>
          <w:szCs w:val="20"/>
        </w:rPr>
        <w:t>Nettoyage des emballages et récipients vides de pesticides</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 xml:space="preserve">Réutiliser des récipients de pesticides vides présente des risques et il est déconseillé de le faire. Toutefois, on peut estimer que certains récipients de pesticides sont trop utiles pour qu’on les jette purement et simplement après usage. </w:t>
      </w:r>
      <w:r w:rsidR="00D606FB" w:rsidRPr="001A0D27">
        <w:rPr>
          <w:rFonts w:eastAsia="Times New Roman"/>
          <w:sz w:val="20"/>
          <w:szCs w:val="20"/>
        </w:rPr>
        <w:t>Peut-on</w:t>
      </w:r>
      <w:r w:rsidRPr="001A0D27">
        <w:rPr>
          <w:rFonts w:eastAsia="Times New Roman"/>
          <w:sz w:val="20"/>
          <w:szCs w:val="20"/>
        </w:rPr>
        <w:t xml:space="preserve"> donc nettoyer et réutiliser de tels récipients ? Cela dépend à la fois du matériau et du contenu. En principe, l’étiquette devrait indiquer quelles sont les possibilités de réemploi des récipients et comment s’y prendre pour les nettoyer.</w:t>
      </w:r>
    </w:p>
    <w:p w:rsidR="001A0D27" w:rsidRPr="001A0D27" w:rsidRDefault="001A0D27" w:rsidP="005E613E">
      <w:pPr>
        <w:tabs>
          <w:tab w:val="left" w:pos="1830"/>
          <w:tab w:val="left" w:pos="8647"/>
        </w:tabs>
        <w:ind w:left="284" w:right="-851"/>
        <w:jc w:val="both"/>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Il ne faut en aucun cas réutiliser des récipients qui ont contenu des pesticides classés comme très dangereux ou extrêmement dangereux. Dans certaines conditions, les récipients de pesticides classés comme peu dangereux ou ne devant pas en principe présenter de danger en utilisation normale, peuvent être réutilisés à condition que ce ne soit pas pour contenir des aliments, des boissons ou de la nourriture pour animaux. Les récipients faits de matériaux comme le polyéthylène, qui absorbent préférentiellement les pesticides, ne doivent pas être réutilisés s’ils ont contenu des pesticides dont la matière active est classée comme modérément, très ou extrêmement dangereuse, quelle que soit la formulation. Dès qu’un récipient est vide, il faut le rincer, puis le remplir complètement avec de l’eau et le laisser reposer pendant 24 heures. Ensuite, on le vide et on recommence deux fois l’opération.</w:t>
      </w:r>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b/>
          <w:bCs/>
          <w:i/>
          <w:iCs/>
          <w:sz w:val="20"/>
          <w:szCs w:val="20"/>
        </w:rPr>
        <w:t>Hygiène générale</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Il ne faut ni manger, ni boire, ni fumer lorsqu’on manipule des insecticides. La nourriture doit être rangée dans des boîtes hermétiquement fermées. La mesure, la dilution et le transvasement des insecticides doivent s’effectuer avec le matériel adéquat. Ne pas agiter ni prélever des liquides les mains nues. Si la buse s’est bouchée, agir sur la vanne de la pompe ou dégager l’orifice avec une tige souple. Après chaque remplissage, se laver les mains et le visage à l’eau et au savon. Ne boire et ne manger qu’après s’être lavé les mains et le visage. Prendre une douche ou un bain à la fin de la journée.</w:t>
      </w:r>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b/>
          <w:bCs/>
          <w:i/>
          <w:iCs/>
          <w:sz w:val="20"/>
          <w:szCs w:val="20"/>
        </w:rPr>
        <w:t>Protection Individuelle</w:t>
      </w:r>
    </w:p>
    <w:p w:rsidR="001A0D27" w:rsidRPr="00064F08" w:rsidRDefault="001A0D27" w:rsidP="00064F08">
      <w:pPr>
        <w:pStyle w:val="PargrafodaLista"/>
        <w:numPr>
          <w:ilvl w:val="0"/>
          <w:numId w:val="174"/>
        </w:numPr>
        <w:tabs>
          <w:tab w:val="left" w:pos="1830"/>
          <w:tab w:val="left" w:pos="8647"/>
        </w:tabs>
        <w:spacing w:line="240" w:lineRule="auto"/>
        <w:ind w:left="709" w:right="-851" w:hanging="142"/>
        <w:jc w:val="both"/>
        <w:rPr>
          <w:rFonts w:ascii="Times New Roman" w:eastAsia="Times New Roman" w:hAnsi="Times New Roman"/>
        </w:rPr>
      </w:pPr>
      <w:r w:rsidRPr="00064F08">
        <w:rPr>
          <w:rFonts w:ascii="Times New Roman" w:eastAsia="Times New Roman" w:hAnsi="Times New Roman"/>
        </w:rPr>
        <w:t>Combinaison adaptée couvrant toute la main et tout le pied.</w:t>
      </w:r>
    </w:p>
    <w:p w:rsidR="001A0D27" w:rsidRPr="00064F08" w:rsidRDefault="001A0D27" w:rsidP="00064F08">
      <w:pPr>
        <w:pStyle w:val="PargrafodaLista"/>
        <w:numPr>
          <w:ilvl w:val="0"/>
          <w:numId w:val="174"/>
        </w:numPr>
        <w:tabs>
          <w:tab w:val="left" w:pos="1830"/>
          <w:tab w:val="left" w:pos="8647"/>
        </w:tabs>
        <w:spacing w:line="240" w:lineRule="auto"/>
        <w:ind w:left="709" w:right="-851" w:hanging="142"/>
        <w:jc w:val="both"/>
        <w:rPr>
          <w:rFonts w:ascii="Times New Roman" w:eastAsia="Times New Roman" w:hAnsi="Times New Roman"/>
        </w:rPr>
      </w:pPr>
      <w:r w:rsidRPr="00064F08">
        <w:rPr>
          <w:rFonts w:ascii="Times New Roman" w:eastAsia="Times New Roman" w:hAnsi="Times New Roman"/>
        </w:rPr>
        <w:t>Masques anti-poussière anti-vapeur ou respiratoire selon le type de traitement et de produit utilisé.</w:t>
      </w:r>
    </w:p>
    <w:p w:rsidR="001A0D27" w:rsidRPr="00064F08" w:rsidRDefault="001A0D27" w:rsidP="00064F08">
      <w:pPr>
        <w:pStyle w:val="PargrafodaLista"/>
        <w:numPr>
          <w:ilvl w:val="0"/>
          <w:numId w:val="174"/>
        </w:numPr>
        <w:tabs>
          <w:tab w:val="left" w:pos="1830"/>
          <w:tab w:val="left" w:pos="8647"/>
        </w:tabs>
        <w:spacing w:line="240" w:lineRule="auto"/>
        <w:ind w:left="709" w:right="-851" w:hanging="142"/>
        <w:jc w:val="both"/>
        <w:rPr>
          <w:rFonts w:ascii="Times New Roman" w:eastAsia="Times New Roman" w:hAnsi="Times New Roman"/>
        </w:rPr>
      </w:pPr>
      <w:r w:rsidRPr="00064F08">
        <w:rPr>
          <w:rFonts w:ascii="Times New Roman" w:eastAsia="Times New Roman" w:hAnsi="Times New Roman"/>
        </w:rPr>
        <w:t>Gants.</w:t>
      </w:r>
    </w:p>
    <w:p w:rsidR="001A0D27" w:rsidRPr="00064F08" w:rsidRDefault="001A0D27" w:rsidP="00064F08">
      <w:pPr>
        <w:pStyle w:val="PargrafodaLista"/>
        <w:numPr>
          <w:ilvl w:val="0"/>
          <w:numId w:val="174"/>
        </w:numPr>
        <w:tabs>
          <w:tab w:val="left" w:pos="1830"/>
          <w:tab w:val="left" w:pos="8647"/>
        </w:tabs>
        <w:spacing w:line="240" w:lineRule="auto"/>
        <w:ind w:left="709" w:right="-851" w:hanging="142"/>
        <w:jc w:val="both"/>
        <w:rPr>
          <w:rFonts w:ascii="Times New Roman" w:eastAsia="Times New Roman" w:hAnsi="Times New Roman"/>
        </w:rPr>
      </w:pPr>
      <w:r w:rsidRPr="00064F08">
        <w:rPr>
          <w:rFonts w:ascii="Times New Roman" w:eastAsia="Times New Roman" w:hAnsi="Times New Roman"/>
        </w:rPr>
        <w:t>Lunettes.</w:t>
      </w:r>
    </w:p>
    <w:p w:rsidR="001A0D27" w:rsidRPr="00064F08" w:rsidRDefault="001A0D27" w:rsidP="00064F08">
      <w:pPr>
        <w:pStyle w:val="PargrafodaLista"/>
        <w:numPr>
          <w:ilvl w:val="0"/>
          <w:numId w:val="174"/>
        </w:numPr>
        <w:tabs>
          <w:tab w:val="left" w:pos="1830"/>
          <w:tab w:val="left" w:pos="8647"/>
        </w:tabs>
        <w:spacing w:line="240" w:lineRule="auto"/>
        <w:ind w:left="709" w:right="-851" w:hanging="142"/>
        <w:jc w:val="both"/>
        <w:rPr>
          <w:rFonts w:ascii="Times New Roman" w:eastAsia="Times New Roman" w:hAnsi="Times New Roman"/>
        </w:rPr>
      </w:pPr>
      <w:r w:rsidRPr="00064F08">
        <w:rPr>
          <w:rFonts w:ascii="Times New Roman" w:eastAsia="Times New Roman" w:hAnsi="Times New Roman"/>
        </w:rPr>
        <w:t>Cagoules (écran facial).</w:t>
      </w:r>
    </w:p>
    <w:p w:rsidR="001A0D27" w:rsidRPr="00064F08" w:rsidRDefault="001A0D27" w:rsidP="00064F08">
      <w:pPr>
        <w:pStyle w:val="PargrafodaLista"/>
        <w:numPr>
          <w:ilvl w:val="0"/>
          <w:numId w:val="174"/>
        </w:numPr>
        <w:tabs>
          <w:tab w:val="left" w:pos="1830"/>
          <w:tab w:val="left" w:pos="8647"/>
        </w:tabs>
        <w:spacing w:line="240" w:lineRule="auto"/>
        <w:ind w:left="709" w:right="-851" w:hanging="142"/>
        <w:jc w:val="both"/>
        <w:rPr>
          <w:rFonts w:ascii="Times New Roman" w:eastAsia="Times New Roman" w:hAnsi="Times New Roman"/>
        </w:rPr>
      </w:pPr>
      <w:r w:rsidRPr="00064F08">
        <w:rPr>
          <w:rFonts w:ascii="Times New Roman" w:eastAsia="Times New Roman" w:hAnsi="Times New Roman"/>
        </w:rPr>
        <w:t>Protection des populations</w:t>
      </w:r>
    </w:p>
    <w:p w:rsidR="001A0D27" w:rsidRPr="00064F08" w:rsidRDefault="001A0D27" w:rsidP="00064F08">
      <w:pPr>
        <w:pStyle w:val="PargrafodaLista"/>
        <w:numPr>
          <w:ilvl w:val="0"/>
          <w:numId w:val="174"/>
        </w:numPr>
        <w:tabs>
          <w:tab w:val="left" w:pos="1830"/>
          <w:tab w:val="left" w:pos="8647"/>
        </w:tabs>
        <w:spacing w:line="240" w:lineRule="auto"/>
        <w:ind w:left="709" w:right="-851" w:hanging="142"/>
        <w:jc w:val="both"/>
        <w:rPr>
          <w:rFonts w:ascii="Times New Roman" w:eastAsia="Times New Roman" w:hAnsi="Times New Roman"/>
        </w:rPr>
      </w:pPr>
      <w:r w:rsidRPr="00064F08">
        <w:rPr>
          <w:rFonts w:ascii="Times New Roman" w:eastAsia="Times New Roman" w:hAnsi="Times New Roman"/>
        </w:rPr>
        <w:t>Réduire au maximum l’exposition des populations locales et du bétail.</w:t>
      </w:r>
    </w:p>
    <w:p w:rsidR="001A0D27" w:rsidRPr="00064F08" w:rsidRDefault="001A0D27" w:rsidP="00064F08">
      <w:pPr>
        <w:pStyle w:val="PargrafodaLista"/>
        <w:numPr>
          <w:ilvl w:val="0"/>
          <w:numId w:val="174"/>
        </w:numPr>
        <w:tabs>
          <w:tab w:val="left" w:pos="1830"/>
          <w:tab w:val="left" w:pos="8647"/>
        </w:tabs>
        <w:spacing w:line="240" w:lineRule="auto"/>
        <w:ind w:left="709" w:right="-851" w:hanging="142"/>
        <w:jc w:val="both"/>
        <w:rPr>
          <w:rFonts w:ascii="Times New Roman" w:eastAsia="Times New Roman" w:hAnsi="Times New Roman"/>
        </w:rPr>
      </w:pPr>
      <w:r w:rsidRPr="00064F08">
        <w:rPr>
          <w:rFonts w:ascii="Times New Roman" w:eastAsia="Times New Roman" w:hAnsi="Times New Roman"/>
        </w:rPr>
        <w:t>Couvrir les puits et autres réserves d’eau.</w:t>
      </w:r>
    </w:p>
    <w:p w:rsidR="001A0D27" w:rsidRPr="00064F08" w:rsidRDefault="001A0D27" w:rsidP="00064F08">
      <w:pPr>
        <w:pStyle w:val="PargrafodaLista"/>
        <w:numPr>
          <w:ilvl w:val="0"/>
          <w:numId w:val="174"/>
        </w:numPr>
        <w:tabs>
          <w:tab w:val="left" w:pos="1830"/>
          <w:tab w:val="left" w:pos="8647"/>
        </w:tabs>
        <w:spacing w:line="240" w:lineRule="auto"/>
        <w:ind w:left="709" w:right="-851" w:hanging="142"/>
        <w:jc w:val="both"/>
        <w:rPr>
          <w:rFonts w:ascii="Times New Roman" w:eastAsia="Times New Roman" w:hAnsi="Times New Roman"/>
        </w:rPr>
      </w:pPr>
      <w:r w:rsidRPr="00064F08">
        <w:rPr>
          <w:rFonts w:ascii="Times New Roman" w:eastAsia="Times New Roman" w:hAnsi="Times New Roman"/>
        </w:rPr>
        <w:t>Sensibiliser les populations sur les risques.</w:t>
      </w: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b/>
          <w:bCs/>
          <w:i/>
          <w:iCs/>
          <w:sz w:val="20"/>
          <w:szCs w:val="20"/>
        </w:rPr>
        <w:t>Vêtements de protection</w:t>
      </w:r>
    </w:p>
    <w:p w:rsidR="001A0D27" w:rsidRPr="001A0D27" w:rsidRDefault="001A0D27" w:rsidP="005E613E">
      <w:pPr>
        <w:tabs>
          <w:tab w:val="left" w:pos="1830"/>
          <w:tab w:val="left" w:pos="8647"/>
        </w:tabs>
        <w:ind w:left="284" w:right="-851"/>
        <w:rPr>
          <w:rFonts w:eastAsia="Times New Roman"/>
          <w:sz w:val="20"/>
          <w:szCs w:val="20"/>
        </w:rPr>
      </w:pPr>
      <w:r w:rsidRPr="001A0D27">
        <w:rPr>
          <w:rFonts w:eastAsia="Times New Roman"/>
          <w:sz w:val="20"/>
          <w:szCs w:val="20"/>
          <w:u w:val="single"/>
        </w:rPr>
        <w:t>Traitements à l’intérieur des habitations</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 xml:space="preserve">Les opérateurs doivent porter une combinaison de travail ou une chemise à manches longues </w:t>
      </w:r>
      <w:r w:rsidR="001A44D9" w:rsidRPr="001A0D27">
        <w:rPr>
          <w:rFonts w:eastAsia="Times New Roman"/>
          <w:sz w:val="20"/>
          <w:szCs w:val="20"/>
        </w:rPr>
        <w:t>par-dessus</w:t>
      </w:r>
      <w:r w:rsidRPr="001A0D27">
        <w:rPr>
          <w:rFonts w:eastAsia="Times New Roman"/>
          <w:sz w:val="20"/>
          <w:szCs w:val="20"/>
        </w:rPr>
        <w:t xml:space="preserve"> un pantalon, un chapeau à large bord, un turban ou autre type de couvre-chef ainsi que des bottes ou de grosses chaussures. Les sandales ne conviennent pas. Il faut se protéger la bouche et le nez avec un moyen simple, par exemple un masque jetable en papier, un masque chirurgical jetable ou lavable ou un chiffon de coton propre. Dès que le tissu est humide, il faut le changer. Les vêtements doivent également être en coton pour faciliter le lavage et le séchage. Ils doivent couvrir le corps et ne comporter aucune ouverture. Sous les climats chauds et humides, il peut être inconfortable de porter un vêtement protecteur supplémentaire</w:t>
      </w:r>
      <w:bookmarkStart w:id="553" w:name="page46"/>
      <w:bookmarkEnd w:id="553"/>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u w:val="single"/>
        </w:rPr>
        <w:t>Préparation des suspensions</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Les personnes qui sont chargées d’ensacher les insecticides et de préparer les suspensions, notamment au niveau des unités d’imprégnation des moustiquaires, doivent prendre des précautions spéciales. Outre les vêtements de protection mentionnés ci-dessus, elles doivent porter des gants, un tablier et une protection oculaire, par exemple un écran facial ou des lunettes. Les écrans faciaux protègent la totalité du visage et tiennent moins chaud. Il faut se couvrir la bouche et le nez comme indiquer pour les traitements à l’intérieur des habitations. On veillera en outre à ne pas toucher une quelconque partie de son corps avec les gants pendant la manipulation des pesticides.</w:t>
      </w:r>
    </w:p>
    <w:p w:rsidR="001A0D27" w:rsidRPr="001A0D27" w:rsidRDefault="001A0D27" w:rsidP="005E613E">
      <w:pPr>
        <w:tabs>
          <w:tab w:val="left" w:pos="1830"/>
          <w:tab w:val="left" w:pos="8647"/>
        </w:tabs>
        <w:ind w:left="284" w:right="-851"/>
        <w:jc w:val="both"/>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u w:val="single"/>
        </w:rPr>
        <w:t>Imprégnation des tissus</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Pour traiter les moustiquaires, les vêtements, les grillages ou les pièges à glossines avec des insecticides, il est impératif de porter de longs gants de caoutchouc. Dans certains cas, une protection supplémentaire est nécessaire, par exemple contre les vapeurs, les poussières ou les aspersions d’insecticides qui peuvent être dangereux. Ces accessoires de protection supplémentaires doivent être mentionnés sur l’étiquette du produit et peuvent consister en tabliers, bottes, masques faciaux, combinaisons et chapeaux.</w:t>
      </w:r>
    </w:p>
    <w:p w:rsidR="001A0D27" w:rsidRPr="001A0D27" w:rsidRDefault="001A0D27" w:rsidP="005E613E">
      <w:pPr>
        <w:tabs>
          <w:tab w:val="left" w:pos="1830"/>
          <w:tab w:val="left" w:pos="8647"/>
        </w:tabs>
        <w:ind w:left="284" w:right="-851"/>
        <w:jc w:val="both"/>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u w:val="single"/>
        </w:rPr>
        <w:t>Entretien</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Les vêtements de protection doivent toujours être impeccablement tenus et il faut procéder à des contrôles périodiques pour vérifier qu’il n’y a ni déchirures ni usures du tissu qui pourraient entraîner une contamination de l’épiderme. Les vêtements et les équipements de protection doivent être lavés tous les jours à l’eau et au savon, séparément des autres vêtements. Les gants doivent faire l’objet d’une attention particulière et il faut les remplacer dès qu’ils sont déchirés ou s’ils présentent des signes d’usure. Après usage, on devra les rincer à grande eau avant de les ôter. A la fin de chaque journée de travail, il faudra les laver à l’extérieur et à l’intérieur.</w:t>
      </w:r>
    </w:p>
    <w:p w:rsidR="001A0D27" w:rsidRPr="001A0D27" w:rsidRDefault="001A0D27" w:rsidP="005E613E">
      <w:pPr>
        <w:tabs>
          <w:tab w:val="left" w:pos="1830"/>
          <w:tab w:val="left" w:pos="8647"/>
        </w:tabs>
        <w:ind w:left="284" w:right="-851"/>
        <w:jc w:val="both"/>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b/>
          <w:bCs/>
          <w:i/>
          <w:iCs/>
          <w:sz w:val="20"/>
          <w:szCs w:val="20"/>
        </w:rPr>
        <w:t>Mesures de sécurité</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u w:val="single"/>
        </w:rPr>
        <w:t>Lors des pulvérisations</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Le jet qui sort du pulvérisateur ne doit pas être dirigé vers une partie du corps. Un pulvérisateur qui fuit doit être réparé et il faut se laver la peau si elle a été accidentellement contaminée. Les occupants de la maison et les animaux doivent rester dehors pendant toute la durée des opérations. On évitera de traiter une pièce dans laquelle se trouve une personne — un malade par exemple — que l’on ne peut pas transporter à l’extérieur. Avant que ne débutent les pulvérisations, il faut également sortir tous les ustensiles de cuisine, la vaisselle et tout ce qui contient des boissons ou des aliments. On peut aussi les réunir au centre d’une pièce et les recouvrir d’une feuille de plastique. Les hamacs et les tableaux ou tentures ne doivent pas être traités. S’il faut traiter le bas des meubles et le côté situé vers le mur, on veillera à ce que les autres surfaces soient effectivement</w:t>
      </w:r>
      <w:r w:rsidR="003B68C9">
        <w:rPr>
          <w:rFonts w:eastAsia="Times New Roman"/>
          <w:sz w:val="20"/>
          <w:szCs w:val="20"/>
        </w:rPr>
        <w:t xml:space="preserve"> </w:t>
      </w:r>
      <w:r w:rsidRPr="001A0D27">
        <w:rPr>
          <w:rFonts w:eastAsia="Times New Roman"/>
          <w:sz w:val="20"/>
          <w:szCs w:val="20"/>
        </w:rPr>
        <w:t>traitées. Il faut balayer le sol ou le laver après les pulvérisations. Les occupants doivent éviter tout contact avec les murs. Les vêtements et l’équipement doivent être lavés tous les jours. Il faut éviter de pulvériser des organophosphorés ou des carbamates plus de 5 à 6 heures par jour et se laver les mains après chaque remplissage. Si l’on utilise du Fénitrothion ou de vieux stocks de Malathion, il faut que tous les opérateurs fassent contrôler chaque semaine leur cholinestérase sanguin.</w:t>
      </w:r>
    </w:p>
    <w:p w:rsidR="001A0D27" w:rsidRPr="001A0D27" w:rsidRDefault="001A0D27" w:rsidP="005E613E">
      <w:pPr>
        <w:tabs>
          <w:tab w:val="left" w:pos="1830"/>
          <w:tab w:val="left" w:pos="8647"/>
        </w:tabs>
        <w:ind w:left="284" w:right="-851"/>
        <w:rPr>
          <w:rFonts w:eastAsia="Times New Roman"/>
          <w:sz w:val="20"/>
          <w:szCs w:val="20"/>
        </w:rPr>
      </w:pP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u w:val="single"/>
        </w:rPr>
        <w:t>Surveillance de l’exposition aux organophosphorés</w:t>
      </w:r>
    </w:p>
    <w:p w:rsidR="001A0D27" w:rsidRPr="001A0D27" w:rsidRDefault="001A0D27" w:rsidP="005E613E">
      <w:pPr>
        <w:tabs>
          <w:tab w:val="left" w:pos="1830"/>
          <w:tab w:val="left" w:pos="8647"/>
        </w:tabs>
        <w:ind w:left="284" w:right="-851"/>
        <w:jc w:val="both"/>
        <w:rPr>
          <w:rFonts w:eastAsia="Times New Roman"/>
          <w:sz w:val="20"/>
          <w:szCs w:val="20"/>
        </w:rPr>
      </w:pPr>
      <w:r w:rsidRPr="001A0D27">
        <w:rPr>
          <w:rFonts w:eastAsia="Times New Roman"/>
          <w:sz w:val="20"/>
          <w:szCs w:val="20"/>
        </w:rPr>
        <w:t>Il existe dans le commerce des trousses de campagne pour contrôler l’activité du cholinestérase sanguine. Si cette activité est basse, on peut en déduire qu’il y a eu exposition excessive à un insecticide organophosphoré. Ces dosages doivent être pratiqués toutes les semaines chez toutes les personnes qui manipulent de tels produits. Toute personne dont l’activité cholinestérasique est trop basse doit être mise en arrêt de travail jusqu’à retour à la normale.</w:t>
      </w:r>
    </w:p>
    <w:p w:rsidR="001A0D27" w:rsidRPr="001A0D27" w:rsidRDefault="001A0D27" w:rsidP="005E613E">
      <w:pPr>
        <w:tabs>
          <w:tab w:val="left" w:pos="1830"/>
          <w:tab w:val="left" w:pos="8647"/>
        </w:tabs>
        <w:ind w:right="-50"/>
        <w:jc w:val="both"/>
        <w:rPr>
          <w:rFonts w:eastAsia="Times New Roman"/>
          <w:sz w:val="20"/>
          <w:szCs w:val="20"/>
        </w:rPr>
      </w:pPr>
    </w:p>
    <w:p w:rsidR="00E90DF5" w:rsidRPr="00A05698" w:rsidRDefault="00E90DF5" w:rsidP="005E613E">
      <w:pPr>
        <w:pStyle w:val="Cabealho1"/>
        <w:numPr>
          <w:ilvl w:val="0"/>
          <w:numId w:val="0"/>
        </w:numPr>
        <w:pBdr>
          <w:bottom w:val="thickThinSmallGap" w:sz="24" w:space="1" w:color="auto"/>
        </w:pBdr>
        <w:shd w:val="clear" w:color="auto" w:fill="E2EFD9" w:themeFill="accent6" w:themeFillTint="33"/>
        <w:spacing w:after="120"/>
        <w:ind w:right="-851"/>
        <w:rPr>
          <w:rFonts w:ascii="Times New Roman" w:hAnsi="Times New Roman"/>
          <w:sz w:val="28"/>
          <w:szCs w:val="28"/>
        </w:rPr>
      </w:pPr>
      <w:bookmarkStart w:id="554" w:name="_Toc73459839"/>
      <w:r>
        <w:rPr>
          <w:rFonts w:ascii="Times New Roman" w:hAnsi="Times New Roman"/>
          <w:sz w:val="28"/>
          <w:szCs w:val="28"/>
        </w:rPr>
        <w:t>A</w:t>
      </w:r>
      <w:r w:rsidRPr="00A05698">
        <w:rPr>
          <w:rFonts w:ascii="Times New Roman" w:hAnsi="Times New Roman"/>
          <w:sz w:val="28"/>
          <w:szCs w:val="28"/>
        </w:rPr>
        <w:t xml:space="preserve">NNEXE </w:t>
      </w:r>
      <w:r w:rsidR="005E613E">
        <w:rPr>
          <w:rFonts w:ascii="Times New Roman" w:hAnsi="Times New Roman"/>
          <w:sz w:val="28"/>
          <w:szCs w:val="28"/>
        </w:rPr>
        <w:t>7</w:t>
      </w:r>
      <w:r w:rsidRPr="00A05698">
        <w:rPr>
          <w:rFonts w:ascii="Times New Roman" w:hAnsi="Times New Roman"/>
          <w:sz w:val="28"/>
          <w:szCs w:val="28"/>
        </w:rPr>
        <w:t xml:space="preserve">. </w:t>
      </w:r>
      <w:r w:rsidRPr="004E5D31">
        <w:rPr>
          <w:rFonts w:ascii="Times New Roman" w:hAnsi="Times New Roman"/>
          <w:sz w:val="28"/>
          <w:szCs w:val="28"/>
        </w:rPr>
        <w:t>Plan de Gestion des Déchets</w:t>
      </w:r>
      <w:bookmarkEnd w:id="554"/>
    </w:p>
    <w:p w:rsidR="001A0D27" w:rsidRPr="001A0D27" w:rsidRDefault="001A0D27" w:rsidP="005E613E">
      <w:pPr>
        <w:tabs>
          <w:tab w:val="left" w:pos="1830"/>
          <w:tab w:val="left" w:pos="8647"/>
        </w:tabs>
        <w:ind w:right="-50"/>
        <w:jc w:val="both"/>
        <w:rPr>
          <w:rFonts w:eastAsia="Times New Roman"/>
          <w:sz w:val="20"/>
          <w:szCs w:val="20"/>
        </w:rPr>
      </w:pPr>
    </w:p>
    <w:p w:rsidR="000E2021" w:rsidRPr="004E5D31" w:rsidRDefault="000E2021" w:rsidP="005E613E">
      <w:pPr>
        <w:tabs>
          <w:tab w:val="left" w:pos="4395"/>
          <w:tab w:val="left" w:pos="8647"/>
        </w:tabs>
        <w:spacing w:after="240"/>
        <w:ind w:left="284" w:right="-851"/>
        <w:jc w:val="both"/>
        <w:rPr>
          <w:sz w:val="22"/>
          <w:szCs w:val="22"/>
        </w:rPr>
      </w:pPr>
      <w:r w:rsidRPr="004E5D31">
        <w:rPr>
          <w:sz w:val="22"/>
          <w:szCs w:val="22"/>
        </w:rPr>
        <w:t>Divers types de déchets sont rencontrés notamment des déchets ménagers et des déchets</w:t>
      </w:r>
      <w:r w:rsidR="0060481D">
        <w:rPr>
          <w:sz w:val="22"/>
          <w:szCs w:val="22"/>
        </w:rPr>
        <w:t xml:space="preserve"> de chantier ou des déchets issus de l’utilisation des </w:t>
      </w:r>
      <w:r w:rsidR="00301AB0">
        <w:rPr>
          <w:sz w:val="22"/>
          <w:szCs w:val="22"/>
        </w:rPr>
        <w:t>produits de pesticide.</w:t>
      </w:r>
    </w:p>
    <w:p w:rsidR="000E2021" w:rsidRPr="004E5D31" w:rsidRDefault="000E2021" w:rsidP="005E613E">
      <w:pPr>
        <w:tabs>
          <w:tab w:val="left" w:pos="8647"/>
        </w:tabs>
        <w:ind w:left="284" w:right="-851"/>
        <w:jc w:val="both"/>
        <w:rPr>
          <w:sz w:val="22"/>
          <w:szCs w:val="22"/>
        </w:rPr>
      </w:pPr>
      <w:r w:rsidRPr="004E5D31">
        <w:rPr>
          <w:sz w:val="22"/>
          <w:szCs w:val="22"/>
        </w:rPr>
        <w:t xml:space="preserve">Les déchets ménagers proviennent souvent de restes de repas, les sachets plastiques, les emballages, les gobelets, les bouteilles, etc. </w:t>
      </w:r>
    </w:p>
    <w:p w:rsidR="000E2021" w:rsidRPr="004E5D31" w:rsidRDefault="000E2021" w:rsidP="005E613E">
      <w:pPr>
        <w:tabs>
          <w:tab w:val="left" w:pos="8647"/>
        </w:tabs>
        <w:ind w:left="284" w:right="-851"/>
        <w:jc w:val="both"/>
        <w:rPr>
          <w:sz w:val="22"/>
          <w:szCs w:val="22"/>
        </w:rPr>
      </w:pPr>
      <w:r w:rsidRPr="004E5D31">
        <w:rPr>
          <w:sz w:val="22"/>
          <w:szCs w:val="22"/>
        </w:rPr>
        <w:t xml:space="preserve">Des espaces de stockage des déchets de chantier seront aussi aménagés, à proximité des divers lieux d’activités, pour contenir les déchets selon leur type bois, fer, cartons, sachets plastiques, papiers, huiles usagées, etc. </w:t>
      </w:r>
    </w:p>
    <w:p w:rsidR="000E2021" w:rsidRPr="004E5D31" w:rsidRDefault="000E2021" w:rsidP="005E613E">
      <w:pPr>
        <w:tabs>
          <w:tab w:val="left" w:pos="8647"/>
        </w:tabs>
        <w:ind w:left="284" w:right="-851"/>
        <w:jc w:val="both"/>
        <w:rPr>
          <w:sz w:val="22"/>
          <w:szCs w:val="22"/>
        </w:rPr>
      </w:pPr>
    </w:p>
    <w:p w:rsidR="009D1DF9" w:rsidRDefault="000E2021" w:rsidP="005E613E">
      <w:pPr>
        <w:tabs>
          <w:tab w:val="left" w:pos="8647"/>
        </w:tabs>
        <w:spacing w:after="240"/>
        <w:ind w:left="284" w:right="-851"/>
        <w:jc w:val="both"/>
      </w:pPr>
      <w:r w:rsidRPr="004E5D31">
        <w:rPr>
          <w:sz w:val="22"/>
          <w:szCs w:val="22"/>
        </w:rPr>
        <w:t>Les papiers, les cartons, le bois seront déposés au niveau des poubelles et seront régulièrement ramassées et brulés dans un fût amélioré afin d’éviter la production de monoxyde de Carbone. (Ce procède doit faire l’objet d’une autorisation délivrée par l’Autorité en charge de l’environnement. La mission de contrôle devra vérifier l’existence du permis avant le démarrage des travaux)</w:t>
      </w:r>
    </w:p>
    <w:p w:rsidR="000E2021" w:rsidRPr="009D1DF9" w:rsidRDefault="00526D6F" w:rsidP="005E613E">
      <w:pPr>
        <w:tabs>
          <w:tab w:val="left" w:pos="8647"/>
        </w:tabs>
        <w:spacing w:after="240"/>
        <w:ind w:left="284" w:right="-851"/>
        <w:jc w:val="both"/>
        <w:rPr>
          <w:sz w:val="22"/>
          <w:szCs w:val="22"/>
        </w:rPr>
      </w:pPr>
      <w:r>
        <w:rPr>
          <w:sz w:val="22"/>
          <w:szCs w:val="22"/>
        </w:rPr>
        <w:t>Les</w:t>
      </w:r>
      <w:r w:rsidR="000E2021" w:rsidRPr="009D1DF9">
        <w:rPr>
          <w:sz w:val="22"/>
          <w:szCs w:val="22"/>
        </w:rPr>
        <w:t xml:space="preserve"> faibles quantités d’huiles usées seront générées sur le site. Elles seront conditionnées dans des futs hermétiques et entreposées sur un sol protégé, à l’abri des eaux de pluie dans un lieu sécurisé en attendant leur récupération pour autres utilisations écologiquement acceptable.</w:t>
      </w:r>
    </w:p>
    <w:p w:rsidR="000E2021" w:rsidRPr="00064F08" w:rsidRDefault="000E2021" w:rsidP="00064F08">
      <w:pPr>
        <w:tabs>
          <w:tab w:val="left" w:pos="8647"/>
        </w:tabs>
        <w:spacing w:after="240"/>
        <w:ind w:left="284" w:right="-851"/>
        <w:jc w:val="both"/>
        <w:rPr>
          <w:sz w:val="22"/>
          <w:szCs w:val="22"/>
        </w:rPr>
      </w:pPr>
      <w:r w:rsidRPr="009D1DF9">
        <w:rPr>
          <w:sz w:val="22"/>
          <w:szCs w:val="22"/>
        </w:rPr>
        <w:t>Pour les grandes quantités d’huiles (vidange de camions et engins), nous privilégierons le recours aux stations de service les plus proches pour vidanger de manière sécurisée.</w:t>
      </w:r>
    </w:p>
    <w:p w:rsidR="000E2021" w:rsidRPr="00206F59" w:rsidRDefault="000E2021" w:rsidP="000E2021">
      <w:pPr>
        <w:jc w:val="center"/>
        <w:rPr>
          <w:b/>
        </w:rPr>
      </w:pPr>
      <w:bookmarkStart w:id="555" w:name="_Toc535408499"/>
      <w:bookmarkStart w:id="556" w:name="_Toc11158781"/>
      <w:bookmarkStart w:id="557" w:name="_Toc51084866"/>
      <w:bookmarkStart w:id="558" w:name="_Toc73522632"/>
      <w:r w:rsidRPr="00206F59">
        <w:rPr>
          <w:b/>
          <w:noProof/>
          <w:lang w:val="pt-PT" w:eastAsia="pt-PT"/>
        </w:rPr>
        <w:drawing>
          <wp:anchor distT="0" distB="0" distL="114300" distR="114300" simplePos="0" relativeHeight="251658318" behindDoc="1" locked="0" layoutInCell="1" allowOverlap="1" wp14:anchorId="2C091453" wp14:editId="735D8752">
            <wp:simplePos x="0" y="0"/>
            <wp:positionH relativeFrom="margin">
              <wp:posOffset>4210050</wp:posOffset>
            </wp:positionH>
            <wp:positionV relativeFrom="margin">
              <wp:posOffset>-76418440</wp:posOffset>
            </wp:positionV>
            <wp:extent cx="3600450" cy="2427605"/>
            <wp:effectExtent l="0" t="0" r="0" b="0"/>
            <wp:wrapTight wrapText="bothSides">
              <wp:wrapPolygon edited="0">
                <wp:start x="0" y="0"/>
                <wp:lineTo x="0" y="21357"/>
                <wp:lineTo x="21486" y="21357"/>
                <wp:lineTo x="21486" y="0"/>
                <wp:lineTo x="0" y="0"/>
              </wp:wrapPolygon>
            </wp:wrapTight>
            <wp:docPr id="9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600450"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F59">
        <w:rPr>
          <w:b/>
          <w:sz w:val="20"/>
          <w:szCs w:val="20"/>
        </w:rPr>
        <w:t xml:space="preserve">Tableau </w:t>
      </w:r>
      <w:r w:rsidRPr="00206F59">
        <w:rPr>
          <w:b/>
          <w:sz w:val="20"/>
          <w:szCs w:val="20"/>
        </w:rPr>
        <w:fldChar w:fldCharType="begin"/>
      </w:r>
      <w:r w:rsidRPr="00206F59">
        <w:rPr>
          <w:b/>
          <w:sz w:val="20"/>
          <w:szCs w:val="20"/>
        </w:rPr>
        <w:instrText xml:space="preserve"> SEQ Tableau \* ARABIC </w:instrText>
      </w:r>
      <w:r w:rsidRPr="00206F59">
        <w:rPr>
          <w:b/>
          <w:sz w:val="20"/>
          <w:szCs w:val="20"/>
        </w:rPr>
        <w:fldChar w:fldCharType="separate"/>
      </w:r>
      <w:r>
        <w:rPr>
          <w:b/>
          <w:noProof/>
          <w:sz w:val="20"/>
          <w:szCs w:val="20"/>
        </w:rPr>
        <w:t>27</w:t>
      </w:r>
      <w:r w:rsidRPr="00206F59">
        <w:rPr>
          <w:b/>
          <w:sz w:val="20"/>
          <w:szCs w:val="20"/>
        </w:rPr>
        <w:fldChar w:fldCharType="end"/>
      </w:r>
      <w:r w:rsidRPr="00206F59">
        <w:rPr>
          <w:b/>
          <w:sz w:val="20"/>
          <w:szCs w:val="20"/>
        </w:rPr>
        <w:t xml:space="preserve"> : Plan indicatif de gestion des déchets de chantier</w:t>
      </w:r>
      <w:bookmarkEnd w:id="555"/>
      <w:bookmarkEnd w:id="556"/>
      <w:bookmarkEnd w:id="557"/>
      <w:bookmarkEnd w:id="55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724"/>
        <w:gridCol w:w="2068"/>
        <w:gridCol w:w="2442"/>
        <w:gridCol w:w="1590"/>
      </w:tblGrid>
      <w:tr w:rsidR="000E2021" w:rsidRPr="00206F59" w:rsidTr="000E2021">
        <w:tc>
          <w:tcPr>
            <w:tcW w:w="2023" w:type="dxa"/>
            <w:shd w:val="clear" w:color="auto" w:fill="1F3864"/>
            <w:vAlign w:val="center"/>
          </w:tcPr>
          <w:p w:rsidR="000E2021" w:rsidRPr="00206F59" w:rsidRDefault="000E2021" w:rsidP="000E2021">
            <w:pPr>
              <w:jc w:val="center"/>
              <w:rPr>
                <w:b/>
              </w:rPr>
            </w:pPr>
            <w:r w:rsidRPr="00206F59">
              <w:rPr>
                <w:b/>
              </w:rPr>
              <w:t>NATURE DES DECHETS</w:t>
            </w:r>
          </w:p>
        </w:tc>
        <w:tc>
          <w:tcPr>
            <w:tcW w:w="1573" w:type="dxa"/>
            <w:shd w:val="clear" w:color="auto" w:fill="1F3864"/>
            <w:vAlign w:val="center"/>
          </w:tcPr>
          <w:p w:rsidR="000E2021" w:rsidRPr="00206F59" w:rsidRDefault="000E2021" w:rsidP="000E2021">
            <w:pPr>
              <w:jc w:val="center"/>
              <w:rPr>
                <w:b/>
              </w:rPr>
            </w:pPr>
            <w:r w:rsidRPr="00206F59">
              <w:rPr>
                <w:b/>
              </w:rPr>
              <w:t>QUANTITE MENSUELLE</w:t>
            </w:r>
          </w:p>
        </w:tc>
        <w:tc>
          <w:tcPr>
            <w:tcW w:w="2155" w:type="dxa"/>
            <w:shd w:val="clear" w:color="auto" w:fill="1F3864"/>
            <w:vAlign w:val="center"/>
          </w:tcPr>
          <w:p w:rsidR="000E2021" w:rsidRPr="00206F59" w:rsidRDefault="000E2021" w:rsidP="000E2021">
            <w:pPr>
              <w:jc w:val="center"/>
              <w:rPr>
                <w:b/>
              </w:rPr>
            </w:pPr>
            <w:r w:rsidRPr="00206F59">
              <w:rPr>
                <w:b/>
              </w:rPr>
              <w:t>MODE ET LIEU DE STOCKAGE</w:t>
            </w:r>
          </w:p>
        </w:tc>
        <w:tc>
          <w:tcPr>
            <w:tcW w:w="2492" w:type="dxa"/>
            <w:shd w:val="clear" w:color="auto" w:fill="1F3864"/>
            <w:vAlign w:val="center"/>
          </w:tcPr>
          <w:p w:rsidR="000E2021" w:rsidRPr="00206F59" w:rsidRDefault="000E2021" w:rsidP="000E2021">
            <w:pPr>
              <w:jc w:val="center"/>
              <w:rPr>
                <w:b/>
              </w:rPr>
            </w:pPr>
            <w:r w:rsidRPr="00206F59">
              <w:rPr>
                <w:b/>
              </w:rPr>
              <w:t>MODE D’ELIMINATION</w:t>
            </w:r>
          </w:p>
        </w:tc>
        <w:tc>
          <w:tcPr>
            <w:tcW w:w="1504" w:type="dxa"/>
            <w:shd w:val="clear" w:color="auto" w:fill="1F3864"/>
            <w:vAlign w:val="center"/>
          </w:tcPr>
          <w:p w:rsidR="000E2021" w:rsidRPr="00206F59" w:rsidRDefault="000E2021" w:rsidP="000E2021">
            <w:pPr>
              <w:jc w:val="center"/>
              <w:rPr>
                <w:b/>
              </w:rPr>
            </w:pPr>
            <w:r w:rsidRPr="00206F59">
              <w:rPr>
                <w:b/>
              </w:rPr>
              <w:t>MODE DE CONTRÔLE</w:t>
            </w:r>
          </w:p>
        </w:tc>
      </w:tr>
      <w:tr w:rsidR="000E2021" w:rsidRPr="00206F59" w:rsidTr="000E2021">
        <w:trPr>
          <w:trHeight w:val="2601"/>
        </w:trPr>
        <w:tc>
          <w:tcPr>
            <w:tcW w:w="2023" w:type="dxa"/>
            <w:vAlign w:val="center"/>
          </w:tcPr>
          <w:p w:rsidR="000E2021" w:rsidRPr="00206F59" w:rsidRDefault="000E2021" w:rsidP="000E2021">
            <w:pPr>
              <w:spacing w:after="240"/>
              <w:jc w:val="center"/>
            </w:pPr>
            <w:r w:rsidRPr="00206F59">
              <w:t>Huiles, lubrifiants, carburants, graisses</w:t>
            </w:r>
            <w:r w:rsidR="0045529A">
              <w:t xml:space="preserve">, </w:t>
            </w:r>
            <w:r w:rsidR="00D606FB">
              <w:t>pesticides</w:t>
            </w:r>
          </w:p>
        </w:tc>
        <w:tc>
          <w:tcPr>
            <w:tcW w:w="1573" w:type="dxa"/>
            <w:vAlign w:val="center"/>
          </w:tcPr>
          <w:p w:rsidR="000E2021" w:rsidRPr="00206F59" w:rsidRDefault="000E2021" w:rsidP="000E2021">
            <w:pPr>
              <w:spacing w:after="240"/>
              <w:jc w:val="center"/>
            </w:pPr>
          </w:p>
        </w:tc>
        <w:tc>
          <w:tcPr>
            <w:tcW w:w="2155" w:type="dxa"/>
            <w:vAlign w:val="center"/>
          </w:tcPr>
          <w:p w:rsidR="000E2021" w:rsidRPr="00206F59" w:rsidRDefault="000E2021" w:rsidP="000E2021">
            <w:pPr>
              <w:spacing w:after="240"/>
              <w:jc w:val="center"/>
            </w:pPr>
            <w:r w:rsidRPr="00206F59">
              <w:t>Récupération dans des futs étanches</w:t>
            </w:r>
          </w:p>
          <w:p w:rsidR="000E2021" w:rsidRPr="00206F59" w:rsidRDefault="000E2021" w:rsidP="000E2021">
            <w:pPr>
              <w:spacing w:after="240"/>
              <w:jc w:val="center"/>
            </w:pPr>
            <w:r w:rsidRPr="00206F59">
              <w:t>Stockage sur un sol bétonné à l’abri de l’eau et du feu</w:t>
            </w:r>
          </w:p>
          <w:p w:rsidR="000E2021" w:rsidRPr="00206F59" w:rsidRDefault="000E2021" w:rsidP="000E2021">
            <w:pPr>
              <w:jc w:val="center"/>
            </w:pPr>
            <w:r w:rsidRPr="00206F59">
              <w:t>Stockage</w:t>
            </w:r>
          </w:p>
        </w:tc>
        <w:tc>
          <w:tcPr>
            <w:tcW w:w="2492" w:type="dxa"/>
            <w:vAlign w:val="center"/>
          </w:tcPr>
          <w:p w:rsidR="000E2021" w:rsidRPr="00206F59" w:rsidRDefault="000E2021" w:rsidP="000E2021">
            <w:pPr>
              <w:spacing w:after="240"/>
              <w:jc w:val="center"/>
            </w:pPr>
            <w:r w:rsidRPr="00206F59">
              <w:t>Recyclage par réutilisation</w:t>
            </w:r>
            <w:r>
              <w:t xml:space="preserve"> </w:t>
            </w:r>
            <w:r w:rsidRPr="00560373">
              <w:t>(conforme aux directives HSE de la Banque Mondiale voir point 3.5.)</w:t>
            </w:r>
          </w:p>
        </w:tc>
        <w:tc>
          <w:tcPr>
            <w:tcW w:w="1504" w:type="dxa"/>
            <w:vAlign w:val="center"/>
          </w:tcPr>
          <w:p w:rsidR="000E2021" w:rsidRPr="00206F59" w:rsidRDefault="000E2021" w:rsidP="000E2021">
            <w:pPr>
              <w:spacing w:after="240"/>
              <w:jc w:val="center"/>
            </w:pPr>
            <w:r w:rsidRPr="00206F59">
              <w:t>Photos</w:t>
            </w:r>
          </w:p>
          <w:p w:rsidR="000E2021" w:rsidRPr="00206F59" w:rsidRDefault="000E2021" w:rsidP="000E2021">
            <w:pPr>
              <w:spacing w:after="240"/>
              <w:jc w:val="center"/>
            </w:pPr>
          </w:p>
        </w:tc>
      </w:tr>
      <w:tr w:rsidR="000E2021" w:rsidRPr="00206F59" w:rsidTr="000E2021">
        <w:trPr>
          <w:trHeight w:val="1689"/>
        </w:trPr>
        <w:tc>
          <w:tcPr>
            <w:tcW w:w="2023" w:type="dxa"/>
            <w:vAlign w:val="center"/>
          </w:tcPr>
          <w:p w:rsidR="000E2021" w:rsidRPr="00206F59" w:rsidRDefault="000E2021" w:rsidP="000E2021">
            <w:pPr>
              <w:spacing w:after="240"/>
              <w:jc w:val="center"/>
            </w:pPr>
            <w:r w:rsidRPr="00206F59">
              <w:t>Papier- bois- carton</w:t>
            </w:r>
            <w:r w:rsidR="00D606FB">
              <w:t> - boudons</w:t>
            </w:r>
          </w:p>
        </w:tc>
        <w:tc>
          <w:tcPr>
            <w:tcW w:w="1573" w:type="dxa"/>
            <w:vAlign w:val="center"/>
          </w:tcPr>
          <w:p w:rsidR="000E2021" w:rsidRPr="00206F59" w:rsidRDefault="000E2021" w:rsidP="000E2021">
            <w:pPr>
              <w:spacing w:after="240"/>
              <w:jc w:val="center"/>
            </w:pPr>
          </w:p>
        </w:tc>
        <w:tc>
          <w:tcPr>
            <w:tcW w:w="2155" w:type="dxa"/>
            <w:vAlign w:val="center"/>
          </w:tcPr>
          <w:p w:rsidR="000E2021" w:rsidRPr="00206F59" w:rsidRDefault="000E2021" w:rsidP="000E2021">
            <w:pPr>
              <w:spacing w:after="240"/>
              <w:jc w:val="center"/>
            </w:pPr>
            <w:r w:rsidRPr="00206F59">
              <w:t>Stockage dans des poubelles</w:t>
            </w:r>
          </w:p>
          <w:p w:rsidR="000E2021" w:rsidRPr="00206F59" w:rsidRDefault="000E2021" w:rsidP="000E2021">
            <w:pPr>
              <w:jc w:val="center"/>
            </w:pPr>
            <w:r w:rsidRPr="00206F59">
              <w:t>Brulage dans incinérateur de jardin</w:t>
            </w:r>
          </w:p>
        </w:tc>
        <w:tc>
          <w:tcPr>
            <w:tcW w:w="2492" w:type="dxa"/>
            <w:vAlign w:val="center"/>
          </w:tcPr>
          <w:p w:rsidR="000E2021" w:rsidRPr="00206F59" w:rsidRDefault="000E2021" w:rsidP="000E2021">
            <w:pPr>
              <w:spacing w:after="240"/>
              <w:jc w:val="center"/>
            </w:pPr>
            <w:r w:rsidRPr="00206F59">
              <w:t>Brulage journalier par combustion complète</w:t>
            </w:r>
            <w:r>
              <w:t xml:space="preserve"> (NB : </w:t>
            </w:r>
            <w:r w:rsidRPr="0075081D">
              <w:rPr>
                <w:sz w:val="20"/>
                <w:szCs w:val="20"/>
              </w:rPr>
              <w:t>Ce brûlage doit faire l’objet d’une autorisation délivrée par l’Autorité en charge de l’environnement. La mission de contrôle devra vérifier l’existence du permis avant le démarrage des travaux</w:t>
            </w:r>
            <w:r>
              <w:rPr>
                <w:sz w:val="20"/>
                <w:szCs w:val="20"/>
              </w:rPr>
              <w:t>)</w:t>
            </w:r>
          </w:p>
        </w:tc>
        <w:tc>
          <w:tcPr>
            <w:tcW w:w="1504" w:type="dxa"/>
            <w:vAlign w:val="center"/>
          </w:tcPr>
          <w:p w:rsidR="000E2021" w:rsidRPr="00206F59" w:rsidRDefault="000E2021" w:rsidP="000E2021">
            <w:pPr>
              <w:spacing w:after="240"/>
              <w:jc w:val="center"/>
            </w:pPr>
            <w:r w:rsidRPr="00206F59">
              <w:t>Photos</w:t>
            </w:r>
          </w:p>
        </w:tc>
      </w:tr>
    </w:tbl>
    <w:p w:rsidR="000E2021" w:rsidRPr="00206F59" w:rsidRDefault="000E2021" w:rsidP="000E2021">
      <w:pPr>
        <w:overflowPunct w:val="0"/>
        <w:autoSpaceDE w:val="0"/>
        <w:autoSpaceDN w:val="0"/>
        <w:adjustRightInd w:val="0"/>
        <w:spacing w:line="276" w:lineRule="auto"/>
        <w:rPr>
          <w:b/>
          <w:bCs/>
        </w:rPr>
      </w:pPr>
    </w:p>
    <w:p w:rsidR="000E2021" w:rsidRPr="00C904CB" w:rsidRDefault="000E2021" w:rsidP="005E613E">
      <w:pPr>
        <w:spacing w:after="240"/>
        <w:ind w:left="284" w:right="-851"/>
        <w:jc w:val="both"/>
        <w:rPr>
          <w:sz w:val="22"/>
          <w:szCs w:val="22"/>
        </w:rPr>
      </w:pPr>
      <w:r w:rsidRPr="00C904CB">
        <w:rPr>
          <w:sz w:val="22"/>
          <w:szCs w:val="22"/>
        </w:rPr>
        <w:t>Souvent, au cours des travaux, les activ</w:t>
      </w:r>
      <w:r w:rsidR="00FD1B51">
        <w:rPr>
          <w:sz w:val="22"/>
          <w:szCs w:val="22"/>
        </w:rPr>
        <w:t xml:space="preserve">ités du </w:t>
      </w:r>
      <w:r w:rsidR="00392A82">
        <w:rPr>
          <w:sz w:val="22"/>
          <w:szCs w:val="22"/>
        </w:rPr>
        <w:t xml:space="preserve">projet </w:t>
      </w:r>
      <w:r w:rsidR="00392A82" w:rsidRPr="00C904CB">
        <w:rPr>
          <w:sz w:val="22"/>
          <w:szCs w:val="22"/>
        </w:rPr>
        <w:t>sont</w:t>
      </w:r>
      <w:r w:rsidRPr="00C904CB">
        <w:rPr>
          <w:sz w:val="22"/>
          <w:szCs w:val="22"/>
        </w:rPr>
        <w:t xml:space="preserve"> à l’origine de la production de grandes quantités de déchets solides et liquides (destruction de constructions, abattage d’arbres, production de déchets plastiques, de bois, de cartons, de batteries usagées, d’huile de vidange, de</w:t>
      </w:r>
      <w:r w:rsidR="00CC5704">
        <w:rPr>
          <w:sz w:val="22"/>
          <w:szCs w:val="22"/>
        </w:rPr>
        <w:t xml:space="preserve"> pièces de rechange mécaniques </w:t>
      </w:r>
      <w:r w:rsidRPr="00C904CB">
        <w:rPr>
          <w:sz w:val="22"/>
          <w:szCs w:val="22"/>
        </w:rPr>
        <w:t>et de toutes sortes de déchets dangereux ou spéciaux) et qu’il faudra gérer rigoureusement. Ces déchets viennent s’ajouter aux déchets déjà produits par les populations riveraines</w:t>
      </w:r>
    </w:p>
    <w:p w:rsidR="003E37D5" w:rsidRPr="00C904CB" w:rsidRDefault="000E2021" w:rsidP="005E613E">
      <w:pPr>
        <w:spacing w:after="240"/>
        <w:ind w:left="284" w:right="-851"/>
        <w:jc w:val="both"/>
        <w:rPr>
          <w:sz w:val="22"/>
          <w:szCs w:val="22"/>
        </w:rPr>
      </w:pPr>
      <w:r w:rsidRPr="00C904CB">
        <w:rPr>
          <w:sz w:val="22"/>
          <w:szCs w:val="22"/>
        </w:rPr>
        <w:t xml:space="preserve">Les </w:t>
      </w:r>
      <w:r w:rsidR="00767235">
        <w:rPr>
          <w:sz w:val="22"/>
          <w:szCs w:val="22"/>
        </w:rPr>
        <w:t xml:space="preserve">activités </w:t>
      </w:r>
      <w:r w:rsidR="00A03441">
        <w:rPr>
          <w:sz w:val="22"/>
          <w:szCs w:val="22"/>
        </w:rPr>
        <w:t xml:space="preserve">du projet PUSA </w:t>
      </w:r>
      <w:r w:rsidRPr="00C904CB">
        <w:rPr>
          <w:sz w:val="22"/>
          <w:szCs w:val="22"/>
        </w:rPr>
        <w:t>sont en général une source de grande production de déchets solides au n</w:t>
      </w:r>
      <w:r w:rsidR="00A03441">
        <w:rPr>
          <w:sz w:val="22"/>
          <w:szCs w:val="22"/>
        </w:rPr>
        <w:t xml:space="preserve">iveau des </w:t>
      </w:r>
      <w:r w:rsidR="005972A1">
        <w:rPr>
          <w:sz w:val="22"/>
          <w:szCs w:val="22"/>
        </w:rPr>
        <w:t xml:space="preserve">champ agricole ou </w:t>
      </w:r>
      <w:r w:rsidR="0046068D">
        <w:rPr>
          <w:sz w:val="22"/>
          <w:szCs w:val="22"/>
        </w:rPr>
        <w:t>au niveau des zones de construction des pistes d’accès</w:t>
      </w:r>
      <w:r w:rsidR="00EF1D6E">
        <w:rPr>
          <w:sz w:val="22"/>
          <w:szCs w:val="22"/>
        </w:rPr>
        <w:t>, des marchés, etc…</w:t>
      </w:r>
    </w:p>
    <w:p w:rsidR="000E2021" w:rsidRPr="00C904CB" w:rsidRDefault="000E2021" w:rsidP="005E613E">
      <w:pPr>
        <w:spacing w:after="240"/>
        <w:ind w:left="284" w:right="-851"/>
        <w:jc w:val="both"/>
        <w:rPr>
          <w:sz w:val="22"/>
          <w:szCs w:val="22"/>
        </w:rPr>
      </w:pPr>
      <w:r w:rsidRPr="00C904CB">
        <w:rPr>
          <w:sz w:val="22"/>
          <w:szCs w:val="22"/>
        </w:rPr>
        <w:t>Ainsi, pour une gestion écologiquement rationnelle de ces déchets, lors des travaux, plusieurs recommandations et suggestions sont formulées :</w:t>
      </w:r>
    </w:p>
    <w:p w:rsidR="000E2021" w:rsidRPr="00392A82" w:rsidRDefault="000E2021" w:rsidP="005E613E">
      <w:pPr>
        <w:ind w:left="284" w:right="-851"/>
        <w:jc w:val="both"/>
        <w:rPr>
          <w:sz w:val="22"/>
          <w:szCs w:val="22"/>
        </w:rPr>
      </w:pPr>
      <w:r w:rsidRPr="00392A82">
        <w:rPr>
          <w:b/>
          <w:bCs/>
          <w:sz w:val="22"/>
          <w:szCs w:val="22"/>
        </w:rPr>
        <w:t>R 1</w:t>
      </w:r>
      <w:r w:rsidR="00734678">
        <w:rPr>
          <w:sz w:val="22"/>
          <w:szCs w:val="22"/>
        </w:rPr>
        <w:t xml:space="preserve"> – Il est suggéré à ce que la Banque Mondiale et la FAO</w:t>
      </w:r>
      <w:r w:rsidRPr="00392A82">
        <w:rPr>
          <w:sz w:val="22"/>
          <w:szCs w:val="22"/>
        </w:rPr>
        <w:t xml:space="preserve"> veille</w:t>
      </w:r>
      <w:r w:rsidR="00F9020F">
        <w:rPr>
          <w:sz w:val="22"/>
          <w:szCs w:val="22"/>
        </w:rPr>
        <w:t>nt</w:t>
      </w:r>
      <w:r w:rsidRPr="00392A82">
        <w:rPr>
          <w:sz w:val="22"/>
          <w:szCs w:val="22"/>
        </w:rPr>
        <w:t xml:space="preserve"> à ce que l’entreprise</w:t>
      </w:r>
      <w:r w:rsidR="00CF7338">
        <w:rPr>
          <w:sz w:val="22"/>
          <w:szCs w:val="22"/>
        </w:rPr>
        <w:t xml:space="preserve"> ou le projet PUSA</w:t>
      </w:r>
      <w:r w:rsidR="00EF1D6E">
        <w:rPr>
          <w:sz w:val="22"/>
          <w:szCs w:val="22"/>
        </w:rPr>
        <w:t xml:space="preserve"> </w:t>
      </w:r>
      <w:r w:rsidRPr="00392A82">
        <w:rPr>
          <w:sz w:val="22"/>
          <w:szCs w:val="22"/>
        </w:rPr>
        <w:t xml:space="preserve">présente un </w:t>
      </w:r>
      <w:r w:rsidRPr="00392A82">
        <w:rPr>
          <w:b/>
          <w:sz w:val="22"/>
          <w:szCs w:val="22"/>
          <w:u w:val="single"/>
        </w:rPr>
        <w:t xml:space="preserve">plan de gestion écologiquement rationnel (PGERD) des déchets </w:t>
      </w:r>
      <w:r w:rsidRPr="00392A82">
        <w:rPr>
          <w:sz w:val="22"/>
          <w:szCs w:val="22"/>
        </w:rPr>
        <w:t xml:space="preserve">(Ce plan est un élément essentiel du </w:t>
      </w:r>
      <w:r w:rsidR="00A73BE0">
        <w:rPr>
          <w:sz w:val="22"/>
          <w:szCs w:val="22"/>
        </w:rPr>
        <w:t>AEI</w:t>
      </w:r>
      <w:r w:rsidRPr="00392A82">
        <w:rPr>
          <w:sz w:val="22"/>
          <w:szCs w:val="22"/>
        </w:rPr>
        <w:t xml:space="preserve"> Chantier et il devra être validé par la mission de contrôle et la Banque Mondiale avant le démarrage des travaux.) générés par leurs activités. </w:t>
      </w:r>
    </w:p>
    <w:p w:rsidR="000E2021" w:rsidRPr="00392A82" w:rsidRDefault="000E2021" w:rsidP="005E613E">
      <w:pPr>
        <w:ind w:left="284" w:right="-851"/>
        <w:jc w:val="both"/>
        <w:rPr>
          <w:sz w:val="22"/>
          <w:szCs w:val="22"/>
        </w:rPr>
      </w:pPr>
      <w:r w:rsidRPr="00392A82">
        <w:rPr>
          <w:sz w:val="22"/>
          <w:szCs w:val="22"/>
        </w:rPr>
        <w:t>Ce plan devra comporter au moins :</w:t>
      </w:r>
    </w:p>
    <w:p w:rsidR="000E2021" w:rsidRPr="006209C2" w:rsidRDefault="000E2021" w:rsidP="005E613E">
      <w:pPr>
        <w:numPr>
          <w:ilvl w:val="0"/>
          <w:numId w:val="178"/>
        </w:numPr>
        <w:ind w:right="-851"/>
        <w:jc w:val="both"/>
        <w:rPr>
          <w:sz w:val="22"/>
          <w:szCs w:val="22"/>
        </w:rPr>
      </w:pPr>
      <w:r w:rsidRPr="006209C2">
        <w:rPr>
          <w:sz w:val="22"/>
          <w:szCs w:val="22"/>
        </w:rPr>
        <w:t>mise en place d’un système collectif de ramassage et de stockage des déchets solides sur l’ensemble du chantier sur la base-vie</w:t>
      </w:r>
      <w:r w:rsidR="00C64BFE">
        <w:rPr>
          <w:sz w:val="22"/>
          <w:szCs w:val="22"/>
        </w:rPr>
        <w:t xml:space="preserve"> et des zones agricoles</w:t>
      </w:r>
      <w:r w:rsidRPr="006209C2">
        <w:rPr>
          <w:sz w:val="22"/>
          <w:szCs w:val="22"/>
        </w:rPr>
        <w:t>. La mission de contrôle devra veiller à son effectivité et à son bon fonctionnement ;</w:t>
      </w:r>
    </w:p>
    <w:p w:rsidR="000E2021" w:rsidRPr="006209C2" w:rsidRDefault="000E2021" w:rsidP="005E613E">
      <w:pPr>
        <w:numPr>
          <w:ilvl w:val="0"/>
          <w:numId w:val="178"/>
        </w:numPr>
        <w:tabs>
          <w:tab w:val="num" w:pos="2140"/>
        </w:tabs>
        <w:ind w:right="-851"/>
        <w:jc w:val="both"/>
        <w:rPr>
          <w:sz w:val="22"/>
          <w:szCs w:val="22"/>
        </w:rPr>
      </w:pPr>
      <w:r w:rsidRPr="006209C2">
        <w:rPr>
          <w:sz w:val="22"/>
          <w:szCs w:val="22"/>
        </w:rPr>
        <w:t>utilisation d’une sous-soleuse afin de remuer la terre aux endroits les plus sensibles, particulièrement au niveau des zones cultivées ;</w:t>
      </w:r>
    </w:p>
    <w:p w:rsidR="000E2021" w:rsidRPr="006209C2" w:rsidRDefault="000E2021" w:rsidP="005E613E">
      <w:pPr>
        <w:numPr>
          <w:ilvl w:val="0"/>
          <w:numId w:val="178"/>
        </w:numPr>
        <w:ind w:right="-851"/>
        <w:jc w:val="both"/>
        <w:rPr>
          <w:sz w:val="22"/>
          <w:szCs w:val="22"/>
        </w:rPr>
      </w:pPr>
      <w:r w:rsidRPr="006209C2">
        <w:rPr>
          <w:sz w:val="22"/>
          <w:szCs w:val="22"/>
        </w:rPr>
        <w:t>une liste des sites occupés par l’entreprise ;</w:t>
      </w:r>
    </w:p>
    <w:p w:rsidR="000E2021" w:rsidRPr="006209C2" w:rsidRDefault="000E2021" w:rsidP="005E613E">
      <w:pPr>
        <w:numPr>
          <w:ilvl w:val="0"/>
          <w:numId w:val="178"/>
        </w:numPr>
        <w:ind w:right="-851"/>
        <w:jc w:val="both"/>
        <w:rPr>
          <w:sz w:val="22"/>
          <w:szCs w:val="22"/>
        </w:rPr>
      </w:pPr>
      <w:r w:rsidRPr="006209C2">
        <w:rPr>
          <w:sz w:val="22"/>
          <w:szCs w:val="22"/>
        </w:rPr>
        <w:t>le nombre de conteneurs prévus pour la collecte des déchets générés ;</w:t>
      </w:r>
    </w:p>
    <w:p w:rsidR="000E2021" w:rsidRPr="006209C2" w:rsidRDefault="000E2021" w:rsidP="005E613E">
      <w:pPr>
        <w:numPr>
          <w:ilvl w:val="0"/>
          <w:numId w:val="178"/>
        </w:numPr>
        <w:ind w:right="-851"/>
        <w:jc w:val="both"/>
        <w:rPr>
          <w:sz w:val="22"/>
          <w:szCs w:val="22"/>
        </w:rPr>
      </w:pPr>
      <w:r w:rsidRPr="006209C2">
        <w:rPr>
          <w:sz w:val="22"/>
          <w:szCs w:val="22"/>
        </w:rPr>
        <w:t>le nombre de bacs ou demi-fûts prévus pour recevoir la collecte intermédiaire et journalière des ordures ;</w:t>
      </w:r>
    </w:p>
    <w:p w:rsidR="000E2021" w:rsidRPr="006209C2" w:rsidRDefault="000E2021" w:rsidP="005E613E">
      <w:pPr>
        <w:numPr>
          <w:ilvl w:val="0"/>
          <w:numId w:val="178"/>
        </w:numPr>
        <w:ind w:right="-851"/>
        <w:jc w:val="both"/>
        <w:rPr>
          <w:sz w:val="22"/>
          <w:szCs w:val="22"/>
        </w:rPr>
      </w:pPr>
      <w:r w:rsidRPr="006209C2">
        <w:rPr>
          <w:sz w:val="22"/>
          <w:szCs w:val="22"/>
        </w:rPr>
        <w:t>le nombre de seaux prévus pour les bureaux s’il en existe ;</w:t>
      </w:r>
    </w:p>
    <w:p w:rsidR="000E2021" w:rsidRPr="006209C2" w:rsidRDefault="000E2021" w:rsidP="005E613E">
      <w:pPr>
        <w:numPr>
          <w:ilvl w:val="0"/>
          <w:numId w:val="178"/>
        </w:numPr>
        <w:ind w:right="-851"/>
        <w:jc w:val="both"/>
        <w:rPr>
          <w:sz w:val="22"/>
          <w:szCs w:val="22"/>
        </w:rPr>
      </w:pPr>
      <w:r w:rsidRPr="006209C2">
        <w:rPr>
          <w:sz w:val="22"/>
          <w:szCs w:val="22"/>
        </w:rPr>
        <w:t>le système de tri/séparation à la source des ordures prévu avec au moins trois grandes catégories :</w:t>
      </w:r>
    </w:p>
    <w:p w:rsidR="000E2021" w:rsidRPr="009B1368" w:rsidRDefault="000E2021" w:rsidP="005E613E">
      <w:pPr>
        <w:numPr>
          <w:ilvl w:val="1"/>
          <w:numId w:val="178"/>
        </w:numPr>
        <w:ind w:right="-851"/>
        <w:jc w:val="both"/>
        <w:rPr>
          <w:sz w:val="22"/>
          <w:szCs w:val="22"/>
        </w:rPr>
      </w:pPr>
      <w:r w:rsidRPr="009B1368">
        <w:rPr>
          <w:sz w:val="22"/>
          <w:szCs w:val="22"/>
        </w:rPr>
        <w:t>les déchets souillés (pièces mécaniques usagées, chiffons souillés, batterie morte, filtre à huile, la pneumatique souillée etc.</w:t>
      </w:r>
    </w:p>
    <w:p w:rsidR="000E2021" w:rsidRPr="009B1368" w:rsidRDefault="000E2021" w:rsidP="005E613E">
      <w:pPr>
        <w:numPr>
          <w:ilvl w:val="1"/>
          <w:numId w:val="178"/>
        </w:numPr>
        <w:ind w:right="-851"/>
        <w:jc w:val="both"/>
        <w:rPr>
          <w:sz w:val="22"/>
          <w:szCs w:val="22"/>
        </w:rPr>
      </w:pPr>
      <w:r w:rsidRPr="009B1368">
        <w:rPr>
          <w:sz w:val="22"/>
          <w:szCs w:val="22"/>
        </w:rPr>
        <w:t>le papier, le carton, le bois, etc.</w:t>
      </w:r>
    </w:p>
    <w:p w:rsidR="000E2021" w:rsidRPr="009B1368" w:rsidRDefault="000E2021" w:rsidP="005E613E">
      <w:pPr>
        <w:numPr>
          <w:ilvl w:val="1"/>
          <w:numId w:val="178"/>
        </w:numPr>
        <w:ind w:right="-851"/>
        <w:jc w:val="both"/>
        <w:rPr>
          <w:sz w:val="22"/>
          <w:szCs w:val="22"/>
        </w:rPr>
      </w:pPr>
      <w:r w:rsidRPr="009B1368">
        <w:rPr>
          <w:sz w:val="22"/>
          <w:szCs w:val="22"/>
        </w:rPr>
        <w:t>le plastique, la pneumatique propre, les bouteilles en plastique, etc.</w:t>
      </w:r>
    </w:p>
    <w:p w:rsidR="000E2021" w:rsidRPr="009B1368" w:rsidRDefault="000E2021" w:rsidP="005E613E">
      <w:pPr>
        <w:numPr>
          <w:ilvl w:val="0"/>
          <w:numId w:val="178"/>
        </w:numPr>
        <w:ind w:right="-851"/>
        <w:jc w:val="both"/>
        <w:rPr>
          <w:sz w:val="22"/>
          <w:szCs w:val="22"/>
        </w:rPr>
      </w:pPr>
      <w:r w:rsidRPr="009B1368">
        <w:rPr>
          <w:sz w:val="22"/>
          <w:szCs w:val="22"/>
        </w:rPr>
        <w:t>le nombre de fûts prévus pour la collecte des huiles usagées ;</w:t>
      </w:r>
    </w:p>
    <w:p w:rsidR="000E2021" w:rsidRPr="009B1368" w:rsidRDefault="000E2021" w:rsidP="005E613E">
      <w:pPr>
        <w:numPr>
          <w:ilvl w:val="0"/>
          <w:numId w:val="178"/>
        </w:numPr>
        <w:ind w:right="-851"/>
        <w:jc w:val="both"/>
        <w:rPr>
          <w:sz w:val="22"/>
          <w:szCs w:val="22"/>
        </w:rPr>
      </w:pPr>
      <w:r w:rsidRPr="009B1368">
        <w:rPr>
          <w:sz w:val="22"/>
          <w:szCs w:val="22"/>
        </w:rPr>
        <w:t>le nombre de séances de nettoyage des sites occupés par mois (au moins 4 fois par mois) ;</w:t>
      </w:r>
    </w:p>
    <w:p w:rsidR="000E2021" w:rsidRPr="009B1368" w:rsidRDefault="000E2021" w:rsidP="005E613E">
      <w:pPr>
        <w:numPr>
          <w:ilvl w:val="0"/>
          <w:numId w:val="178"/>
        </w:numPr>
        <w:ind w:right="-851"/>
        <w:jc w:val="both"/>
        <w:rPr>
          <w:sz w:val="22"/>
          <w:szCs w:val="22"/>
        </w:rPr>
      </w:pPr>
      <w:r w:rsidRPr="009B1368">
        <w:rPr>
          <w:sz w:val="22"/>
          <w:szCs w:val="22"/>
        </w:rPr>
        <w:t>le système d’évacuation de ces déchets vers une décharge contrôlée ou vers un dépotoir prévu à cet effet ou par incinération dans des fûts améliorés (trous d’aération) pour une combustion complète ;</w:t>
      </w:r>
    </w:p>
    <w:p w:rsidR="000E2021" w:rsidRPr="009B1368" w:rsidRDefault="000E2021" w:rsidP="005E613E">
      <w:pPr>
        <w:ind w:left="-284" w:right="-851"/>
        <w:jc w:val="both"/>
        <w:rPr>
          <w:sz w:val="22"/>
          <w:szCs w:val="22"/>
        </w:rPr>
      </w:pPr>
    </w:p>
    <w:p w:rsidR="000E2021" w:rsidRPr="009B1368" w:rsidRDefault="000E2021" w:rsidP="005E613E">
      <w:pPr>
        <w:ind w:left="284" w:right="-851"/>
        <w:jc w:val="both"/>
        <w:rPr>
          <w:sz w:val="22"/>
          <w:szCs w:val="22"/>
        </w:rPr>
      </w:pPr>
      <w:r w:rsidRPr="009B1368">
        <w:rPr>
          <w:sz w:val="22"/>
          <w:szCs w:val="22"/>
        </w:rPr>
        <w:t xml:space="preserve">La restructuration à ceci de bien que, lorsque les routes secondaires seront construites, les camions de ramassage des ordures ménagères pourront se rapprocher des populations plus fréquemment et ainsi collecter plus de déchets et plus rapidement. </w:t>
      </w:r>
    </w:p>
    <w:p w:rsidR="000E2021" w:rsidRDefault="000E2021" w:rsidP="005E613E">
      <w:pPr>
        <w:ind w:left="284" w:right="-851"/>
        <w:jc w:val="both"/>
        <w:rPr>
          <w:sz w:val="22"/>
          <w:szCs w:val="22"/>
        </w:rPr>
      </w:pPr>
      <w:r w:rsidRPr="009B1368">
        <w:rPr>
          <w:sz w:val="22"/>
          <w:szCs w:val="22"/>
        </w:rPr>
        <w:t xml:space="preserve">Il restera toujours quelques poches plus éloignées des routes secondaires mais dont les déchets pourront être collectés suivant un plan de ramassage bien établi. </w:t>
      </w:r>
    </w:p>
    <w:p w:rsidR="00A06D24" w:rsidRPr="009B1368" w:rsidRDefault="00A06D24" w:rsidP="005E613E">
      <w:pPr>
        <w:ind w:left="284" w:right="-851"/>
        <w:jc w:val="both"/>
        <w:rPr>
          <w:sz w:val="22"/>
          <w:szCs w:val="22"/>
        </w:rPr>
      </w:pPr>
    </w:p>
    <w:p w:rsidR="000E2021" w:rsidRDefault="000E2021" w:rsidP="005E613E">
      <w:pPr>
        <w:ind w:left="284" w:right="-851"/>
        <w:jc w:val="both"/>
        <w:rPr>
          <w:sz w:val="22"/>
          <w:szCs w:val="22"/>
        </w:rPr>
      </w:pPr>
      <w:r w:rsidRPr="00B5385B">
        <w:rPr>
          <w:b/>
          <w:bCs/>
          <w:sz w:val="22"/>
          <w:szCs w:val="22"/>
        </w:rPr>
        <w:t>R 2</w:t>
      </w:r>
      <w:r w:rsidRPr="00B5385B">
        <w:rPr>
          <w:sz w:val="22"/>
          <w:szCs w:val="22"/>
        </w:rPr>
        <w:t xml:space="preserve"> – Il est fortement conseillé à l’entreprise </w:t>
      </w:r>
      <w:r w:rsidR="000E372B">
        <w:rPr>
          <w:sz w:val="22"/>
          <w:szCs w:val="22"/>
        </w:rPr>
        <w:t xml:space="preserve">et au Projet </w:t>
      </w:r>
      <w:r w:rsidRPr="00B5385B">
        <w:rPr>
          <w:sz w:val="22"/>
          <w:szCs w:val="22"/>
        </w:rPr>
        <w:t>de contracter une prestation de service avec un spécialiste du nettoyage et du balayage ou avec des personnes individuelles ou ONGs pour effectuer régulièrement le nettoyage et l’entretien du sol des sites occupés par l’entreprise.</w:t>
      </w:r>
    </w:p>
    <w:p w:rsidR="000E372B" w:rsidRPr="00B5385B" w:rsidRDefault="000E372B" w:rsidP="005E613E">
      <w:pPr>
        <w:ind w:left="284" w:right="-851"/>
        <w:jc w:val="both"/>
        <w:rPr>
          <w:sz w:val="22"/>
          <w:szCs w:val="22"/>
        </w:rPr>
      </w:pPr>
    </w:p>
    <w:p w:rsidR="000E2021" w:rsidRDefault="000E2021" w:rsidP="005E613E">
      <w:pPr>
        <w:ind w:left="284" w:right="-851"/>
        <w:jc w:val="both"/>
        <w:rPr>
          <w:sz w:val="22"/>
          <w:szCs w:val="22"/>
        </w:rPr>
      </w:pPr>
      <w:r w:rsidRPr="00B5385B">
        <w:rPr>
          <w:b/>
          <w:sz w:val="22"/>
          <w:szCs w:val="22"/>
        </w:rPr>
        <w:t>R 3</w:t>
      </w:r>
      <w:r w:rsidRPr="00B5385B">
        <w:rPr>
          <w:sz w:val="22"/>
          <w:szCs w:val="22"/>
        </w:rPr>
        <w:t>– Pour la gestion des huiles usées, il est fortement recommandé à l’entreprise de construire un réceptacle en béton capable de stocker provisoirement ces huiles usées dans des fûts hermétiques</w:t>
      </w:r>
      <w:r w:rsidR="000E35AF" w:rsidRPr="000E35AF">
        <w:rPr>
          <w:b/>
          <w:sz w:val="22"/>
          <w:szCs w:val="22"/>
        </w:rPr>
        <w:t>.</w:t>
      </w:r>
      <w:r w:rsidR="000E35AF">
        <w:rPr>
          <w:b/>
          <w:sz w:val="22"/>
          <w:szCs w:val="22"/>
        </w:rPr>
        <w:t xml:space="preserve"> </w:t>
      </w:r>
      <w:r w:rsidRPr="00B5385B">
        <w:rPr>
          <w:b/>
          <w:sz w:val="22"/>
          <w:szCs w:val="22"/>
        </w:rPr>
        <w:t xml:space="preserve"> </w:t>
      </w:r>
      <w:r w:rsidRPr="00B5385B">
        <w:rPr>
          <w:sz w:val="22"/>
          <w:szCs w:val="22"/>
        </w:rPr>
        <w:t>Mais aussi, Penser également à couvrir la zone de stockage des huiles usagées si elle ne dispose pas d’un système de drainage et de collecte des eaux pluviales.</w:t>
      </w:r>
    </w:p>
    <w:p w:rsidR="00781DBD" w:rsidRPr="00B5385B" w:rsidRDefault="00781DBD" w:rsidP="005E613E">
      <w:pPr>
        <w:ind w:left="284" w:right="-851"/>
        <w:jc w:val="both"/>
        <w:rPr>
          <w:sz w:val="22"/>
          <w:szCs w:val="22"/>
        </w:rPr>
      </w:pPr>
    </w:p>
    <w:p w:rsidR="000E2021" w:rsidRPr="00B5385B" w:rsidRDefault="000E2021" w:rsidP="005E613E">
      <w:pPr>
        <w:ind w:left="284" w:right="-851"/>
        <w:jc w:val="both"/>
        <w:rPr>
          <w:sz w:val="22"/>
          <w:szCs w:val="22"/>
        </w:rPr>
      </w:pPr>
      <w:r w:rsidRPr="00B5385B">
        <w:rPr>
          <w:b/>
          <w:sz w:val="22"/>
          <w:szCs w:val="22"/>
        </w:rPr>
        <w:t>R 4</w:t>
      </w:r>
      <w:r w:rsidRPr="00B5385B">
        <w:rPr>
          <w:sz w:val="22"/>
          <w:szCs w:val="22"/>
        </w:rPr>
        <w:t xml:space="preserve"> – Il est aussi fortement recommandé à l’entreprise de veiller à la construction d’un bassin en béton pour y collecter tous les déchets solides souillés comme les filtres à huile, les batteries mortes, etc. Si le fond du bassin est bétonné, le risque de contamination de la nappe est très réduit. Ce bassin permettra à la fin des travaux, de pouvoir verser du béton sur ces déchets afin de les stabiliser au maximum (cette procédure doit faire l’objet d’une concertation avec l’Autorité en charge de l’environnement et la délivrance d’une autorisation). </w:t>
      </w:r>
    </w:p>
    <w:p w:rsidR="000E2021" w:rsidRPr="00B5385B" w:rsidRDefault="000E2021" w:rsidP="005E613E">
      <w:pPr>
        <w:ind w:left="284" w:right="-851"/>
        <w:jc w:val="both"/>
        <w:rPr>
          <w:sz w:val="22"/>
          <w:szCs w:val="22"/>
        </w:rPr>
      </w:pPr>
      <w:r w:rsidRPr="00B5385B">
        <w:rPr>
          <w:sz w:val="22"/>
          <w:szCs w:val="22"/>
        </w:rPr>
        <w:t xml:space="preserve">Il est important de penser à couvrir le bassin avec des tôles pour empêcher que l’eau de pluie ne rentre en contact avec l’huile usagée et ainsi ruisseler en dehors du réceptacle bétonné. </w:t>
      </w:r>
    </w:p>
    <w:p w:rsidR="000E2021" w:rsidRDefault="000E2021" w:rsidP="005E613E">
      <w:pPr>
        <w:ind w:left="284" w:right="-851"/>
        <w:jc w:val="both"/>
        <w:rPr>
          <w:sz w:val="22"/>
          <w:szCs w:val="22"/>
        </w:rPr>
      </w:pPr>
      <w:r w:rsidRPr="00B5385B">
        <w:rPr>
          <w:b/>
          <w:sz w:val="22"/>
          <w:szCs w:val="22"/>
        </w:rPr>
        <w:t>R 5</w:t>
      </w:r>
      <w:r w:rsidRPr="00B5385B">
        <w:rPr>
          <w:sz w:val="22"/>
          <w:szCs w:val="22"/>
        </w:rPr>
        <w:t xml:space="preserve"> – Par anticipation, l’entreprise pourra choisir son fournisseur en huile en fonction de sa capacité à reprendre gratuitement ou à moindre coûts les fûts d’huiles usées déjà pré-conditionnés. Elle pourra aussi dans certains cas contracter avec un repreneur qui pourra récupérer les huiles usagées suivant une fréquence bien définies.</w:t>
      </w:r>
    </w:p>
    <w:p w:rsidR="001537A8" w:rsidRPr="00B5385B" w:rsidRDefault="001537A8" w:rsidP="005E613E">
      <w:pPr>
        <w:ind w:left="284" w:right="-851"/>
        <w:jc w:val="both"/>
        <w:rPr>
          <w:sz w:val="22"/>
          <w:szCs w:val="22"/>
        </w:rPr>
      </w:pPr>
    </w:p>
    <w:p w:rsidR="000E2021" w:rsidRPr="00E81F27" w:rsidRDefault="000E2021" w:rsidP="005E613E">
      <w:pPr>
        <w:pStyle w:val="PargrafodaLista"/>
        <w:numPr>
          <w:ilvl w:val="0"/>
          <w:numId w:val="180"/>
        </w:numPr>
        <w:ind w:right="-851"/>
        <w:jc w:val="both"/>
        <w:rPr>
          <w:rFonts w:ascii="Times New Roman" w:hAnsi="Times New Roman"/>
          <w:b/>
          <w:sz w:val="24"/>
          <w:szCs w:val="24"/>
        </w:rPr>
      </w:pPr>
      <w:r w:rsidRPr="00E81F27">
        <w:rPr>
          <w:rFonts w:ascii="Times New Roman" w:hAnsi="Times New Roman"/>
          <w:b/>
          <w:sz w:val="24"/>
          <w:szCs w:val="24"/>
        </w:rPr>
        <w:t>En phase d’exploitation</w:t>
      </w:r>
    </w:p>
    <w:p w:rsidR="000E2021" w:rsidRPr="001537A8" w:rsidRDefault="000E2021" w:rsidP="005E613E">
      <w:pPr>
        <w:ind w:left="284" w:right="-851"/>
        <w:jc w:val="both"/>
        <w:rPr>
          <w:sz w:val="22"/>
          <w:szCs w:val="22"/>
        </w:rPr>
      </w:pPr>
      <w:r w:rsidRPr="001537A8">
        <w:rPr>
          <w:sz w:val="22"/>
          <w:szCs w:val="22"/>
        </w:rPr>
        <w:t>Les déchets étant de plus en plus nombreux car la société de consommation produit de plus en plus d’objets qui ne sont pas réutilisés, alors ils sont jetés dans nos poubelles. Et quand tout est mélangé, on ne récupère rien donc les déchets sont soit brulés ou mis en décharge.</w:t>
      </w:r>
    </w:p>
    <w:p w:rsidR="000E2021" w:rsidRPr="001537A8" w:rsidRDefault="000E2021" w:rsidP="005E613E">
      <w:pPr>
        <w:ind w:left="284" w:right="-851"/>
        <w:jc w:val="both"/>
        <w:rPr>
          <w:sz w:val="22"/>
          <w:szCs w:val="22"/>
        </w:rPr>
      </w:pPr>
      <w:r w:rsidRPr="001537A8">
        <w:rPr>
          <w:sz w:val="22"/>
          <w:szCs w:val="22"/>
        </w:rPr>
        <w:t>Ainsi pour une bonne gestion des déchets et la protection de la nature nous recommandons fortement de mettre en place un système de tri sélectif.</w:t>
      </w:r>
    </w:p>
    <w:p w:rsidR="000E2021" w:rsidRPr="001537A8" w:rsidRDefault="000E2021" w:rsidP="005E613E">
      <w:pPr>
        <w:ind w:left="284" w:right="-851"/>
        <w:jc w:val="both"/>
        <w:rPr>
          <w:sz w:val="22"/>
          <w:szCs w:val="22"/>
        </w:rPr>
      </w:pPr>
      <w:r w:rsidRPr="001537A8">
        <w:rPr>
          <w:sz w:val="22"/>
          <w:szCs w:val="22"/>
        </w:rPr>
        <w:t>Cela demande juste une organisation au niveau des différents immeubles, il faudra installer :</w:t>
      </w:r>
    </w:p>
    <w:p w:rsidR="000E2021" w:rsidRPr="008D3D7E" w:rsidRDefault="000E2021" w:rsidP="005E613E">
      <w:pPr>
        <w:pStyle w:val="PargrafodaLista"/>
        <w:numPr>
          <w:ilvl w:val="0"/>
          <w:numId w:val="179"/>
        </w:numPr>
        <w:spacing w:after="0" w:line="240" w:lineRule="auto"/>
        <w:ind w:right="-851"/>
        <w:contextualSpacing w:val="0"/>
        <w:jc w:val="both"/>
        <w:rPr>
          <w:rFonts w:ascii="Times New Roman" w:hAnsi="Times New Roman"/>
          <w:sz w:val="22"/>
          <w:szCs w:val="22"/>
        </w:rPr>
      </w:pPr>
      <w:r w:rsidRPr="008D3D7E">
        <w:rPr>
          <w:rFonts w:ascii="Times New Roman" w:hAnsi="Times New Roman"/>
          <w:sz w:val="22"/>
          <w:szCs w:val="22"/>
        </w:rPr>
        <w:t>au moins 3 bacs de couleurs différentes pour chaque immeuble dans des endroits bien spécifiques avec des panneaux d’indication ou de consigne pour chaque bac ;</w:t>
      </w:r>
    </w:p>
    <w:p w:rsidR="000E2021" w:rsidRPr="008D3D7E" w:rsidRDefault="000E2021" w:rsidP="005E613E">
      <w:pPr>
        <w:pStyle w:val="PargrafodaLista"/>
        <w:numPr>
          <w:ilvl w:val="0"/>
          <w:numId w:val="179"/>
        </w:numPr>
        <w:spacing w:after="0" w:line="240" w:lineRule="auto"/>
        <w:ind w:right="-851"/>
        <w:contextualSpacing w:val="0"/>
        <w:jc w:val="both"/>
        <w:rPr>
          <w:rFonts w:ascii="Times New Roman" w:hAnsi="Times New Roman"/>
          <w:sz w:val="22"/>
          <w:szCs w:val="22"/>
        </w:rPr>
      </w:pPr>
      <w:r w:rsidRPr="008D3D7E">
        <w:rPr>
          <w:rFonts w:ascii="Times New Roman" w:hAnsi="Times New Roman"/>
          <w:sz w:val="22"/>
          <w:szCs w:val="22"/>
        </w:rPr>
        <w:t>et 2 poubelles, des sacs poubelles  au niveau de chaque appartement ;</w:t>
      </w:r>
    </w:p>
    <w:p w:rsidR="000E2021" w:rsidRPr="008D3D7E" w:rsidRDefault="000E2021" w:rsidP="005E613E">
      <w:pPr>
        <w:pStyle w:val="Corpodetexto"/>
        <w:ind w:right="-851"/>
        <w:rPr>
          <w:sz w:val="22"/>
          <w:szCs w:val="22"/>
        </w:rPr>
      </w:pPr>
      <w:r w:rsidRPr="008D3D7E">
        <w:rPr>
          <w:rFonts w:ascii="Times New Roman" w:hAnsi="Times New Roman"/>
          <w:sz w:val="22"/>
          <w:szCs w:val="22"/>
        </w:rPr>
        <w:t>Ainsi on peut avoir un bac et une poubelle habituelle pour :</w:t>
      </w:r>
    </w:p>
    <w:p w:rsidR="000E2021" w:rsidRPr="008D3D7E" w:rsidRDefault="000E2021" w:rsidP="005E613E">
      <w:pPr>
        <w:pStyle w:val="PargrafodaLista"/>
        <w:numPr>
          <w:ilvl w:val="0"/>
          <w:numId w:val="179"/>
        </w:numPr>
        <w:spacing w:after="0" w:line="240" w:lineRule="auto"/>
        <w:ind w:right="-851"/>
        <w:contextualSpacing w:val="0"/>
        <w:jc w:val="both"/>
        <w:rPr>
          <w:rFonts w:ascii="Times New Roman" w:hAnsi="Times New Roman"/>
          <w:sz w:val="22"/>
          <w:szCs w:val="22"/>
        </w:rPr>
      </w:pPr>
      <w:r w:rsidRPr="008D3D7E">
        <w:rPr>
          <w:rFonts w:ascii="Times New Roman" w:hAnsi="Times New Roman"/>
          <w:sz w:val="22"/>
          <w:szCs w:val="22"/>
        </w:rPr>
        <w:t>les déchets ordinaires, comme les restes des repas, les épluchures, les emballages sales, les couches culottes, coton-tige, tubes de crème, de dentifrice, stylos, etc...</w:t>
      </w:r>
    </w:p>
    <w:p w:rsidR="000E2021" w:rsidRPr="008D3D7E" w:rsidRDefault="000E2021" w:rsidP="005E613E">
      <w:pPr>
        <w:pStyle w:val="Listecouleur-Accent11"/>
        <w:ind w:right="-851"/>
        <w:rPr>
          <w:rFonts w:ascii="Times New Roman" w:hAnsi="Times New Roman"/>
        </w:rPr>
      </w:pPr>
      <w:r w:rsidRPr="008D3D7E">
        <w:rPr>
          <w:rFonts w:ascii="Times New Roman" w:hAnsi="Times New Roman"/>
        </w:rPr>
        <w:t>Bref, tous les déchets qui sont non-recyclables Un bac et une poubelle pour :</w:t>
      </w:r>
    </w:p>
    <w:p w:rsidR="000E2021" w:rsidRPr="008D3D7E" w:rsidRDefault="000E2021" w:rsidP="005E613E">
      <w:pPr>
        <w:pStyle w:val="PargrafodaLista"/>
        <w:numPr>
          <w:ilvl w:val="0"/>
          <w:numId w:val="179"/>
        </w:numPr>
        <w:spacing w:after="0" w:line="240" w:lineRule="auto"/>
        <w:ind w:right="-851"/>
        <w:contextualSpacing w:val="0"/>
        <w:jc w:val="both"/>
        <w:rPr>
          <w:rFonts w:ascii="Times New Roman" w:hAnsi="Times New Roman"/>
          <w:sz w:val="22"/>
          <w:szCs w:val="22"/>
        </w:rPr>
      </w:pPr>
      <w:r w:rsidRPr="008D3D7E">
        <w:rPr>
          <w:rFonts w:ascii="Times New Roman" w:hAnsi="Times New Roman"/>
          <w:sz w:val="22"/>
          <w:szCs w:val="22"/>
        </w:rPr>
        <w:t>Les papiers, journaux, magazines, imprimés.</w:t>
      </w:r>
    </w:p>
    <w:p w:rsidR="000E2021" w:rsidRPr="008D3D7E" w:rsidRDefault="000E2021" w:rsidP="005E613E">
      <w:pPr>
        <w:pStyle w:val="PargrafodaLista"/>
        <w:numPr>
          <w:ilvl w:val="0"/>
          <w:numId w:val="179"/>
        </w:numPr>
        <w:spacing w:after="0" w:line="240" w:lineRule="auto"/>
        <w:ind w:right="-851"/>
        <w:contextualSpacing w:val="0"/>
        <w:jc w:val="both"/>
        <w:rPr>
          <w:rFonts w:ascii="Times New Roman" w:hAnsi="Times New Roman"/>
          <w:sz w:val="22"/>
          <w:szCs w:val="22"/>
        </w:rPr>
      </w:pPr>
      <w:r w:rsidRPr="008D3D7E">
        <w:rPr>
          <w:rFonts w:ascii="Times New Roman" w:hAnsi="Times New Roman"/>
          <w:sz w:val="22"/>
          <w:szCs w:val="22"/>
        </w:rPr>
        <w:t>Les emballages en plastique : bouteilles et flacons en plastique.</w:t>
      </w:r>
    </w:p>
    <w:p w:rsidR="000E2021" w:rsidRPr="008D3D7E" w:rsidRDefault="000E2021" w:rsidP="005E613E">
      <w:pPr>
        <w:pStyle w:val="PargrafodaLista"/>
        <w:numPr>
          <w:ilvl w:val="0"/>
          <w:numId w:val="179"/>
        </w:numPr>
        <w:spacing w:after="0" w:line="240" w:lineRule="auto"/>
        <w:ind w:right="-851"/>
        <w:contextualSpacing w:val="0"/>
        <w:jc w:val="both"/>
        <w:rPr>
          <w:rFonts w:ascii="Times New Roman" w:hAnsi="Times New Roman"/>
          <w:sz w:val="22"/>
          <w:szCs w:val="22"/>
        </w:rPr>
      </w:pPr>
      <w:r w:rsidRPr="008D3D7E">
        <w:rPr>
          <w:rFonts w:ascii="Times New Roman" w:hAnsi="Times New Roman"/>
          <w:sz w:val="22"/>
          <w:szCs w:val="22"/>
        </w:rPr>
        <w:t>Les emballages en carton : cartons, briques alimentaires, boîtes en carton, gros cartons pliés.</w:t>
      </w:r>
    </w:p>
    <w:p w:rsidR="000E2021" w:rsidRPr="008D3D7E" w:rsidRDefault="000E2021" w:rsidP="005E613E">
      <w:pPr>
        <w:pStyle w:val="PargrafodaLista"/>
        <w:numPr>
          <w:ilvl w:val="0"/>
          <w:numId w:val="179"/>
        </w:numPr>
        <w:spacing w:after="0" w:line="240" w:lineRule="auto"/>
        <w:ind w:right="-851"/>
        <w:contextualSpacing w:val="0"/>
        <w:jc w:val="both"/>
        <w:rPr>
          <w:rFonts w:ascii="Times New Roman" w:hAnsi="Times New Roman"/>
          <w:sz w:val="22"/>
          <w:szCs w:val="22"/>
        </w:rPr>
      </w:pPr>
      <w:r w:rsidRPr="008D3D7E">
        <w:rPr>
          <w:rFonts w:ascii="Times New Roman" w:hAnsi="Times New Roman"/>
          <w:sz w:val="22"/>
          <w:szCs w:val="22"/>
        </w:rPr>
        <w:t>Les emballages métalliques : boîtes de conserve, barquette aluminium, canettes, aérosols.</w:t>
      </w:r>
    </w:p>
    <w:p w:rsidR="000E2021" w:rsidRPr="008D3D7E" w:rsidRDefault="000E2021" w:rsidP="005E613E">
      <w:pPr>
        <w:pStyle w:val="PargrafodaLista"/>
        <w:numPr>
          <w:ilvl w:val="0"/>
          <w:numId w:val="179"/>
        </w:numPr>
        <w:spacing w:after="0" w:line="240" w:lineRule="auto"/>
        <w:ind w:right="-851"/>
        <w:contextualSpacing w:val="0"/>
        <w:jc w:val="both"/>
        <w:rPr>
          <w:rFonts w:ascii="Times New Roman" w:hAnsi="Times New Roman"/>
          <w:sz w:val="22"/>
          <w:szCs w:val="22"/>
        </w:rPr>
      </w:pPr>
      <w:r w:rsidRPr="008D3D7E">
        <w:rPr>
          <w:rFonts w:ascii="Times New Roman" w:hAnsi="Times New Roman"/>
          <w:sz w:val="22"/>
          <w:szCs w:val="22"/>
        </w:rPr>
        <w:t>Pour tout ce qui peut être recyclé.</w:t>
      </w:r>
    </w:p>
    <w:p w:rsidR="000E2021" w:rsidRPr="008D3D7E" w:rsidRDefault="000E2021" w:rsidP="005E613E">
      <w:pPr>
        <w:pStyle w:val="Listecouleur-Accent11"/>
        <w:ind w:right="-851"/>
        <w:rPr>
          <w:rFonts w:ascii="Times New Roman" w:hAnsi="Times New Roman"/>
        </w:rPr>
      </w:pPr>
      <w:r w:rsidRPr="008D3D7E">
        <w:rPr>
          <w:rFonts w:ascii="Times New Roman" w:hAnsi="Times New Roman"/>
        </w:rPr>
        <w:t>Un bac et une poubelle pour :</w:t>
      </w:r>
    </w:p>
    <w:p w:rsidR="000E2021" w:rsidRPr="008D3D7E" w:rsidRDefault="000E2021" w:rsidP="005E613E">
      <w:pPr>
        <w:pStyle w:val="PargrafodaLista"/>
        <w:numPr>
          <w:ilvl w:val="0"/>
          <w:numId w:val="179"/>
        </w:numPr>
        <w:spacing w:after="0" w:line="240" w:lineRule="auto"/>
        <w:ind w:right="-851"/>
        <w:contextualSpacing w:val="0"/>
        <w:jc w:val="both"/>
        <w:rPr>
          <w:rFonts w:ascii="Times New Roman" w:hAnsi="Times New Roman"/>
          <w:sz w:val="22"/>
          <w:szCs w:val="22"/>
        </w:rPr>
      </w:pPr>
      <w:r w:rsidRPr="008D3D7E">
        <w:rPr>
          <w:rFonts w:ascii="Times New Roman" w:hAnsi="Times New Roman"/>
          <w:sz w:val="22"/>
          <w:szCs w:val="22"/>
        </w:rPr>
        <w:t>Le verre. Il faut trier à part les emballages en verre : les bouteilles, pots, bocaux. Le verre est recyclable à l’infini et a le droit à un ramassage spécial, conçu rien que pour lui !</w:t>
      </w:r>
    </w:p>
    <w:p w:rsidR="000E2021" w:rsidRPr="008D3D7E" w:rsidRDefault="000E2021" w:rsidP="005E613E">
      <w:pPr>
        <w:pStyle w:val="Corpodetexto"/>
        <w:ind w:right="-851"/>
        <w:rPr>
          <w:rFonts w:ascii="Times New Roman" w:hAnsi="Times New Roman"/>
          <w:sz w:val="22"/>
          <w:szCs w:val="22"/>
        </w:rPr>
      </w:pPr>
      <w:r w:rsidRPr="008D3D7E">
        <w:rPr>
          <w:rFonts w:ascii="Times New Roman" w:hAnsi="Times New Roman"/>
          <w:sz w:val="22"/>
          <w:szCs w:val="22"/>
        </w:rPr>
        <w:t>NB : Les bacs doivent être munis de couvercles fermés avec une ouverture adaptée à chaque type de déchets.</w:t>
      </w:r>
    </w:p>
    <w:tbl>
      <w:tblP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ook w:val="04A0" w:firstRow="1" w:lastRow="0" w:firstColumn="1" w:lastColumn="0" w:noHBand="0" w:noVBand="1"/>
      </w:tblPr>
      <w:tblGrid>
        <w:gridCol w:w="10102"/>
      </w:tblGrid>
      <w:tr w:rsidR="000E2021" w:rsidRPr="008D3D7E" w:rsidTr="000E2021">
        <w:tc>
          <w:tcPr>
            <w:tcW w:w="10102" w:type="dxa"/>
            <w:shd w:val="clear" w:color="auto" w:fill="E2EFD9" w:themeFill="accent6" w:themeFillTint="33"/>
          </w:tcPr>
          <w:p w:rsidR="000E2021" w:rsidRPr="008D3D7E" w:rsidRDefault="000E2021" w:rsidP="005E613E">
            <w:pPr>
              <w:ind w:right="-851"/>
              <w:rPr>
                <w:sz w:val="22"/>
                <w:szCs w:val="22"/>
              </w:rPr>
            </w:pPr>
            <w:r w:rsidRPr="008D3D7E">
              <w:rPr>
                <w:sz w:val="22"/>
                <w:szCs w:val="22"/>
              </w:rPr>
              <w:t>Si ces déchets sont triés (ou sélectionnés) par catégorie dans des bacs, alors la collecte sera facile pour les camions de ramassage mais aussi pour ouvrir des opportunités pour les recycleurs privés d’acheter les déchets en verres, le carton, les papiers et pour ceux qui pratiquent le compostage etc. Ceci peut constituer une source de revenu pour l’association des colocataires ou copropriétaires.</w:t>
            </w:r>
          </w:p>
        </w:tc>
      </w:tr>
    </w:tbl>
    <w:p w:rsidR="000E2021" w:rsidRPr="008D3D7E" w:rsidRDefault="000E2021" w:rsidP="005E613E">
      <w:pPr>
        <w:ind w:right="-851"/>
        <w:rPr>
          <w:sz w:val="22"/>
          <w:szCs w:val="22"/>
        </w:rPr>
      </w:pPr>
    </w:p>
    <w:p w:rsidR="000E2021" w:rsidRDefault="000E2021" w:rsidP="005E613E">
      <w:pPr>
        <w:ind w:right="-851"/>
        <w:rPr>
          <w:sz w:val="22"/>
          <w:szCs w:val="22"/>
        </w:rPr>
      </w:pPr>
      <w:r w:rsidRPr="008D3D7E">
        <w:rPr>
          <w:sz w:val="22"/>
          <w:szCs w:val="22"/>
        </w:rPr>
        <w:t xml:space="preserve">Le stockage des produits susceptibles de générer de la pollution sur les eaux (carburant, hydrocarbures, batteries mortes, acides, câble, solvants, acides, déchets solides souillés, </w:t>
      </w:r>
      <w:r w:rsidR="004D1F88">
        <w:rPr>
          <w:sz w:val="22"/>
          <w:szCs w:val="22"/>
        </w:rPr>
        <w:t>pesticide, etc.</w:t>
      </w:r>
      <w:r w:rsidRPr="008D3D7E">
        <w:rPr>
          <w:sz w:val="22"/>
          <w:szCs w:val="22"/>
        </w:rPr>
        <w:t xml:space="preserve">) devra se faire dans le respect strict des normes de sécurités environnementales. C’est-à-dire, au niveau du site faire en sorte qu’aucun de ces produits ne se propagent sur le sol. </w:t>
      </w:r>
    </w:p>
    <w:p w:rsidR="005219DB" w:rsidRPr="008D3D7E" w:rsidRDefault="005219DB" w:rsidP="005E613E">
      <w:pPr>
        <w:ind w:right="-851"/>
        <w:rPr>
          <w:sz w:val="22"/>
          <w:szCs w:val="22"/>
        </w:rPr>
      </w:pPr>
    </w:p>
    <w:p w:rsidR="000E2021" w:rsidRDefault="004D1F88" w:rsidP="005E613E">
      <w:pPr>
        <w:ind w:right="-851"/>
        <w:jc w:val="both"/>
        <w:rPr>
          <w:sz w:val="22"/>
          <w:szCs w:val="22"/>
        </w:rPr>
      </w:pPr>
      <w:r>
        <w:rPr>
          <w:sz w:val="22"/>
          <w:szCs w:val="22"/>
        </w:rPr>
        <w:t>Le projet PUSA ou entreprise</w:t>
      </w:r>
      <w:r w:rsidR="000E2021" w:rsidRPr="008D3D7E">
        <w:rPr>
          <w:sz w:val="22"/>
          <w:szCs w:val="22"/>
        </w:rPr>
        <w:t xml:space="preserve"> devra bétonner la surface du sol ou seront entreposés ces produits polluants pour éviter tout contact avec l’eau de pluie ou toute autre source d’eau de ruissellement.</w:t>
      </w:r>
    </w:p>
    <w:p w:rsidR="00951163" w:rsidRDefault="00951163" w:rsidP="005E613E">
      <w:pPr>
        <w:ind w:right="-851"/>
        <w:jc w:val="both"/>
        <w:rPr>
          <w:sz w:val="22"/>
          <w:szCs w:val="22"/>
        </w:rPr>
      </w:pPr>
    </w:p>
    <w:p w:rsidR="00951163" w:rsidRDefault="00951163" w:rsidP="005E613E">
      <w:pPr>
        <w:ind w:right="-851"/>
        <w:jc w:val="both"/>
        <w:rPr>
          <w:sz w:val="22"/>
          <w:szCs w:val="22"/>
        </w:rPr>
      </w:pPr>
    </w:p>
    <w:p w:rsidR="00951163" w:rsidRDefault="00951163" w:rsidP="005E613E">
      <w:pPr>
        <w:ind w:right="-851"/>
        <w:jc w:val="both"/>
        <w:rPr>
          <w:sz w:val="22"/>
          <w:szCs w:val="22"/>
        </w:rPr>
      </w:pPr>
    </w:p>
    <w:p w:rsidR="00951163" w:rsidRDefault="00951163" w:rsidP="005E613E">
      <w:pPr>
        <w:ind w:right="-851"/>
        <w:jc w:val="both"/>
        <w:rPr>
          <w:sz w:val="22"/>
          <w:szCs w:val="22"/>
        </w:rPr>
      </w:pPr>
    </w:p>
    <w:p w:rsidR="00951163" w:rsidRDefault="00951163" w:rsidP="005E613E">
      <w:pPr>
        <w:ind w:right="-851"/>
        <w:jc w:val="both"/>
        <w:rPr>
          <w:sz w:val="22"/>
          <w:szCs w:val="22"/>
        </w:rPr>
      </w:pPr>
    </w:p>
    <w:p w:rsidR="00951163" w:rsidRDefault="00951163" w:rsidP="005E613E">
      <w:pPr>
        <w:ind w:right="-851"/>
        <w:jc w:val="both"/>
        <w:rPr>
          <w:sz w:val="22"/>
          <w:szCs w:val="22"/>
        </w:rPr>
      </w:pPr>
    </w:p>
    <w:p w:rsidR="00951163" w:rsidRDefault="00951163" w:rsidP="005E613E">
      <w:pPr>
        <w:ind w:right="-851"/>
        <w:jc w:val="both"/>
        <w:rPr>
          <w:sz w:val="22"/>
          <w:szCs w:val="22"/>
        </w:rPr>
      </w:pPr>
    </w:p>
    <w:p w:rsidR="00951163" w:rsidRPr="008D3D7E" w:rsidRDefault="00951163" w:rsidP="005E613E">
      <w:pPr>
        <w:ind w:right="-851"/>
        <w:jc w:val="both"/>
        <w:rPr>
          <w:sz w:val="22"/>
          <w:szCs w:val="22"/>
        </w:rPr>
      </w:pPr>
    </w:p>
    <w:p w:rsidR="00FF19FC" w:rsidRPr="00A05698" w:rsidRDefault="00E90DF5" w:rsidP="005E613E">
      <w:pPr>
        <w:pStyle w:val="Cabealho1"/>
        <w:numPr>
          <w:ilvl w:val="0"/>
          <w:numId w:val="0"/>
        </w:numPr>
        <w:pBdr>
          <w:bottom w:val="thickThinSmallGap" w:sz="24" w:space="1" w:color="auto"/>
        </w:pBdr>
        <w:shd w:val="clear" w:color="auto" w:fill="E2EFD9" w:themeFill="accent6" w:themeFillTint="33"/>
        <w:spacing w:after="120"/>
        <w:ind w:right="-851"/>
        <w:rPr>
          <w:rFonts w:ascii="Times New Roman" w:hAnsi="Times New Roman"/>
          <w:sz w:val="28"/>
          <w:szCs w:val="28"/>
        </w:rPr>
      </w:pPr>
      <w:bookmarkStart w:id="559" w:name="_Toc55465415"/>
      <w:bookmarkStart w:id="560" w:name="_Toc73459840"/>
      <w:r>
        <w:rPr>
          <w:rFonts w:ascii="Times New Roman" w:hAnsi="Times New Roman"/>
          <w:sz w:val="28"/>
          <w:szCs w:val="28"/>
        </w:rPr>
        <w:t>A</w:t>
      </w:r>
      <w:r w:rsidR="00FF19FC" w:rsidRPr="00A05698">
        <w:rPr>
          <w:rFonts w:ascii="Times New Roman" w:hAnsi="Times New Roman"/>
          <w:sz w:val="28"/>
          <w:szCs w:val="28"/>
        </w:rPr>
        <w:t xml:space="preserve">NNEXE </w:t>
      </w:r>
      <w:r w:rsidR="005E613E">
        <w:rPr>
          <w:rFonts w:ascii="Times New Roman" w:hAnsi="Times New Roman"/>
          <w:sz w:val="28"/>
          <w:szCs w:val="28"/>
        </w:rPr>
        <w:t>8</w:t>
      </w:r>
      <w:r w:rsidR="00FF19FC" w:rsidRPr="00A05698">
        <w:rPr>
          <w:rFonts w:ascii="Times New Roman" w:hAnsi="Times New Roman"/>
          <w:sz w:val="28"/>
          <w:szCs w:val="28"/>
        </w:rPr>
        <w:t xml:space="preserve">. LISTES DES SERVICES TECHNIQUES </w:t>
      </w:r>
      <w:bookmarkEnd w:id="559"/>
      <w:r w:rsidR="000E0006" w:rsidRPr="00A05698">
        <w:rPr>
          <w:rFonts w:ascii="Times New Roman" w:hAnsi="Times New Roman"/>
          <w:sz w:val="28"/>
          <w:szCs w:val="28"/>
        </w:rPr>
        <w:t>CONSULTÉS</w:t>
      </w:r>
      <w:bookmarkEnd w:id="560"/>
    </w:p>
    <w:p w:rsidR="000E0006" w:rsidRPr="00A05698" w:rsidRDefault="000E0006" w:rsidP="00BB7A44"/>
    <w:p w:rsidR="00675A42" w:rsidRPr="00A05698" w:rsidRDefault="00675A42" w:rsidP="003B1B22">
      <w:pPr>
        <w:widowControl w:val="0"/>
        <w:autoSpaceDE w:val="0"/>
        <w:autoSpaceDN w:val="0"/>
        <w:adjustRightInd w:val="0"/>
        <w:spacing w:line="280" w:lineRule="atLeast"/>
        <w:jc w:val="center"/>
        <w:rPr>
          <w:color w:val="000000"/>
          <w:lang w:eastAsia="en-US"/>
        </w:rPr>
      </w:pPr>
      <w:r w:rsidRPr="00A05698">
        <w:rPr>
          <w:noProof/>
          <w:color w:val="000000"/>
          <w:lang w:val="pt-PT" w:eastAsia="pt-PT"/>
        </w:rPr>
        <w:drawing>
          <wp:anchor distT="0" distB="0" distL="114300" distR="114300" simplePos="0" relativeHeight="251658322" behindDoc="0" locked="0" layoutInCell="1" allowOverlap="1" wp14:anchorId="7891F547" wp14:editId="127BAA3E">
            <wp:simplePos x="0" y="0"/>
            <wp:positionH relativeFrom="column">
              <wp:posOffset>1241425</wp:posOffset>
            </wp:positionH>
            <wp:positionV relativeFrom="paragraph">
              <wp:posOffset>-1243330</wp:posOffset>
            </wp:positionV>
            <wp:extent cx="3331845" cy="5815330"/>
            <wp:effectExtent l="2858" t="0" r="0" b="0"/>
            <wp:wrapTight wrapText="bothSides">
              <wp:wrapPolygon edited="0">
                <wp:start x="21581" y="-11"/>
                <wp:lineTo x="175" y="-11"/>
                <wp:lineTo x="175" y="21500"/>
                <wp:lineTo x="21581" y="21500"/>
                <wp:lineTo x="21581" y="-11"/>
              </wp:wrapPolygon>
            </wp:wrapTight>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6200000">
                      <a:off x="0" y="0"/>
                      <a:ext cx="3331845" cy="581533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E0006" w:rsidRPr="00A05698" w:rsidRDefault="000E0006" w:rsidP="00BB7A44"/>
    <w:p w:rsidR="003B1B22" w:rsidRPr="00A05698" w:rsidRDefault="003B1B22" w:rsidP="00BB7A44"/>
    <w:p w:rsidR="00C818BA" w:rsidRPr="00A05698" w:rsidRDefault="00C818BA" w:rsidP="00C818BA">
      <w:pPr>
        <w:widowControl w:val="0"/>
        <w:autoSpaceDE w:val="0"/>
        <w:autoSpaceDN w:val="0"/>
        <w:adjustRightInd w:val="0"/>
        <w:spacing w:line="280" w:lineRule="atLeast"/>
        <w:rPr>
          <w:color w:val="000000"/>
          <w:lang w:eastAsia="en-US"/>
        </w:rPr>
      </w:pPr>
      <w:r w:rsidRPr="00A05698">
        <w:rPr>
          <w:noProof/>
          <w:color w:val="000000"/>
          <w:lang w:val="pt-PT" w:eastAsia="pt-PT"/>
        </w:rPr>
        <w:drawing>
          <wp:anchor distT="0" distB="0" distL="114300" distR="114300" simplePos="0" relativeHeight="251658323" behindDoc="0" locked="0" layoutInCell="1" allowOverlap="1" wp14:anchorId="2D3ED355" wp14:editId="5E3E304E">
            <wp:simplePos x="0" y="0"/>
            <wp:positionH relativeFrom="column">
              <wp:posOffset>1041400</wp:posOffset>
            </wp:positionH>
            <wp:positionV relativeFrom="paragraph">
              <wp:posOffset>-1024890</wp:posOffset>
            </wp:positionV>
            <wp:extent cx="3832860" cy="5891530"/>
            <wp:effectExtent l="12065" t="0" r="0" b="0"/>
            <wp:wrapTight wrapText="bothSides">
              <wp:wrapPolygon edited="0">
                <wp:start x="21532" y="-44"/>
                <wp:lineTo x="204" y="-44"/>
                <wp:lineTo x="204" y="21467"/>
                <wp:lineTo x="21532" y="21467"/>
                <wp:lineTo x="21532" y="-44"/>
              </wp:wrapPolygon>
            </wp:wrapTight>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3832860" cy="589153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05698">
        <w:rPr>
          <w:color w:val="000000"/>
          <w:lang w:eastAsia="en-US"/>
        </w:rPr>
        <w:t xml:space="preserve"> </w:t>
      </w:r>
    </w:p>
    <w:p w:rsidR="003B1B22" w:rsidRPr="00A05698" w:rsidRDefault="0038655F" w:rsidP="00BB7A44">
      <w:r w:rsidRPr="00A05698">
        <w:rPr>
          <w:noProof/>
          <w:color w:val="000000"/>
          <w:lang w:val="pt-PT" w:eastAsia="pt-PT"/>
        </w:rPr>
        <w:drawing>
          <wp:anchor distT="0" distB="0" distL="114300" distR="114300" simplePos="0" relativeHeight="251658324" behindDoc="0" locked="0" layoutInCell="1" allowOverlap="1" wp14:anchorId="12D004AB" wp14:editId="514FCFEA">
            <wp:simplePos x="0" y="0"/>
            <wp:positionH relativeFrom="column">
              <wp:posOffset>1094740</wp:posOffset>
            </wp:positionH>
            <wp:positionV relativeFrom="paragraph">
              <wp:posOffset>-828040</wp:posOffset>
            </wp:positionV>
            <wp:extent cx="3780155" cy="6122035"/>
            <wp:effectExtent l="0" t="2540" r="1905" b="1905"/>
            <wp:wrapTight wrapText="bothSides">
              <wp:wrapPolygon edited="0">
                <wp:start x="21615" y="9"/>
                <wp:lineTo x="134" y="9"/>
                <wp:lineTo x="134" y="21517"/>
                <wp:lineTo x="21615" y="21517"/>
                <wp:lineTo x="21615" y="9"/>
              </wp:wrapPolygon>
            </wp:wrapTight>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3780155" cy="612203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3B1B22" w:rsidRPr="00A05698" w:rsidRDefault="0038655F" w:rsidP="00BB7A44">
      <w:r w:rsidRPr="00A05698">
        <w:rPr>
          <w:noProof/>
          <w:color w:val="000000"/>
          <w:lang w:val="pt-PT" w:eastAsia="pt-PT"/>
        </w:rPr>
        <w:drawing>
          <wp:anchor distT="0" distB="0" distL="114300" distR="114300" simplePos="0" relativeHeight="251658325" behindDoc="0" locked="0" layoutInCell="1" allowOverlap="1" wp14:anchorId="7DE81BE5" wp14:editId="4C8322DE">
            <wp:simplePos x="0" y="0"/>
            <wp:positionH relativeFrom="column">
              <wp:posOffset>1072515</wp:posOffset>
            </wp:positionH>
            <wp:positionV relativeFrom="paragraph">
              <wp:posOffset>-554355</wp:posOffset>
            </wp:positionV>
            <wp:extent cx="3894455" cy="6192520"/>
            <wp:effectExtent l="0" t="6032" r="11112" b="11113"/>
            <wp:wrapTight wrapText="bothSides">
              <wp:wrapPolygon edited="0">
                <wp:start x="21633" y="21"/>
                <wp:lineTo x="79" y="21"/>
                <wp:lineTo x="79" y="21550"/>
                <wp:lineTo x="21633" y="21550"/>
                <wp:lineTo x="21633" y="21"/>
              </wp:wrapPolygon>
            </wp:wrapTight>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3894455" cy="619252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Tabelacomgrelha"/>
        <w:tblW w:w="0" w:type="auto"/>
        <w:tblLook w:val="04A0" w:firstRow="1" w:lastRow="0" w:firstColumn="1" w:lastColumn="0" w:noHBand="0" w:noVBand="1"/>
      </w:tblPr>
      <w:tblGrid>
        <w:gridCol w:w="2265"/>
        <w:gridCol w:w="4103"/>
        <w:gridCol w:w="2157"/>
      </w:tblGrid>
      <w:tr w:rsidR="001B7663" w:rsidRPr="0038655F" w:rsidTr="00B070AE">
        <w:tc>
          <w:tcPr>
            <w:tcW w:w="2265" w:type="dxa"/>
          </w:tcPr>
          <w:p w:rsidR="001B7663" w:rsidRPr="0038655F" w:rsidRDefault="001B7663" w:rsidP="00BB7A44">
            <w:pPr>
              <w:rPr>
                <w:b/>
              </w:rPr>
            </w:pPr>
            <w:r w:rsidRPr="0038655F">
              <w:rPr>
                <w:b/>
              </w:rPr>
              <w:t>PRENOM NOM</w:t>
            </w:r>
          </w:p>
        </w:tc>
        <w:tc>
          <w:tcPr>
            <w:tcW w:w="4103" w:type="dxa"/>
          </w:tcPr>
          <w:p w:rsidR="001B7663" w:rsidRPr="0038655F" w:rsidRDefault="001B7663" w:rsidP="00BB7A44">
            <w:pPr>
              <w:rPr>
                <w:b/>
              </w:rPr>
            </w:pPr>
            <w:r w:rsidRPr="0038655F">
              <w:rPr>
                <w:b/>
              </w:rPr>
              <w:t>SERVICE</w:t>
            </w:r>
          </w:p>
        </w:tc>
        <w:tc>
          <w:tcPr>
            <w:tcW w:w="2157" w:type="dxa"/>
          </w:tcPr>
          <w:p w:rsidR="001B7663" w:rsidRPr="0038655F" w:rsidRDefault="001B7663" w:rsidP="00BB7A44">
            <w:pPr>
              <w:rPr>
                <w:b/>
              </w:rPr>
            </w:pPr>
            <w:r w:rsidRPr="0038655F">
              <w:rPr>
                <w:b/>
              </w:rPr>
              <w:t>TELEPHONE</w:t>
            </w:r>
          </w:p>
        </w:tc>
      </w:tr>
      <w:tr w:rsidR="001B7663" w:rsidRPr="00A05698" w:rsidTr="00B070AE">
        <w:tc>
          <w:tcPr>
            <w:tcW w:w="2265" w:type="dxa"/>
          </w:tcPr>
          <w:p w:rsidR="001B7663" w:rsidRPr="00A05698" w:rsidRDefault="00F1333C" w:rsidP="00BB7A44">
            <w:r w:rsidRPr="00A05698">
              <w:t>Mamadou Sow</w:t>
            </w:r>
          </w:p>
        </w:tc>
        <w:tc>
          <w:tcPr>
            <w:tcW w:w="4103" w:type="dxa"/>
          </w:tcPr>
          <w:p w:rsidR="001B7663" w:rsidRPr="00A05698" w:rsidRDefault="00F1333C" w:rsidP="00BB7A44">
            <w:r w:rsidRPr="00A05698">
              <w:t>PAM</w:t>
            </w:r>
          </w:p>
        </w:tc>
        <w:tc>
          <w:tcPr>
            <w:tcW w:w="2157" w:type="dxa"/>
          </w:tcPr>
          <w:p w:rsidR="001B7663" w:rsidRPr="00A05698" w:rsidRDefault="00F1333C" w:rsidP="00BB7A44">
            <w:r w:rsidRPr="00A05698">
              <w:t>95 538 94 86</w:t>
            </w:r>
          </w:p>
        </w:tc>
      </w:tr>
      <w:tr w:rsidR="001B7663" w:rsidRPr="00A05698" w:rsidTr="00B070AE">
        <w:tc>
          <w:tcPr>
            <w:tcW w:w="2265" w:type="dxa"/>
          </w:tcPr>
          <w:p w:rsidR="001B7663" w:rsidRPr="00A05698" w:rsidRDefault="00F1333C" w:rsidP="00BB7A44">
            <w:r w:rsidRPr="00A05698">
              <w:t>Julio Mal</w:t>
            </w:r>
            <w:r w:rsidR="003D45C4" w:rsidRPr="00A05698">
              <w:t>ane Ndiaye</w:t>
            </w:r>
          </w:p>
        </w:tc>
        <w:tc>
          <w:tcPr>
            <w:tcW w:w="4103" w:type="dxa"/>
          </w:tcPr>
          <w:p w:rsidR="001B7663" w:rsidRPr="00A05698" w:rsidRDefault="00B070AE" w:rsidP="00BB7A44">
            <w:r w:rsidRPr="00A05698">
              <w:t xml:space="preserve">Chef de service </w:t>
            </w:r>
            <w:r w:rsidR="003D45C4" w:rsidRPr="00A05698">
              <w:t>DGA</w:t>
            </w:r>
          </w:p>
        </w:tc>
        <w:tc>
          <w:tcPr>
            <w:tcW w:w="2157" w:type="dxa"/>
          </w:tcPr>
          <w:p w:rsidR="001B7663" w:rsidRPr="00A05698" w:rsidRDefault="003D45C4" w:rsidP="00BB7A44">
            <w:r w:rsidRPr="00A05698">
              <w:t>95 542 7229</w:t>
            </w:r>
          </w:p>
        </w:tc>
      </w:tr>
      <w:tr w:rsidR="003D45C4" w:rsidRPr="00A05698" w:rsidTr="00F16BB7">
        <w:trPr>
          <w:trHeight w:val="306"/>
        </w:trPr>
        <w:tc>
          <w:tcPr>
            <w:tcW w:w="2265" w:type="dxa"/>
          </w:tcPr>
          <w:p w:rsidR="003D45C4" w:rsidRPr="00A05698" w:rsidRDefault="003D45C4" w:rsidP="00BB7A44">
            <w:r w:rsidRPr="00A05698">
              <w:t>Malane Mané</w:t>
            </w:r>
          </w:p>
        </w:tc>
        <w:tc>
          <w:tcPr>
            <w:tcW w:w="4103" w:type="dxa"/>
          </w:tcPr>
          <w:p w:rsidR="003D45C4" w:rsidRPr="00A05698" w:rsidRDefault="00B070AE" w:rsidP="00BB7A44">
            <w:r w:rsidRPr="00A05698">
              <w:t xml:space="preserve">Président Association des </w:t>
            </w:r>
            <w:r w:rsidR="00242C0D" w:rsidRPr="00A05698">
              <w:t>commerçants</w:t>
            </w:r>
          </w:p>
        </w:tc>
        <w:tc>
          <w:tcPr>
            <w:tcW w:w="2157" w:type="dxa"/>
          </w:tcPr>
          <w:p w:rsidR="003D45C4" w:rsidRPr="00A05698" w:rsidRDefault="00F16BB7" w:rsidP="00BB7A44">
            <w:r w:rsidRPr="00A05698">
              <w:t>95 59264 43</w:t>
            </w:r>
          </w:p>
        </w:tc>
      </w:tr>
      <w:tr w:rsidR="00F16BB7" w:rsidRPr="00A05698" w:rsidTr="00B070AE">
        <w:tc>
          <w:tcPr>
            <w:tcW w:w="2265" w:type="dxa"/>
          </w:tcPr>
          <w:p w:rsidR="00F16BB7" w:rsidRPr="00A05698" w:rsidRDefault="00F16BB7" w:rsidP="00BB7A44">
            <w:r w:rsidRPr="00A05698">
              <w:t>Lassane Sambou</w:t>
            </w:r>
          </w:p>
        </w:tc>
        <w:tc>
          <w:tcPr>
            <w:tcW w:w="4103" w:type="dxa"/>
          </w:tcPr>
          <w:p w:rsidR="00F16BB7" w:rsidRPr="00A05698" w:rsidRDefault="00242C0D" w:rsidP="00BB7A44">
            <w:r w:rsidRPr="00A05698">
              <w:t>Président</w:t>
            </w:r>
            <w:r w:rsidR="00F16BB7" w:rsidRPr="00A05698">
              <w:t xml:space="preserve"> Association des </w:t>
            </w:r>
            <w:r w:rsidRPr="00A05698">
              <w:t>intermédiaires</w:t>
            </w:r>
          </w:p>
        </w:tc>
        <w:tc>
          <w:tcPr>
            <w:tcW w:w="2157" w:type="dxa"/>
          </w:tcPr>
          <w:p w:rsidR="00F16BB7" w:rsidRPr="00A05698" w:rsidRDefault="00E72CB1" w:rsidP="00BB7A44">
            <w:r w:rsidRPr="00A05698">
              <w:t>95 559 58 04</w:t>
            </w:r>
          </w:p>
        </w:tc>
      </w:tr>
    </w:tbl>
    <w:p w:rsidR="00643CB7" w:rsidRPr="00A05698" w:rsidRDefault="00643CB7" w:rsidP="00BB7A44"/>
    <w:p w:rsidR="00060D92" w:rsidRPr="00A05698" w:rsidRDefault="00250DA0" w:rsidP="005E613E">
      <w:pPr>
        <w:pStyle w:val="Cabealho1"/>
        <w:numPr>
          <w:ilvl w:val="0"/>
          <w:numId w:val="0"/>
        </w:numPr>
        <w:pBdr>
          <w:bottom w:val="thickThinSmallGap" w:sz="24" w:space="1" w:color="auto"/>
        </w:pBdr>
        <w:shd w:val="clear" w:color="auto" w:fill="E2EFD9" w:themeFill="accent6" w:themeFillTint="33"/>
        <w:spacing w:after="120"/>
        <w:ind w:right="-851"/>
        <w:rPr>
          <w:rFonts w:ascii="Times New Roman" w:hAnsi="Times New Roman"/>
          <w:sz w:val="28"/>
          <w:szCs w:val="28"/>
        </w:rPr>
      </w:pPr>
      <w:bookmarkStart w:id="561" w:name="_Toc73459841"/>
      <w:r w:rsidRPr="00A05698">
        <w:rPr>
          <w:rFonts w:ascii="Times New Roman" w:hAnsi="Times New Roman"/>
          <w:sz w:val="28"/>
          <w:szCs w:val="28"/>
        </w:rPr>
        <w:t xml:space="preserve">ANNEXE </w:t>
      </w:r>
      <w:r w:rsidR="005E613E">
        <w:rPr>
          <w:rFonts w:ascii="Times New Roman" w:hAnsi="Times New Roman"/>
          <w:sz w:val="28"/>
          <w:szCs w:val="28"/>
        </w:rPr>
        <w:t>9</w:t>
      </w:r>
      <w:r w:rsidRPr="00A05698">
        <w:rPr>
          <w:rFonts w:ascii="Times New Roman" w:hAnsi="Times New Roman"/>
          <w:sz w:val="28"/>
          <w:szCs w:val="28"/>
        </w:rPr>
        <w:t xml:space="preserve">: </w:t>
      </w:r>
      <w:r w:rsidR="00060D92" w:rsidRPr="00A05698">
        <w:rPr>
          <w:rFonts w:ascii="Times New Roman" w:hAnsi="Times New Roman"/>
          <w:sz w:val="28"/>
          <w:szCs w:val="28"/>
        </w:rPr>
        <w:t>REUNION DE PRESENTATION AU NIVEAU DE LA FAO</w:t>
      </w:r>
      <w:bookmarkEnd w:id="561"/>
    </w:p>
    <w:p w:rsidR="00060D92" w:rsidRPr="00A05698" w:rsidRDefault="00060D92" w:rsidP="004F4212">
      <w:pPr>
        <w:pStyle w:val="Ttulo1"/>
        <w:spacing w:before="120" w:after="240" w:line="240" w:lineRule="auto"/>
        <w:ind w:right="-851"/>
        <w:rPr>
          <w:rFonts w:ascii="Times New Roman" w:hAnsi="Times New Roman"/>
          <w:sz w:val="22"/>
          <w:szCs w:val="22"/>
        </w:rPr>
      </w:pPr>
      <w:r w:rsidRPr="00A05698">
        <w:rPr>
          <w:rFonts w:ascii="Times New Roman" w:hAnsi="Times New Roman"/>
          <w:sz w:val="22"/>
          <w:szCs w:val="22"/>
        </w:rPr>
        <w:t>COMPTE-RENDU DE LA REUNION DE PRESENTATION AVEC LA FAO</w:t>
      </w:r>
    </w:p>
    <w:tbl>
      <w:tblPr>
        <w:tblW w:w="5324" w:type="pct"/>
        <w:tblLook w:val="04A0" w:firstRow="1" w:lastRow="0" w:firstColumn="1" w:lastColumn="0" w:noHBand="0" w:noVBand="1"/>
      </w:tblPr>
      <w:tblGrid>
        <w:gridCol w:w="281"/>
        <w:gridCol w:w="350"/>
        <w:gridCol w:w="443"/>
        <w:gridCol w:w="1294"/>
        <w:gridCol w:w="2047"/>
        <w:gridCol w:w="4486"/>
        <w:gridCol w:w="989"/>
      </w:tblGrid>
      <w:tr w:rsidR="00060D92" w:rsidRPr="00A05698" w:rsidTr="000D6E80">
        <w:trPr>
          <w:trHeight w:val="244"/>
        </w:trPr>
        <w:tc>
          <w:tcPr>
            <w:tcW w:w="543" w:type="pct"/>
            <w:gridSpan w:val="3"/>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4F4212">
            <w:pPr>
              <w:tabs>
                <w:tab w:val="left" w:pos="851"/>
              </w:tabs>
              <w:ind w:right="-851"/>
            </w:pPr>
            <w:r w:rsidRPr="00A05698">
              <w:t>DATE :</w:t>
            </w:r>
          </w:p>
        </w:tc>
        <w:tc>
          <w:tcPr>
            <w:tcW w:w="4457" w:type="pct"/>
            <w:gridSpan w:val="4"/>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4F4212">
            <w:pPr>
              <w:tabs>
                <w:tab w:val="left" w:pos="851"/>
              </w:tabs>
              <w:ind w:right="-851"/>
            </w:pPr>
            <w:r w:rsidRPr="00A05698">
              <w:t>Le   14 Décembre 2020</w:t>
            </w:r>
          </w:p>
          <w:p w:rsidR="00060D92" w:rsidRPr="00A05698" w:rsidRDefault="00060D92" w:rsidP="004F4212">
            <w:pPr>
              <w:tabs>
                <w:tab w:val="left" w:pos="851"/>
              </w:tabs>
              <w:ind w:right="-851"/>
            </w:pPr>
          </w:p>
        </w:tc>
      </w:tr>
      <w:tr w:rsidR="00060D92" w:rsidRPr="00A05698" w:rsidTr="000D6E80">
        <w:tblPrEx>
          <w:shd w:val="clear" w:color="auto" w:fill="FFFFFF"/>
        </w:tblPrEx>
        <w:trPr>
          <w:gridAfter w:val="1"/>
          <w:wAfter w:w="500" w:type="pct"/>
          <w:trHeight w:val="340"/>
        </w:trPr>
        <w:tc>
          <w:tcPr>
            <w:tcW w:w="4500" w:type="pct"/>
            <w:gridSpan w:val="6"/>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4F4212">
            <w:pPr>
              <w:ind w:right="-851"/>
              <w:rPr>
                <w:b/>
              </w:rPr>
            </w:pPr>
            <w:r w:rsidRPr="00A05698">
              <w:t>La liste des personnes présentes :</w:t>
            </w:r>
          </w:p>
        </w:tc>
      </w:tr>
      <w:tr w:rsidR="00060D92" w:rsidRPr="00A05698" w:rsidTr="000D6E80">
        <w:tblPrEx>
          <w:shd w:val="clear" w:color="auto" w:fill="FFFFFF"/>
        </w:tblPrEx>
        <w:trPr>
          <w:gridAfter w:val="1"/>
          <w:wAfter w:w="500" w:type="pct"/>
          <w:trHeight w:val="172"/>
        </w:trPr>
        <w:tc>
          <w:tcPr>
            <w:tcW w:w="319" w:type="pct"/>
            <w:gridSpan w:val="2"/>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4F4212">
            <w:pPr>
              <w:ind w:right="-851"/>
              <w:rPr>
                <w:b/>
              </w:rPr>
            </w:pPr>
          </w:p>
        </w:tc>
        <w:tc>
          <w:tcPr>
            <w:tcW w:w="1913" w:type="pct"/>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4F4212">
            <w:pPr>
              <w:shd w:val="clear" w:color="auto" w:fill="FFFFFF"/>
              <w:ind w:right="-851"/>
            </w:pPr>
            <w:r w:rsidRPr="00A05698">
              <w:t>Mme Yannick Rasoarimanana</w:t>
            </w:r>
          </w:p>
        </w:tc>
        <w:tc>
          <w:tcPr>
            <w:tcW w:w="2268" w:type="pct"/>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4F4212">
            <w:pPr>
              <w:ind w:right="-851"/>
            </w:pPr>
            <w:r w:rsidRPr="00A05698">
              <w:t>Représentante de la FAO</w:t>
            </w:r>
          </w:p>
        </w:tc>
      </w:tr>
      <w:tr w:rsidR="00060D92" w:rsidRPr="00A05698" w:rsidTr="000D6E80">
        <w:tblPrEx>
          <w:shd w:val="clear" w:color="auto" w:fill="FFFFFF"/>
        </w:tblPrEx>
        <w:trPr>
          <w:gridAfter w:val="1"/>
          <w:wAfter w:w="500" w:type="pct"/>
          <w:trHeight w:val="592"/>
        </w:trPr>
        <w:tc>
          <w:tcPr>
            <w:tcW w:w="319" w:type="pct"/>
            <w:gridSpan w:val="2"/>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4F4212">
            <w:pPr>
              <w:ind w:right="-851"/>
              <w:rPr>
                <w:b/>
              </w:rPr>
            </w:pPr>
          </w:p>
        </w:tc>
        <w:tc>
          <w:tcPr>
            <w:tcW w:w="1913" w:type="pct"/>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0F7F0D" w:rsidRDefault="00060D92" w:rsidP="004F4212">
            <w:pPr>
              <w:ind w:right="-851"/>
              <w:rPr>
                <w:lang w:val="pt-BR" w:bidi="fr-FR"/>
              </w:rPr>
            </w:pPr>
            <w:r w:rsidRPr="000F7F0D">
              <w:rPr>
                <w:lang w:val="pt-BR" w:bidi="fr-FR"/>
              </w:rPr>
              <w:t>Mr Mario Tédo</w:t>
            </w:r>
          </w:p>
          <w:p w:rsidR="00060D92" w:rsidRPr="000F7F0D" w:rsidRDefault="00060D92" w:rsidP="004F4212">
            <w:pPr>
              <w:ind w:right="-851"/>
              <w:rPr>
                <w:lang w:val="pt-BR" w:bidi="fr-FR"/>
              </w:rPr>
            </w:pPr>
            <w:r w:rsidRPr="000F7F0D">
              <w:rPr>
                <w:lang w:val="pt-BR" w:bidi="fr-FR"/>
              </w:rPr>
              <w:t xml:space="preserve">Mr Mario </w:t>
            </w:r>
            <w:r w:rsidR="0038655F" w:rsidRPr="000F7F0D">
              <w:rPr>
                <w:lang w:val="pt-BR" w:bidi="fr-FR"/>
              </w:rPr>
              <w:t xml:space="preserve">Dos </w:t>
            </w:r>
            <w:r w:rsidRPr="000F7F0D">
              <w:rPr>
                <w:lang w:val="pt-BR" w:bidi="fr-FR"/>
              </w:rPr>
              <w:t>Réis</w:t>
            </w:r>
          </w:p>
        </w:tc>
        <w:tc>
          <w:tcPr>
            <w:tcW w:w="2268" w:type="pct"/>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4F4212">
            <w:pPr>
              <w:ind w:right="-851"/>
            </w:pPr>
            <w:r w:rsidRPr="00A05698">
              <w:t>Operateur à FAO</w:t>
            </w:r>
          </w:p>
          <w:p w:rsidR="00060D92" w:rsidRPr="00A05698" w:rsidRDefault="00060D92" w:rsidP="004F4212">
            <w:pPr>
              <w:ind w:right="-851"/>
              <w:rPr>
                <w:lang w:bidi="fr-FR"/>
              </w:rPr>
            </w:pPr>
            <w:r w:rsidRPr="00A05698">
              <w:t>Représentant Assistant du programme</w:t>
            </w:r>
          </w:p>
        </w:tc>
      </w:tr>
      <w:tr w:rsidR="00060D92" w:rsidRPr="00A05698" w:rsidTr="000D6E80">
        <w:tblPrEx>
          <w:shd w:val="clear" w:color="auto" w:fill="FFFFFF"/>
        </w:tblPrEx>
        <w:trPr>
          <w:gridAfter w:val="1"/>
          <w:wAfter w:w="500" w:type="pct"/>
          <w:trHeight w:val="172"/>
        </w:trPr>
        <w:tc>
          <w:tcPr>
            <w:tcW w:w="319" w:type="pct"/>
            <w:gridSpan w:val="2"/>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4F4212">
            <w:pPr>
              <w:ind w:right="-851"/>
              <w:rPr>
                <w:b/>
              </w:rPr>
            </w:pPr>
          </w:p>
        </w:tc>
        <w:tc>
          <w:tcPr>
            <w:tcW w:w="1913" w:type="pct"/>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4F4212">
            <w:pPr>
              <w:ind w:right="-851"/>
            </w:pPr>
            <w:r w:rsidRPr="00A05698">
              <w:t>Mr Amadou THIAM</w:t>
            </w:r>
          </w:p>
        </w:tc>
        <w:tc>
          <w:tcPr>
            <w:tcW w:w="2268" w:type="pct"/>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4F4212">
            <w:pPr>
              <w:ind w:right="-851"/>
            </w:pPr>
            <w:r w:rsidRPr="00A05698">
              <w:t>Consultant, Adjoint chef de mission</w:t>
            </w:r>
          </w:p>
        </w:tc>
      </w:tr>
      <w:tr w:rsidR="00060D92" w:rsidRPr="00A05698" w:rsidTr="000D6E80">
        <w:tblPrEx>
          <w:shd w:val="clear" w:color="auto" w:fill="FFFFFF"/>
        </w:tblPrEx>
        <w:trPr>
          <w:gridAfter w:val="1"/>
          <w:wAfter w:w="500" w:type="pct"/>
          <w:trHeight w:val="172"/>
        </w:trPr>
        <w:tc>
          <w:tcPr>
            <w:tcW w:w="319" w:type="pct"/>
            <w:gridSpan w:val="2"/>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4F4212">
            <w:pPr>
              <w:ind w:right="-851"/>
              <w:rPr>
                <w:b/>
              </w:rPr>
            </w:pPr>
          </w:p>
        </w:tc>
        <w:tc>
          <w:tcPr>
            <w:tcW w:w="1913" w:type="pct"/>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4F4212">
            <w:pPr>
              <w:ind w:right="-851"/>
            </w:pPr>
            <w:r w:rsidRPr="00A05698">
              <w:t>Mr Cabral</w:t>
            </w:r>
          </w:p>
        </w:tc>
        <w:tc>
          <w:tcPr>
            <w:tcW w:w="2268" w:type="pct"/>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4F4212">
            <w:pPr>
              <w:ind w:right="-851"/>
            </w:pPr>
            <w:r w:rsidRPr="00A05698">
              <w:t>Equipe du Consultant</w:t>
            </w:r>
            <w:r w:rsidRPr="00A05698">
              <w:rPr>
                <w:lang w:bidi="fr-FR"/>
              </w:rPr>
              <w:t xml:space="preserve"> </w:t>
            </w:r>
          </w:p>
        </w:tc>
      </w:tr>
      <w:tr w:rsidR="00060D92" w:rsidRPr="00A05698" w:rsidTr="000D6E80">
        <w:trPr>
          <w:trHeight w:val="1399"/>
        </w:trPr>
        <w:tc>
          <w:tcPr>
            <w:tcW w:w="1197" w:type="pct"/>
            <w:gridSpan w:val="4"/>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4F4212">
            <w:pPr>
              <w:ind w:right="-851"/>
            </w:pPr>
          </w:p>
          <w:p w:rsidR="00060D92" w:rsidRPr="00A05698" w:rsidRDefault="00060D92" w:rsidP="004F4212">
            <w:pPr>
              <w:ind w:right="-851"/>
            </w:pPr>
            <w:r w:rsidRPr="00A05698">
              <w:t>ORDRE DU JOUR :</w:t>
            </w:r>
          </w:p>
        </w:tc>
        <w:tc>
          <w:tcPr>
            <w:tcW w:w="3803" w:type="pct"/>
            <w:gridSpan w:val="3"/>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4F4212">
            <w:pPr>
              <w:ind w:right="-851"/>
              <w:rPr>
                <w:b/>
              </w:rPr>
            </w:pPr>
          </w:p>
          <w:p w:rsidR="00060D92" w:rsidRPr="00A05698" w:rsidRDefault="00060D92" w:rsidP="004F4212">
            <w:pPr>
              <w:ind w:right="-851"/>
            </w:pPr>
            <w:r w:rsidRPr="00A05698">
              <w:rPr>
                <w:b/>
              </w:rPr>
              <w:t>Réunion de Présentation</w:t>
            </w:r>
            <w:r w:rsidRPr="00A05698">
              <w:t xml:space="preserve"> : </w:t>
            </w:r>
          </w:p>
          <w:p w:rsidR="00060D92" w:rsidRPr="00A05698" w:rsidRDefault="00060D92" w:rsidP="00157035">
            <w:pPr>
              <w:numPr>
                <w:ilvl w:val="0"/>
                <w:numId w:val="35"/>
              </w:numPr>
              <w:ind w:right="-851"/>
              <w:jc w:val="both"/>
            </w:pPr>
            <w:r w:rsidRPr="00A05698">
              <w:t xml:space="preserve">Présentation du Consultant et son équipe, </w:t>
            </w:r>
          </w:p>
          <w:p w:rsidR="00060D92" w:rsidRPr="00A05698" w:rsidRDefault="00060D92" w:rsidP="00157035">
            <w:pPr>
              <w:numPr>
                <w:ilvl w:val="0"/>
                <w:numId w:val="35"/>
              </w:numPr>
              <w:ind w:right="-851"/>
              <w:jc w:val="both"/>
            </w:pPr>
            <w:r w:rsidRPr="00A05698">
              <w:t xml:space="preserve">Précision de l’objectif de la mission </w:t>
            </w:r>
          </w:p>
          <w:p w:rsidR="00060D92" w:rsidRPr="00A05698" w:rsidRDefault="00060D92" w:rsidP="00157035">
            <w:pPr>
              <w:numPr>
                <w:ilvl w:val="0"/>
                <w:numId w:val="35"/>
              </w:numPr>
              <w:ind w:right="-851"/>
              <w:jc w:val="both"/>
            </w:pPr>
            <w:r w:rsidRPr="00A05698">
              <w:t>Expression des besoins du consultant.</w:t>
            </w:r>
          </w:p>
        </w:tc>
      </w:tr>
      <w:tr w:rsidR="00060D92" w:rsidRPr="00A05698" w:rsidTr="000D6E80">
        <w:trPr>
          <w:trHeight w:val="600"/>
        </w:trPr>
        <w:tc>
          <w:tcPr>
            <w:tcW w:w="5000" w:type="pct"/>
            <w:gridSpan w:val="7"/>
            <w:tcBorders>
              <w:top w:val="single" w:sz="4" w:space="0" w:color="FFFFFF"/>
              <w:left w:val="single" w:sz="4" w:space="0" w:color="FFFFFF"/>
              <w:right w:val="single" w:sz="4" w:space="0" w:color="FFFFFF"/>
            </w:tcBorders>
            <w:shd w:val="clear" w:color="auto" w:fill="auto"/>
            <w:vAlign w:val="center"/>
          </w:tcPr>
          <w:p w:rsidR="00060D92" w:rsidRPr="00A05698" w:rsidRDefault="00060D92" w:rsidP="004F4212">
            <w:pPr>
              <w:ind w:right="-851"/>
              <w:rPr>
                <w:b/>
              </w:rPr>
            </w:pPr>
            <w:r w:rsidRPr="00A05698">
              <w:t>POINTS DISCUTÉS :</w:t>
            </w:r>
          </w:p>
        </w:tc>
      </w:tr>
      <w:tr w:rsidR="00060D92" w:rsidRPr="00A05698" w:rsidTr="000D6E80">
        <w:trPr>
          <w:trHeight w:val="2786"/>
        </w:trPr>
        <w:tc>
          <w:tcPr>
            <w:tcW w:w="142" w:type="pct"/>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4F4212">
            <w:pPr>
              <w:ind w:right="-851"/>
            </w:pPr>
          </w:p>
        </w:tc>
        <w:tc>
          <w:tcPr>
            <w:tcW w:w="4858" w:type="pct"/>
            <w:gridSpan w:val="6"/>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157035">
            <w:pPr>
              <w:numPr>
                <w:ilvl w:val="0"/>
                <w:numId w:val="34"/>
              </w:numPr>
              <w:ind w:right="-851"/>
            </w:pPr>
            <w:r w:rsidRPr="00A05698">
              <w:t>La représentante de la FAO est revenue le rôle de la FAO dans le cadre du projet et en précisant l’objectif attendu dans le cadre de la mission et du CGES ;</w:t>
            </w:r>
          </w:p>
          <w:p w:rsidR="00060D92" w:rsidRPr="00A05698" w:rsidRDefault="00060D92" w:rsidP="00157035">
            <w:pPr>
              <w:numPr>
                <w:ilvl w:val="0"/>
                <w:numId w:val="34"/>
              </w:numPr>
              <w:ind w:right="-851"/>
            </w:pPr>
            <w:r w:rsidRPr="00A05698">
              <w:t>Les aspects importants dans le cadre du projet qui faudra prendre en compte dans l’étude comme l’utilisation des pestes et pesticides, la gestion des productions de déchet polluant organique ;</w:t>
            </w:r>
          </w:p>
          <w:p w:rsidR="00060D92" w:rsidRPr="00A05698" w:rsidRDefault="00060D92" w:rsidP="00157035">
            <w:pPr>
              <w:numPr>
                <w:ilvl w:val="0"/>
                <w:numId w:val="34"/>
              </w:numPr>
              <w:ind w:right="-851"/>
            </w:pPr>
            <w:r w:rsidRPr="00A05698">
              <w:t>Le planning de travail du Consultant ;</w:t>
            </w:r>
          </w:p>
          <w:p w:rsidR="00060D92" w:rsidRPr="00A05698" w:rsidRDefault="00060D92" w:rsidP="00157035">
            <w:pPr>
              <w:numPr>
                <w:ilvl w:val="0"/>
                <w:numId w:val="34"/>
              </w:numPr>
              <w:ind w:right="-851"/>
            </w:pPr>
            <w:r w:rsidRPr="00A05698">
              <w:t>L’opérateur est revenu par rapport au calendrier des livrables des rapports ;</w:t>
            </w:r>
          </w:p>
          <w:p w:rsidR="00060D92" w:rsidRPr="00A05698" w:rsidRDefault="00060D92" w:rsidP="00157035">
            <w:pPr>
              <w:numPr>
                <w:ilvl w:val="0"/>
                <w:numId w:val="34"/>
              </w:numPr>
              <w:ind w:right="-851"/>
            </w:pPr>
            <w:r w:rsidRPr="00A05698">
              <w:t>Le Consultant a demandé des précisions par rapport à la localisation, la répartition des différentes activités prévues et les ciblages des bénéficiaires du projet ;</w:t>
            </w:r>
          </w:p>
          <w:p w:rsidR="00060D92" w:rsidRPr="00A05698" w:rsidRDefault="00060D92" w:rsidP="00157035">
            <w:pPr>
              <w:numPr>
                <w:ilvl w:val="0"/>
                <w:numId w:val="34"/>
              </w:numPr>
              <w:ind w:right="-851"/>
            </w:pPr>
            <w:r w:rsidRPr="00A05698">
              <w:t>L’expression des besoins en termes de documentation.</w:t>
            </w:r>
          </w:p>
          <w:p w:rsidR="00060D92" w:rsidRPr="00A05698" w:rsidRDefault="00060D92" w:rsidP="004F4212">
            <w:pPr>
              <w:ind w:left="720" w:right="-851"/>
            </w:pPr>
          </w:p>
        </w:tc>
      </w:tr>
      <w:tr w:rsidR="00060D92" w:rsidRPr="00A05698" w:rsidTr="00755863">
        <w:trPr>
          <w:trHeight w:val="992"/>
        </w:trPr>
        <w:tc>
          <w:tcPr>
            <w:tcW w:w="142" w:type="pct"/>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4F4212">
            <w:pPr>
              <w:ind w:right="-851"/>
            </w:pPr>
          </w:p>
        </w:tc>
        <w:tc>
          <w:tcPr>
            <w:tcW w:w="4858" w:type="pct"/>
            <w:gridSpan w:val="6"/>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4F4212">
            <w:pPr>
              <w:ind w:right="-851"/>
            </w:pPr>
            <w:r w:rsidRPr="00A05698">
              <w:t>DECISIONS PRISES :</w:t>
            </w:r>
          </w:p>
          <w:p w:rsidR="00060D92" w:rsidRPr="00A05698" w:rsidRDefault="00060D92" w:rsidP="004F4212">
            <w:pPr>
              <w:spacing w:before="120"/>
              <w:ind w:right="-851"/>
            </w:pPr>
            <w:r w:rsidRPr="00A05698">
              <w:t>Plusieurs points ont été discutés et arrêtés durant cette séance de travail, à savoir :</w:t>
            </w:r>
          </w:p>
          <w:p w:rsidR="00060D92" w:rsidRPr="00A05698" w:rsidRDefault="00060D92" w:rsidP="00157035">
            <w:pPr>
              <w:numPr>
                <w:ilvl w:val="0"/>
                <w:numId w:val="33"/>
              </w:numPr>
              <w:spacing w:before="120"/>
              <w:ind w:right="-851"/>
              <w:jc w:val="both"/>
            </w:pPr>
            <w:r w:rsidRPr="00A05698">
              <w:t>La FAO soumettra au consultant le guide en matière des mesures de sauvegarde de la FAO (Instrument en matière de sauvegarde environnemental et social de la FAO) ;</w:t>
            </w:r>
          </w:p>
          <w:p w:rsidR="00060D92" w:rsidRPr="00A05698" w:rsidRDefault="00060D92" w:rsidP="00157035">
            <w:pPr>
              <w:numPr>
                <w:ilvl w:val="0"/>
                <w:numId w:val="33"/>
              </w:numPr>
              <w:spacing w:before="120"/>
              <w:ind w:right="-851"/>
              <w:jc w:val="both"/>
            </w:pPr>
            <w:r w:rsidRPr="00A05698">
              <w:t>Rencontrer ces différents acteurs ci-dessous pour avoir plus de donnée niveau opérationnel du projet :</w:t>
            </w:r>
          </w:p>
          <w:p w:rsidR="00060D92" w:rsidRPr="00A05698" w:rsidRDefault="00060D92" w:rsidP="00157035">
            <w:pPr>
              <w:numPr>
                <w:ilvl w:val="0"/>
                <w:numId w:val="36"/>
              </w:numPr>
              <w:ind w:left="1751" w:right="-851"/>
              <w:jc w:val="both"/>
            </w:pPr>
            <w:r w:rsidRPr="00A05698">
              <w:t>Mr ALFA, le coordinateur du projet PUSA en intérim ;</w:t>
            </w:r>
          </w:p>
          <w:p w:rsidR="00060D92" w:rsidRPr="00A05698" w:rsidRDefault="00060D92" w:rsidP="00157035">
            <w:pPr>
              <w:numPr>
                <w:ilvl w:val="0"/>
                <w:numId w:val="36"/>
              </w:numPr>
              <w:ind w:left="1751" w:right="-851"/>
              <w:jc w:val="both"/>
            </w:pPr>
            <w:r w:rsidRPr="00A05698">
              <w:t>Mr Gassama au niveau du ministère de l’Agriculture ;</w:t>
            </w:r>
          </w:p>
          <w:p w:rsidR="00060D92" w:rsidRPr="00A05698" w:rsidRDefault="00060D92" w:rsidP="00157035">
            <w:pPr>
              <w:numPr>
                <w:ilvl w:val="0"/>
                <w:numId w:val="36"/>
              </w:numPr>
              <w:ind w:left="1751" w:right="-851"/>
              <w:jc w:val="both"/>
            </w:pPr>
            <w:r w:rsidRPr="00A05698">
              <w:t>Mr Julio M. Ndiaye, directeur général de l’Agriculture ;</w:t>
            </w:r>
          </w:p>
          <w:p w:rsidR="00060D92" w:rsidRPr="00A05698" w:rsidRDefault="00060D92" w:rsidP="00157035">
            <w:pPr>
              <w:numPr>
                <w:ilvl w:val="0"/>
                <w:numId w:val="33"/>
              </w:numPr>
              <w:spacing w:before="120"/>
              <w:ind w:right="-851"/>
              <w:jc w:val="both"/>
            </w:pPr>
            <w:r w:rsidRPr="00A05698">
              <w:t>La FAO mettra à la disposition du Consultant tous les informations nécessaires pour le bon déroulement des activités de l’étude ;</w:t>
            </w:r>
          </w:p>
        </w:tc>
      </w:tr>
    </w:tbl>
    <w:p w:rsidR="00FF19FC" w:rsidRPr="00A05698" w:rsidRDefault="00FF19FC" w:rsidP="00E72CB1">
      <w:pPr>
        <w:autoSpaceDE w:val="0"/>
        <w:autoSpaceDN w:val="0"/>
        <w:adjustRightInd w:val="0"/>
        <w:jc w:val="both"/>
      </w:pPr>
    </w:p>
    <w:p w:rsidR="00FF19FC" w:rsidRPr="00A05698" w:rsidRDefault="00FF19FC" w:rsidP="00BB7A44">
      <w:pPr>
        <w:pStyle w:val="Cabealho1"/>
        <w:numPr>
          <w:ilvl w:val="0"/>
          <w:numId w:val="0"/>
        </w:numPr>
        <w:pBdr>
          <w:bottom w:val="thickThinSmallGap" w:sz="24" w:space="1" w:color="auto"/>
        </w:pBdr>
        <w:shd w:val="clear" w:color="auto" w:fill="E2EFD9" w:themeFill="accent6" w:themeFillTint="33"/>
        <w:spacing w:after="120"/>
        <w:rPr>
          <w:rFonts w:ascii="Times New Roman" w:hAnsi="Times New Roman"/>
          <w:sz w:val="28"/>
          <w:szCs w:val="28"/>
        </w:rPr>
      </w:pPr>
      <w:bookmarkStart w:id="562" w:name="_Toc55465413"/>
      <w:bookmarkStart w:id="563" w:name="_Toc73459842"/>
      <w:r w:rsidRPr="00A05698">
        <w:rPr>
          <w:rFonts w:ascii="Times New Roman" w:hAnsi="Times New Roman"/>
          <w:sz w:val="28"/>
          <w:szCs w:val="28"/>
        </w:rPr>
        <w:t xml:space="preserve">ANNEXE </w:t>
      </w:r>
      <w:r w:rsidR="0068286B">
        <w:rPr>
          <w:rFonts w:ascii="Times New Roman" w:hAnsi="Times New Roman"/>
          <w:sz w:val="28"/>
          <w:szCs w:val="28"/>
        </w:rPr>
        <w:t>10</w:t>
      </w:r>
      <w:r w:rsidRPr="00A05698">
        <w:rPr>
          <w:rFonts w:ascii="Times New Roman" w:hAnsi="Times New Roman"/>
          <w:sz w:val="28"/>
          <w:szCs w:val="28"/>
        </w:rPr>
        <w:t>. MODELE D</w:t>
      </w:r>
      <w:r w:rsidR="009B6F31">
        <w:rPr>
          <w:rFonts w:ascii="Times New Roman" w:hAnsi="Times New Roman"/>
          <w:sz w:val="28"/>
          <w:szCs w:val="28"/>
        </w:rPr>
        <w:t>E</w:t>
      </w:r>
      <w:r w:rsidRPr="00A05698">
        <w:rPr>
          <w:rFonts w:ascii="Times New Roman" w:hAnsi="Times New Roman"/>
          <w:sz w:val="28"/>
          <w:szCs w:val="28"/>
        </w:rPr>
        <w:t xml:space="preserve"> CANEVAS POUR LES AEI</w:t>
      </w:r>
      <w:bookmarkEnd w:id="562"/>
      <w:bookmarkEnd w:id="563"/>
    </w:p>
    <w:p w:rsidR="00FF19FC" w:rsidRPr="00A05698" w:rsidRDefault="00FF19FC" w:rsidP="00157035">
      <w:pPr>
        <w:numPr>
          <w:ilvl w:val="0"/>
          <w:numId w:val="126"/>
        </w:numPr>
        <w:spacing w:before="60" w:after="60"/>
        <w:rPr>
          <w:rFonts w:eastAsia="Calibri"/>
          <w:b/>
        </w:rPr>
      </w:pPr>
      <w:r w:rsidRPr="00A05698">
        <w:rPr>
          <w:rFonts w:eastAsia="Calibri"/>
          <w:b/>
        </w:rPr>
        <w:t>Informations générales</w:t>
      </w:r>
    </w:p>
    <w:tbl>
      <w:tblPr>
        <w:tblW w:w="5000" w:type="pct"/>
        <w:tblLook w:val="0000" w:firstRow="0" w:lastRow="0" w:firstColumn="0" w:lastColumn="0" w:noHBand="0" w:noVBand="0"/>
      </w:tblPr>
      <w:tblGrid>
        <w:gridCol w:w="5729"/>
        <w:gridCol w:w="3559"/>
      </w:tblGrid>
      <w:tr w:rsidR="00FF19FC" w:rsidRPr="00A05698" w:rsidTr="00FF19FC">
        <w:trPr>
          <w:cantSplit/>
          <w:trHeight w:val="78"/>
        </w:trPr>
        <w:tc>
          <w:tcPr>
            <w:tcW w:w="3084" w:type="pct"/>
            <w:tcBorders>
              <w:top w:val="single" w:sz="4" w:space="0" w:color="auto"/>
              <w:left w:val="single" w:sz="4" w:space="0" w:color="auto"/>
              <w:bottom w:val="single" w:sz="4" w:space="0" w:color="auto"/>
              <w:right w:val="single" w:sz="4" w:space="0" w:color="auto"/>
            </w:tcBorders>
          </w:tcPr>
          <w:p w:rsidR="00FF19FC" w:rsidRPr="00A05698" w:rsidRDefault="00FF19FC" w:rsidP="00157035">
            <w:pPr>
              <w:numPr>
                <w:ilvl w:val="0"/>
                <w:numId w:val="127"/>
              </w:numPr>
              <w:rPr>
                <w:rFonts w:eastAsia="Calibri"/>
                <w:spacing w:val="-5"/>
              </w:rPr>
            </w:pPr>
            <w:r w:rsidRPr="00A05698">
              <w:rPr>
                <w:rFonts w:eastAsia="Calibri"/>
                <w:spacing w:val="-5"/>
              </w:rPr>
              <w:t>Dénomination ou raison sociale du promoteur</w:t>
            </w:r>
          </w:p>
        </w:tc>
        <w:tc>
          <w:tcPr>
            <w:tcW w:w="1916"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rPr>
          <w:cantSplit/>
          <w:trHeight w:val="137"/>
        </w:trPr>
        <w:tc>
          <w:tcPr>
            <w:tcW w:w="3084" w:type="pct"/>
            <w:tcBorders>
              <w:top w:val="single" w:sz="4" w:space="0" w:color="auto"/>
              <w:left w:val="single" w:sz="4" w:space="0" w:color="auto"/>
              <w:bottom w:val="single" w:sz="4" w:space="0" w:color="auto"/>
            </w:tcBorders>
          </w:tcPr>
          <w:p w:rsidR="00FF19FC" w:rsidRPr="00A05698" w:rsidRDefault="00FF19FC" w:rsidP="00157035">
            <w:pPr>
              <w:numPr>
                <w:ilvl w:val="0"/>
                <w:numId w:val="127"/>
              </w:numPr>
              <w:rPr>
                <w:rFonts w:eastAsia="Calibri"/>
                <w:spacing w:val="-5"/>
              </w:rPr>
            </w:pPr>
            <w:r w:rsidRPr="00A05698">
              <w:rPr>
                <w:rFonts w:eastAsia="Calibri"/>
                <w:spacing w:val="-5"/>
              </w:rPr>
              <w:t xml:space="preserve">Nom, Prénom de la personne responsable </w:t>
            </w:r>
          </w:p>
        </w:tc>
        <w:tc>
          <w:tcPr>
            <w:tcW w:w="1916"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rPr>
          <w:cantSplit/>
          <w:trHeight w:val="70"/>
        </w:trPr>
        <w:tc>
          <w:tcPr>
            <w:tcW w:w="3084" w:type="pct"/>
            <w:tcBorders>
              <w:top w:val="single" w:sz="4" w:space="0" w:color="auto"/>
              <w:left w:val="single" w:sz="4" w:space="0" w:color="auto"/>
              <w:right w:val="single" w:sz="4" w:space="0" w:color="auto"/>
            </w:tcBorders>
          </w:tcPr>
          <w:p w:rsidR="00FF19FC" w:rsidRPr="00A05698" w:rsidRDefault="00FF19FC" w:rsidP="00157035">
            <w:pPr>
              <w:numPr>
                <w:ilvl w:val="0"/>
                <w:numId w:val="127"/>
              </w:numPr>
              <w:rPr>
                <w:rFonts w:eastAsia="Calibri"/>
                <w:spacing w:val="-5"/>
              </w:rPr>
            </w:pPr>
            <w:r w:rsidRPr="00A05698">
              <w:rPr>
                <w:rFonts w:eastAsia="Calibri"/>
                <w:spacing w:val="-5"/>
              </w:rPr>
              <w:t>Adresse du siège social</w:t>
            </w:r>
          </w:p>
        </w:tc>
        <w:tc>
          <w:tcPr>
            <w:tcW w:w="1916" w:type="pct"/>
            <w:tcBorders>
              <w:top w:val="single" w:sz="4" w:space="0" w:color="auto"/>
              <w:left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rPr>
          <w:cantSplit/>
          <w:trHeight w:val="70"/>
        </w:trPr>
        <w:tc>
          <w:tcPr>
            <w:tcW w:w="3084" w:type="pct"/>
            <w:tcBorders>
              <w:top w:val="single" w:sz="4" w:space="0" w:color="auto"/>
              <w:left w:val="single" w:sz="4" w:space="0" w:color="auto"/>
              <w:right w:val="single" w:sz="4" w:space="0" w:color="auto"/>
            </w:tcBorders>
          </w:tcPr>
          <w:p w:rsidR="00FF19FC" w:rsidRPr="00A05698" w:rsidRDefault="00FF19FC" w:rsidP="00157035">
            <w:pPr>
              <w:numPr>
                <w:ilvl w:val="0"/>
                <w:numId w:val="127"/>
              </w:numPr>
              <w:rPr>
                <w:rFonts w:eastAsia="Calibri"/>
                <w:spacing w:val="-5"/>
              </w:rPr>
            </w:pPr>
            <w:r w:rsidRPr="00A05698">
              <w:rPr>
                <w:rFonts w:eastAsia="Calibri"/>
                <w:spacing w:val="-5"/>
              </w:rPr>
              <w:t>Adresse du site d’exploitation si différent du siège social</w:t>
            </w:r>
          </w:p>
        </w:tc>
        <w:tc>
          <w:tcPr>
            <w:tcW w:w="1916" w:type="pct"/>
            <w:tcBorders>
              <w:top w:val="single" w:sz="4" w:space="0" w:color="auto"/>
              <w:left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rPr>
          <w:cantSplit/>
          <w:trHeight w:val="70"/>
        </w:trPr>
        <w:tc>
          <w:tcPr>
            <w:tcW w:w="3084" w:type="pct"/>
            <w:tcBorders>
              <w:top w:val="single" w:sz="4" w:space="0" w:color="auto"/>
              <w:left w:val="single" w:sz="4" w:space="0" w:color="auto"/>
              <w:bottom w:val="single" w:sz="4" w:space="0" w:color="auto"/>
            </w:tcBorders>
          </w:tcPr>
          <w:p w:rsidR="00FF19FC" w:rsidRPr="00A05698" w:rsidRDefault="00FF19FC" w:rsidP="00157035">
            <w:pPr>
              <w:numPr>
                <w:ilvl w:val="0"/>
                <w:numId w:val="127"/>
              </w:numPr>
              <w:rPr>
                <w:rFonts w:eastAsia="Calibri"/>
                <w:spacing w:val="-5"/>
              </w:rPr>
            </w:pPr>
            <w:r w:rsidRPr="00A05698">
              <w:rPr>
                <w:rFonts w:eastAsia="Calibri"/>
                <w:spacing w:val="-5"/>
              </w:rPr>
              <w:t>Téléphone / Fax</w:t>
            </w:r>
          </w:p>
        </w:tc>
        <w:tc>
          <w:tcPr>
            <w:tcW w:w="1916"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rPr>
          <w:cantSplit/>
          <w:trHeight w:val="208"/>
        </w:trPr>
        <w:tc>
          <w:tcPr>
            <w:tcW w:w="3084" w:type="pct"/>
            <w:tcBorders>
              <w:top w:val="single" w:sz="4" w:space="0" w:color="auto"/>
              <w:left w:val="single" w:sz="4" w:space="0" w:color="auto"/>
              <w:bottom w:val="single" w:sz="4" w:space="0" w:color="auto"/>
              <w:right w:val="single" w:sz="4" w:space="0" w:color="auto"/>
            </w:tcBorders>
          </w:tcPr>
          <w:p w:rsidR="00FF19FC" w:rsidRPr="00A05698" w:rsidRDefault="00FF19FC" w:rsidP="00157035">
            <w:pPr>
              <w:numPr>
                <w:ilvl w:val="0"/>
                <w:numId w:val="127"/>
              </w:numPr>
              <w:rPr>
                <w:rFonts w:eastAsia="Calibri"/>
                <w:spacing w:val="-5"/>
              </w:rPr>
            </w:pPr>
            <w:r w:rsidRPr="00A05698">
              <w:rPr>
                <w:rFonts w:eastAsia="Calibri"/>
                <w:spacing w:val="-5"/>
              </w:rPr>
              <w:t>E-mail</w:t>
            </w:r>
          </w:p>
        </w:tc>
        <w:tc>
          <w:tcPr>
            <w:tcW w:w="1916" w:type="pct"/>
            <w:tcBorders>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rPr>
          <w:cantSplit/>
          <w:trHeight w:val="126"/>
        </w:trPr>
        <w:tc>
          <w:tcPr>
            <w:tcW w:w="3084" w:type="pct"/>
            <w:tcBorders>
              <w:top w:val="single" w:sz="4" w:space="0" w:color="auto"/>
              <w:left w:val="single" w:sz="4" w:space="0" w:color="auto"/>
              <w:bottom w:val="single" w:sz="4" w:space="0" w:color="auto"/>
              <w:right w:val="single" w:sz="4" w:space="0" w:color="auto"/>
            </w:tcBorders>
          </w:tcPr>
          <w:p w:rsidR="00FF19FC" w:rsidRPr="00A05698" w:rsidRDefault="00FF19FC" w:rsidP="00157035">
            <w:pPr>
              <w:numPr>
                <w:ilvl w:val="0"/>
                <w:numId w:val="127"/>
              </w:numPr>
              <w:rPr>
                <w:rFonts w:eastAsia="Calibri"/>
                <w:spacing w:val="-5"/>
              </w:rPr>
            </w:pPr>
            <w:r w:rsidRPr="00A05698">
              <w:rPr>
                <w:rFonts w:eastAsia="Calibri"/>
                <w:spacing w:val="-5"/>
              </w:rPr>
              <w:t>Dénomination du bureau d’études ou de la personne physique agréé (e) mandaté (e) par le promoteur</w:t>
            </w:r>
          </w:p>
        </w:tc>
        <w:tc>
          <w:tcPr>
            <w:tcW w:w="1916" w:type="pct"/>
            <w:tcBorders>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bl>
    <w:p w:rsidR="00FF19FC" w:rsidRPr="00A05698" w:rsidRDefault="00FF19FC" w:rsidP="00157035">
      <w:pPr>
        <w:numPr>
          <w:ilvl w:val="0"/>
          <w:numId w:val="126"/>
        </w:numPr>
        <w:spacing w:before="60" w:after="60"/>
        <w:ind w:left="714" w:hanging="357"/>
        <w:rPr>
          <w:rFonts w:eastAsia="Calibri"/>
          <w:b/>
        </w:rPr>
      </w:pPr>
      <w:r w:rsidRPr="00A05698">
        <w:rPr>
          <w:rFonts w:eastAsia="Calibri"/>
          <w:b/>
        </w:rPr>
        <w:t>Raison de la demande</w:t>
      </w:r>
    </w:p>
    <w:tbl>
      <w:tblPr>
        <w:tblW w:w="5001" w:type="pct"/>
        <w:tblLook w:val="0000" w:firstRow="0" w:lastRow="0" w:firstColumn="0" w:lastColumn="0" w:noHBand="0" w:noVBand="0"/>
      </w:tblPr>
      <w:tblGrid>
        <w:gridCol w:w="8047"/>
        <w:gridCol w:w="1243"/>
      </w:tblGrid>
      <w:tr w:rsidR="00FF19FC" w:rsidRPr="00A05698" w:rsidTr="00FF19FC">
        <w:trPr>
          <w:cantSplit/>
        </w:trPr>
        <w:tc>
          <w:tcPr>
            <w:tcW w:w="4331" w:type="pct"/>
            <w:tcBorders>
              <w:top w:val="single" w:sz="4" w:space="0" w:color="auto"/>
              <w:left w:val="single" w:sz="4" w:space="0" w:color="auto"/>
              <w:bottom w:val="single" w:sz="4" w:space="0" w:color="auto"/>
              <w:right w:val="single" w:sz="4" w:space="0" w:color="auto"/>
            </w:tcBorders>
          </w:tcPr>
          <w:p w:rsidR="00FF19FC" w:rsidRPr="00A05698" w:rsidRDefault="00FF19FC" w:rsidP="00157035">
            <w:pPr>
              <w:numPr>
                <w:ilvl w:val="0"/>
                <w:numId w:val="128"/>
              </w:numPr>
              <w:rPr>
                <w:rFonts w:eastAsia="Calibri"/>
                <w:spacing w:val="-5"/>
              </w:rPr>
            </w:pPr>
            <w:r w:rsidRPr="00A05698">
              <w:rPr>
                <w:rFonts w:eastAsia="Calibri"/>
                <w:spacing w:val="-5"/>
              </w:rPr>
              <w:t xml:space="preserve"> Nouvelle implantation</w:t>
            </w:r>
          </w:p>
        </w:tc>
        <w:tc>
          <w:tcPr>
            <w:tcW w:w="669"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rPr>
          <w:cantSplit/>
        </w:trPr>
        <w:tc>
          <w:tcPr>
            <w:tcW w:w="4331" w:type="pct"/>
            <w:tcBorders>
              <w:top w:val="single" w:sz="4" w:space="0" w:color="auto"/>
              <w:left w:val="single" w:sz="4" w:space="0" w:color="auto"/>
              <w:bottom w:val="single" w:sz="4" w:space="0" w:color="auto"/>
            </w:tcBorders>
          </w:tcPr>
          <w:p w:rsidR="00FF19FC" w:rsidRPr="00A05698" w:rsidRDefault="00FF19FC" w:rsidP="00157035">
            <w:pPr>
              <w:numPr>
                <w:ilvl w:val="0"/>
                <w:numId w:val="128"/>
              </w:numPr>
              <w:rPr>
                <w:rFonts w:eastAsia="Calibri"/>
                <w:spacing w:val="-5"/>
              </w:rPr>
            </w:pPr>
            <w:r w:rsidRPr="00A05698">
              <w:rPr>
                <w:rFonts w:eastAsia="Calibri"/>
                <w:spacing w:val="-5"/>
              </w:rPr>
              <w:t>Extension</w:t>
            </w:r>
          </w:p>
        </w:tc>
        <w:tc>
          <w:tcPr>
            <w:tcW w:w="669"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ind w:left="720"/>
              <w:rPr>
                <w:rFonts w:eastAsia="Calibri"/>
                <w:spacing w:val="-5"/>
              </w:rPr>
            </w:pPr>
            <w:r w:rsidRPr="00A05698">
              <w:rPr>
                <w:noProof/>
                <w:lang w:val="pt-PT" w:eastAsia="pt-PT"/>
              </w:rPr>
              <mc:AlternateContent>
                <mc:Choice Requires="wps">
                  <w:drawing>
                    <wp:anchor distT="0" distB="0" distL="114300" distR="114300" simplePos="0" relativeHeight="251658261" behindDoc="1" locked="0" layoutInCell="1" allowOverlap="1" wp14:anchorId="5DDD7018" wp14:editId="13223392">
                      <wp:simplePos x="0" y="0"/>
                      <wp:positionH relativeFrom="column">
                        <wp:posOffset>234315</wp:posOffset>
                      </wp:positionH>
                      <wp:positionV relativeFrom="paragraph">
                        <wp:posOffset>33020</wp:posOffset>
                      </wp:positionV>
                      <wp:extent cx="130810" cy="130810"/>
                      <wp:effectExtent l="0" t="0" r="21590" b="21590"/>
                      <wp:wrapNone/>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30810"/>
                              </a:xfrm>
                              <a:prstGeom prst="rect">
                                <a:avLst/>
                              </a:prstGeom>
                              <a:solidFill>
                                <a:srgbClr val="FFFFFF"/>
                              </a:solidFill>
                              <a:ln w="9525">
                                <a:solidFill>
                                  <a:srgbClr val="000000"/>
                                </a:solidFill>
                                <a:miter lim="800000"/>
                                <a:headEnd/>
                                <a:tailEnd/>
                              </a:ln>
                            </wps:spPr>
                            <wps:txbx>
                              <w:txbxContent>
                                <w:p w:rsidR="005851EB" w:rsidRDefault="005851EB" w:rsidP="00FF19FC">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DDD7018" id="Zone de texte 196" o:spid="_x0000_s1044" type="#_x0000_t202" style="position:absolute;left:0;text-align:left;margin-left:18.45pt;margin-top:2.6pt;width:10.3pt;height:10.3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">
                      <v:textbox>
                        <w:txbxContent>
                          <w:p w14:paraId="356AFCD7" w14:textId="77777777" w:rsidR="005851EB" w:rsidRDefault="005851EB" w:rsidP="00FF19FC">
                            <w:r>
                              <w:t>x</w:t>
                            </w:r>
                          </w:p>
                        </w:txbxContent>
                      </v:textbox>
                    </v:shape>
                  </w:pict>
                </mc:Fallback>
              </mc:AlternateContent>
            </w:r>
          </w:p>
        </w:tc>
      </w:tr>
      <w:tr w:rsidR="00FF19FC" w:rsidRPr="00A05698" w:rsidTr="00FF19FC">
        <w:trPr>
          <w:cantSplit/>
        </w:trPr>
        <w:tc>
          <w:tcPr>
            <w:tcW w:w="4331" w:type="pct"/>
            <w:tcBorders>
              <w:top w:val="single" w:sz="4" w:space="0" w:color="auto"/>
              <w:left w:val="single" w:sz="4" w:space="0" w:color="auto"/>
              <w:right w:val="single" w:sz="4" w:space="0" w:color="auto"/>
            </w:tcBorders>
          </w:tcPr>
          <w:p w:rsidR="00FF19FC" w:rsidRPr="00A05698" w:rsidRDefault="00FF19FC" w:rsidP="00157035">
            <w:pPr>
              <w:numPr>
                <w:ilvl w:val="0"/>
                <w:numId w:val="128"/>
              </w:numPr>
              <w:rPr>
                <w:rFonts w:eastAsia="Calibri"/>
                <w:spacing w:val="-5"/>
              </w:rPr>
            </w:pPr>
            <w:r w:rsidRPr="00A05698">
              <w:rPr>
                <w:rFonts w:eastAsia="Calibri"/>
                <w:spacing w:val="-5"/>
              </w:rPr>
              <w:t>Modification</w:t>
            </w:r>
          </w:p>
        </w:tc>
        <w:tc>
          <w:tcPr>
            <w:tcW w:w="669" w:type="pct"/>
            <w:tcBorders>
              <w:top w:val="single" w:sz="4" w:space="0" w:color="auto"/>
              <w:left w:val="single" w:sz="4" w:space="0" w:color="auto"/>
              <w:right w:val="single" w:sz="4" w:space="0" w:color="auto"/>
            </w:tcBorders>
          </w:tcPr>
          <w:p w:rsidR="00FF19FC" w:rsidRPr="00A05698" w:rsidRDefault="00FF19FC" w:rsidP="00FF19FC">
            <w:pPr>
              <w:ind w:left="720"/>
              <w:rPr>
                <w:rFonts w:eastAsia="Calibri"/>
                <w:b/>
                <w:spacing w:val="-5"/>
              </w:rPr>
            </w:pPr>
          </w:p>
        </w:tc>
      </w:tr>
      <w:tr w:rsidR="00FF19FC" w:rsidRPr="00A05698" w:rsidTr="00FF19FC">
        <w:trPr>
          <w:cantSplit/>
        </w:trPr>
        <w:tc>
          <w:tcPr>
            <w:tcW w:w="4331" w:type="pct"/>
            <w:tcBorders>
              <w:top w:val="single" w:sz="4" w:space="0" w:color="auto"/>
              <w:left w:val="single" w:sz="4" w:space="0" w:color="auto"/>
              <w:right w:val="single" w:sz="4" w:space="0" w:color="auto"/>
            </w:tcBorders>
          </w:tcPr>
          <w:p w:rsidR="00FF19FC" w:rsidRPr="00A05698" w:rsidRDefault="00FF19FC" w:rsidP="00157035">
            <w:pPr>
              <w:numPr>
                <w:ilvl w:val="0"/>
                <w:numId w:val="128"/>
              </w:numPr>
              <w:rPr>
                <w:rFonts w:eastAsia="Calibri"/>
                <w:spacing w:val="-5"/>
              </w:rPr>
            </w:pPr>
            <w:r w:rsidRPr="00A05698">
              <w:rPr>
                <w:rFonts w:eastAsia="Calibri"/>
                <w:spacing w:val="-5"/>
              </w:rPr>
              <w:t>Transfert</w:t>
            </w:r>
          </w:p>
        </w:tc>
        <w:tc>
          <w:tcPr>
            <w:tcW w:w="669"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rPr>
          <w:cantSplit/>
        </w:trPr>
        <w:tc>
          <w:tcPr>
            <w:tcW w:w="4331" w:type="pct"/>
            <w:tcBorders>
              <w:top w:val="single" w:sz="4" w:space="0" w:color="auto"/>
              <w:left w:val="single" w:sz="4" w:space="0" w:color="auto"/>
              <w:right w:val="single" w:sz="4" w:space="0" w:color="auto"/>
            </w:tcBorders>
          </w:tcPr>
          <w:p w:rsidR="00FF19FC" w:rsidRPr="00A05698" w:rsidRDefault="00FF19FC" w:rsidP="00157035">
            <w:pPr>
              <w:numPr>
                <w:ilvl w:val="0"/>
                <w:numId w:val="128"/>
              </w:numPr>
              <w:rPr>
                <w:rFonts w:eastAsia="Calibri"/>
                <w:spacing w:val="-5"/>
              </w:rPr>
            </w:pPr>
            <w:r w:rsidRPr="00A05698">
              <w:rPr>
                <w:rFonts w:eastAsia="Calibri"/>
                <w:spacing w:val="-5"/>
              </w:rPr>
              <w:t>Renouvellement de l’autorisation arrivée à expiration</w:t>
            </w:r>
          </w:p>
        </w:tc>
        <w:tc>
          <w:tcPr>
            <w:tcW w:w="669"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r w:rsidRPr="00A05698">
              <w:rPr>
                <w:noProof/>
                <w:lang w:val="pt-PT" w:eastAsia="pt-PT"/>
              </w:rPr>
              <mc:AlternateContent>
                <mc:Choice Requires="wps">
                  <w:drawing>
                    <wp:anchor distT="0" distB="0" distL="114300" distR="114300" simplePos="0" relativeHeight="251658262" behindDoc="0" locked="0" layoutInCell="1" allowOverlap="1" wp14:anchorId="22211C44" wp14:editId="6B462754">
                      <wp:simplePos x="0" y="0"/>
                      <wp:positionH relativeFrom="column">
                        <wp:posOffset>226060</wp:posOffset>
                      </wp:positionH>
                      <wp:positionV relativeFrom="paragraph">
                        <wp:posOffset>41910</wp:posOffset>
                      </wp:positionV>
                      <wp:extent cx="130810" cy="130810"/>
                      <wp:effectExtent l="0" t="0" r="21590" b="2159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30810"/>
                              </a:xfrm>
                              <a:prstGeom prst="rect">
                                <a:avLst/>
                              </a:prstGeom>
                              <a:solidFill>
                                <a:srgbClr val="FFFFFF"/>
                              </a:solidFill>
                              <a:ln w="9525">
                                <a:solidFill>
                                  <a:srgbClr val="000000"/>
                                </a:solidFill>
                                <a:miter lim="800000"/>
                                <a:headEnd/>
                                <a:tailEnd/>
                              </a:ln>
                            </wps:spPr>
                            <wps:txbx>
                              <w:txbxContent>
                                <w:p w:rsidR="005851EB" w:rsidRDefault="005851EB" w:rsidP="00FF1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2211C44" id="Zone de texte 195" o:spid="_x0000_s1045" type="#_x0000_t202" style="position:absolute;left:0;text-align:left;margin-left:17.8pt;margin-top:3.3pt;width:10.3pt;height:10.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">
                      <v:textbox>
                        <w:txbxContent>
                          <w:p w14:paraId="1CDFD60E" w14:textId="77777777" w:rsidR="005851EB" w:rsidRDefault="005851EB" w:rsidP="00FF19FC"/>
                        </w:txbxContent>
                      </v:textbox>
                    </v:shape>
                  </w:pict>
                </mc:Fallback>
              </mc:AlternateContent>
            </w:r>
          </w:p>
        </w:tc>
      </w:tr>
      <w:tr w:rsidR="00FF19FC" w:rsidRPr="00A05698" w:rsidTr="00FF19FC">
        <w:trPr>
          <w:cantSplit/>
        </w:trPr>
        <w:tc>
          <w:tcPr>
            <w:tcW w:w="4331" w:type="pct"/>
            <w:tcBorders>
              <w:top w:val="single" w:sz="4" w:space="0" w:color="auto"/>
              <w:left w:val="single" w:sz="4" w:space="0" w:color="auto"/>
              <w:bottom w:val="single" w:sz="4" w:space="0" w:color="auto"/>
              <w:right w:val="single" w:sz="4" w:space="0" w:color="auto"/>
            </w:tcBorders>
          </w:tcPr>
          <w:p w:rsidR="00FF19FC" w:rsidRPr="00A05698" w:rsidRDefault="00FF19FC" w:rsidP="00157035">
            <w:pPr>
              <w:numPr>
                <w:ilvl w:val="0"/>
                <w:numId w:val="128"/>
              </w:numPr>
              <w:rPr>
                <w:rFonts w:eastAsia="Calibri"/>
                <w:spacing w:val="-5"/>
              </w:rPr>
            </w:pPr>
            <w:r w:rsidRPr="00A05698">
              <w:rPr>
                <w:rFonts w:eastAsia="Calibri"/>
                <w:spacing w:val="-5"/>
              </w:rPr>
              <w:t>Régularisation d’une installation existante mais non déclarée</w:t>
            </w:r>
          </w:p>
        </w:tc>
        <w:tc>
          <w:tcPr>
            <w:tcW w:w="669"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rPr>
          <w:cantSplit/>
        </w:trPr>
        <w:tc>
          <w:tcPr>
            <w:tcW w:w="4331" w:type="pct"/>
            <w:tcBorders>
              <w:top w:val="single" w:sz="4" w:space="0" w:color="auto"/>
              <w:left w:val="single" w:sz="4" w:space="0" w:color="auto"/>
              <w:bottom w:val="single" w:sz="4" w:space="0" w:color="auto"/>
              <w:right w:val="single" w:sz="4" w:space="0" w:color="auto"/>
            </w:tcBorders>
          </w:tcPr>
          <w:p w:rsidR="00FF19FC" w:rsidRPr="00A05698" w:rsidRDefault="00FF19FC" w:rsidP="00157035">
            <w:pPr>
              <w:numPr>
                <w:ilvl w:val="0"/>
                <w:numId w:val="128"/>
              </w:numPr>
              <w:rPr>
                <w:rFonts w:eastAsia="Calibri"/>
                <w:spacing w:val="-5"/>
              </w:rPr>
            </w:pPr>
            <w:r w:rsidRPr="00A05698">
              <w:rPr>
                <w:rFonts w:eastAsia="Calibri"/>
                <w:spacing w:val="-5"/>
              </w:rPr>
              <w:t>Autre (préciser)</w:t>
            </w:r>
          </w:p>
        </w:tc>
        <w:tc>
          <w:tcPr>
            <w:tcW w:w="669" w:type="pct"/>
            <w:tcBorders>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blPrEx>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PrEx>
        <w:trPr>
          <w:cantSplit/>
        </w:trPr>
        <w:tc>
          <w:tcPr>
            <w:tcW w:w="5000" w:type="pct"/>
            <w:gridSpan w:val="2"/>
            <w:tcBorders>
              <w:top w:val="nil"/>
              <w:left w:val="nil"/>
              <w:bottom w:val="nil"/>
              <w:right w:val="nil"/>
            </w:tcBorders>
          </w:tcPr>
          <w:p w:rsidR="00FF19FC" w:rsidRPr="00A05698" w:rsidRDefault="00FF19FC" w:rsidP="00157035">
            <w:pPr>
              <w:numPr>
                <w:ilvl w:val="0"/>
                <w:numId w:val="126"/>
              </w:numPr>
              <w:spacing w:before="60" w:after="60"/>
              <w:rPr>
                <w:rFonts w:eastAsia="Calibri"/>
                <w:b/>
              </w:rPr>
            </w:pPr>
            <w:r w:rsidRPr="00A05698">
              <w:rPr>
                <w:rFonts w:eastAsia="Calibri"/>
                <w:b/>
              </w:rPr>
              <w:t>Utilisation antérieure du terrain</w:t>
            </w:r>
          </w:p>
        </w:tc>
      </w:tr>
      <w:tr w:rsidR="00FF19FC" w:rsidRPr="00A05698" w:rsidTr="00FF19FC">
        <w:tblPrEx>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PrEx>
        <w:trPr>
          <w:cantSplit/>
          <w:trHeight w:val="592"/>
        </w:trPr>
        <w:tc>
          <w:tcPr>
            <w:tcW w:w="5000" w:type="pct"/>
            <w:gridSpan w:val="2"/>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bl>
    <w:p w:rsidR="00FF19FC" w:rsidRPr="00A05698" w:rsidRDefault="00FF19FC" w:rsidP="00157035">
      <w:pPr>
        <w:numPr>
          <w:ilvl w:val="0"/>
          <w:numId w:val="126"/>
        </w:numPr>
        <w:spacing w:before="60" w:after="60"/>
        <w:rPr>
          <w:rFonts w:eastAsia="Times New Roman"/>
          <w:b/>
        </w:rPr>
      </w:pPr>
      <w:r w:rsidRPr="00A05698">
        <w:rPr>
          <w:rFonts w:eastAsia="Times New Roman"/>
          <w:b/>
        </w:rPr>
        <w:t>Description du projet</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288"/>
      </w:tblGrid>
      <w:tr w:rsidR="00FF19FC" w:rsidRPr="00A05698" w:rsidTr="00FF19FC">
        <w:tc>
          <w:tcPr>
            <w:tcW w:w="5000" w:type="pct"/>
          </w:tcPr>
          <w:p w:rsidR="00FF19FC" w:rsidRPr="00A05698" w:rsidRDefault="00FF19FC" w:rsidP="00157035">
            <w:pPr>
              <w:numPr>
                <w:ilvl w:val="0"/>
                <w:numId w:val="129"/>
              </w:numPr>
              <w:rPr>
                <w:rFonts w:eastAsia="Calibri"/>
              </w:rPr>
            </w:pPr>
            <w:r w:rsidRPr="00A05698">
              <w:rPr>
                <w:rFonts w:eastAsia="Calibri"/>
              </w:rPr>
              <w:t>Titre du projet :</w:t>
            </w:r>
          </w:p>
        </w:tc>
      </w:tr>
      <w:tr w:rsidR="00FF19FC" w:rsidRPr="00A05698" w:rsidTr="00FF19FC">
        <w:trPr>
          <w:trHeight w:val="50"/>
        </w:trPr>
        <w:tc>
          <w:tcPr>
            <w:tcW w:w="5000" w:type="pct"/>
          </w:tcPr>
          <w:p w:rsidR="00FF19FC" w:rsidRPr="00A05698" w:rsidRDefault="00FF19FC" w:rsidP="00157035">
            <w:pPr>
              <w:numPr>
                <w:ilvl w:val="0"/>
                <w:numId w:val="129"/>
              </w:numPr>
              <w:rPr>
                <w:rFonts w:eastAsia="Calibri"/>
              </w:rPr>
            </w:pPr>
            <w:r w:rsidRPr="00A05698">
              <w:rPr>
                <w:rFonts w:eastAsia="Calibri"/>
              </w:rPr>
              <w:t>Type de projet</w:t>
            </w:r>
          </w:p>
        </w:tc>
      </w:tr>
      <w:tr w:rsidR="00FF19FC" w:rsidRPr="00A05698" w:rsidTr="00FF19FC">
        <w:tc>
          <w:tcPr>
            <w:tcW w:w="5000" w:type="pct"/>
          </w:tcPr>
          <w:p w:rsidR="00FF19FC" w:rsidRPr="00A05698" w:rsidRDefault="00FF19FC" w:rsidP="00157035">
            <w:pPr>
              <w:numPr>
                <w:ilvl w:val="0"/>
                <w:numId w:val="129"/>
              </w:numPr>
              <w:rPr>
                <w:rFonts w:eastAsia="Calibri"/>
              </w:rPr>
            </w:pPr>
            <w:r w:rsidRPr="00A05698">
              <w:rPr>
                <w:rFonts w:eastAsia="Calibri"/>
              </w:rPr>
              <w:t>Objectifs et justification du projet</w:t>
            </w:r>
          </w:p>
        </w:tc>
      </w:tr>
      <w:tr w:rsidR="00FF19FC" w:rsidRPr="00A05698" w:rsidTr="00FF19FC">
        <w:tc>
          <w:tcPr>
            <w:tcW w:w="5000" w:type="pct"/>
          </w:tcPr>
          <w:p w:rsidR="00FF19FC" w:rsidRPr="00A05698" w:rsidRDefault="00FF19FC" w:rsidP="00157035">
            <w:pPr>
              <w:numPr>
                <w:ilvl w:val="0"/>
                <w:numId w:val="129"/>
              </w:numPr>
              <w:ind w:left="357"/>
              <w:rPr>
                <w:rFonts w:eastAsia="Calibri"/>
              </w:rPr>
            </w:pPr>
            <w:r w:rsidRPr="00A05698">
              <w:rPr>
                <w:rFonts w:eastAsia="Calibri"/>
              </w:rPr>
              <w:t>Localisation du projet et raisons du choix du site (joindre une carte géographique à l’échelle appropriée) :</w:t>
            </w:r>
          </w:p>
        </w:tc>
      </w:tr>
      <w:tr w:rsidR="00FF19FC" w:rsidRPr="00A05698" w:rsidTr="00FF19FC">
        <w:tc>
          <w:tcPr>
            <w:tcW w:w="5000" w:type="pct"/>
          </w:tcPr>
          <w:p w:rsidR="00FF19FC" w:rsidRPr="00A05698" w:rsidRDefault="00FF19FC" w:rsidP="00157035">
            <w:pPr>
              <w:numPr>
                <w:ilvl w:val="0"/>
                <w:numId w:val="129"/>
              </w:numPr>
              <w:ind w:left="357"/>
              <w:rPr>
                <w:rFonts w:eastAsia="Calibri"/>
              </w:rPr>
            </w:pPr>
            <w:r w:rsidRPr="00A05698">
              <w:rPr>
                <w:rFonts w:eastAsia="Calibri"/>
              </w:rPr>
              <w:t>Description des activités (intrants et extrants, calendrier d’exécution, effectifs nécessaires, investissement hors site, etc.)</w:t>
            </w:r>
          </w:p>
        </w:tc>
      </w:tr>
      <w:tr w:rsidR="00FF19FC" w:rsidRPr="00A05698" w:rsidTr="00FF19FC">
        <w:tc>
          <w:tcPr>
            <w:tcW w:w="5000" w:type="pct"/>
          </w:tcPr>
          <w:p w:rsidR="00FF19FC" w:rsidRPr="00A05698" w:rsidRDefault="00FF19FC" w:rsidP="00157035">
            <w:pPr>
              <w:numPr>
                <w:ilvl w:val="0"/>
                <w:numId w:val="129"/>
              </w:numPr>
              <w:rPr>
                <w:rFonts w:eastAsia="Calibri"/>
              </w:rPr>
            </w:pPr>
            <w:r w:rsidRPr="00A05698">
              <w:rPr>
                <w:rFonts w:eastAsia="Calibri"/>
              </w:rPr>
              <w:t xml:space="preserve">Description du procédé technique, intrants et extrants </w:t>
            </w:r>
          </w:p>
        </w:tc>
      </w:tr>
      <w:tr w:rsidR="00FF19FC" w:rsidRPr="00A05698" w:rsidTr="00FF19FC">
        <w:tc>
          <w:tcPr>
            <w:tcW w:w="5000" w:type="pct"/>
          </w:tcPr>
          <w:p w:rsidR="00FF19FC" w:rsidRPr="00A05698" w:rsidRDefault="00FF19FC" w:rsidP="00157035">
            <w:pPr>
              <w:numPr>
                <w:ilvl w:val="0"/>
                <w:numId w:val="129"/>
              </w:numPr>
              <w:rPr>
                <w:rFonts w:eastAsia="Calibri"/>
              </w:rPr>
            </w:pPr>
            <w:r w:rsidRPr="00A05698">
              <w:rPr>
                <w:rFonts w:eastAsia="Calibri"/>
              </w:rPr>
              <w:t>Activités du projet</w:t>
            </w:r>
          </w:p>
        </w:tc>
      </w:tr>
    </w:tbl>
    <w:p w:rsidR="00FF19FC" w:rsidRPr="00A05698" w:rsidRDefault="00FF19FC" w:rsidP="00157035">
      <w:pPr>
        <w:numPr>
          <w:ilvl w:val="0"/>
          <w:numId w:val="126"/>
        </w:numPr>
        <w:spacing w:before="60" w:after="60"/>
        <w:rPr>
          <w:rFonts w:eastAsia="Calibri"/>
          <w:b/>
        </w:rPr>
      </w:pPr>
      <w:r w:rsidRPr="00A05698">
        <w:rPr>
          <w:rFonts w:eastAsia="Calibri"/>
          <w:b/>
        </w:rPr>
        <w:t>Classement administratif des installations classées (Nomenclature ICPE)</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371"/>
        <w:gridCol w:w="437"/>
        <w:gridCol w:w="1842"/>
        <w:gridCol w:w="2609"/>
        <w:gridCol w:w="1786"/>
        <w:gridCol w:w="1247"/>
      </w:tblGrid>
      <w:tr w:rsidR="00FF19FC" w:rsidRPr="00A05698" w:rsidTr="00FF19FC">
        <w:tc>
          <w:tcPr>
            <w:tcW w:w="738" w:type="pct"/>
            <w:shd w:val="clear" w:color="auto" w:fill="FFFFFF"/>
          </w:tcPr>
          <w:p w:rsidR="00FF19FC" w:rsidRPr="00A05698" w:rsidRDefault="00FF19FC" w:rsidP="00FF19FC">
            <w:pPr>
              <w:jc w:val="center"/>
              <w:rPr>
                <w:rFonts w:eastAsia="Calibri"/>
              </w:rPr>
            </w:pPr>
            <w:r w:rsidRPr="00A05698">
              <w:rPr>
                <w:rFonts w:eastAsia="Calibri"/>
              </w:rPr>
              <w:t>N° de Rubrique</w:t>
            </w:r>
          </w:p>
        </w:tc>
        <w:tc>
          <w:tcPr>
            <w:tcW w:w="2630" w:type="pct"/>
            <w:gridSpan w:val="3"/>
            <w:shd w:val="clear" w:color="auto" w:fill="FFFFFF"/>
          </w:tcPr>
          <w:p w:rsidR="00FF19FC" w:rsidRPr="00A05698" w:rsidRDefault="00FF19FC" w:rsidP="00FF19FC">
            <w:pPr>
              <w:jc w:val="center"/>
              <w:rPr>
                <w:rFonts w:eastAsia="Calibri"/>
              </w:rPr>
            </w:pPr>
            <w:r w:rsidRPr="00A05698">
              <w:rPr>
                <w:rFonts w:eastAsia="Calibri"/>
              </w:rPr>
              <w:t>Installation ou activité</w:t>
            </w:r>
          </w:p>
        </w:tc>
        <w:tc>
          <w:tcPr>
            <w:tcW w:w="961" w:type="pct"/>
            <w:shd w:val="clear" w:color="auto" w:fill="FFFFFF"/>
          </w:tcPr>
          <w:p w:rsidR="00FF19FC" w:rsidRPr="00A05698" w:rsidRDefault="00FF19FC" w:rsidP="00FF19FC">
            <w:pPr>
              <w:jc w:val="center"/>
              <w:rPr>
                <w:rFonts w:eastAsia="Calibri"/>
              </w:rPr>
            </w:pPr>
            <w:r w:rsidRPr="00A05698">
              <w:rPr>
                <w:rFonts w:eastAsia="Calibri"/>
              </w:rPr>
              <w:t>Régime de classement</w:t>
            </w:r>
          </w:p>
          <w:p w:rsidR="00FF19FC" w:rsidRPr="00A05698" w:rsidRDefault="00FF19FC" w:rsidP="00FF19FC">
            <w:pPr>
              <w:jc w:val="center"/>
              <w:rPr>
                <w:rFonts w:eastAsia="Calibri"/>
              </w:rPr>
            </w:pPr>
            <w:r w:rsidRPr="00A05698">
              <w:rPr>
                <w:rFonts w:eastAsia="Calibri"/>
              </w:rPr>
              <w:t>A ou D</w:t>
            </w:r>
          </w:p>
        </w:tc>
        <w:tc>
          <w:tcPr>
            <w:tcW w:w="671" w:type="pct"/>
            <w:shd w:val="clear" w:color="auto" w:fill="FFFFFF"/>
          </w:tcPr>
          <w:p w:rsidR="00FF19FC" w:rsidRPr="00A05698" w:rsidRDefault="00FF19FC" w:rsidP="00FF19FC">
            <w:pPr>
              <w:jc w:val="center"/>
              <w:rPr>
                <w:rFonts w:eastAsia="Calibri"/>
              </w:rPr>
            </w:pPr>
            <w:r w:rsidRPr="00A05698">
              <w:rPr>
                <w:rFonts w:eastAsia="Calibri"/>
              </w:rPr>
              <w:t>Type d'EIE</w:t>
            </w:r>
          </w:p>
          <w:p w:rsidR="00FF19FC" w:rsidRPr="00A05698" w:rsidRDefault="00FF19FC" w:rsidP="00FF19FC">
            <w:pPr>
              <w:jc w:val="center"/>
              <w:rPr>
                <w:rFonts w:eastAsia="Calibri"/>
              </w:rPr>
            </w:pPr>
            <w:r w:rsidRPr="00A05698">
              <w:rPr>
                <w:rFonts w:eastAsia="Calibri"/>
              </w:rPr>
              <w:t>EIA ou AEI</w:t>
            </w:r>
          </w:p>
        </w:tc>
      </w:tr>
      <w:tr w:rsidR="00FF19FC" w:rsidRPr="00A05698" w:rsidTr="00FF19FC">
        <w:tc>
          <w:tcPr>
            <w:tcW w:w="738" w:type="pct"/>
            <w:shd w:val="clear" w:color="auto" w:fill="FFFFFF"/>
          </w:tcPr>
          <w:p w:rsidR="00FF19FC" w:rsidRPr="00A05698" w:rsidRDefault="00FF19FC" w:rsidP="00FF19FC">
            <w:pPr>
              <w:rPr>
                <w:rFonts w:eastAsia="Calibri"/>
              </w:rPr>
            </w:pPr>
          </w:p>
        </w:tc>
        <w:tc>
          <w:tcPr>
            <w:tcW w:w="2630" w:type="pct"/>
            <w:gridSpan w:val="3"/>
            <w:shd w:val="clear" w:color="auto" w:fill="FFFFFF"/>
          </w:tcPr>
          <w:p w:rsidR="00FF19FC" w:rsidRPr="00A05698" w:rsidRDefault="00FF19FC" w:rsidP="00FF19FC">
            <w:pPr>
              <w:rPr>
                <w:rFonts w:eastAsia="Calibri"/>
              </w:rPr>
            </w:pPr>
          </w:p>
        </w:tc>
        <w:tc>
          <w:tcPr>
            <w:tcW w:w="961" w:type="pct"/>
            <w:shd w:val="clear" w:color="auto" w:fill="FFFFFF"/>
          </w:tcPr>
          <w:p w:rsidR="00FF19FC" w:rsidRPr="00A05698" w:rsidRDefault="00FF19FC" w:rsidP="00FF19FC">
            <w:pPr>
              <w:rPr>
                <w:rFonts w:eastAsia="Calibri"/>
              </w:rPr>
            </w:pPr>
          </w:p>
        </w:tc>
        <w:tc>
          <w:tcPr>
            <w:tcW w:w="671" w:type="pct"/>
            <w:shd w:val="clear" w:color="auto" w:fill="FFFFFF"/>
          </w:tcPr>
          <w:p w:rsidR="00FF19FC" w:rsidRPr="00A05698" w:rsidRDefault="00FF19FC" w:rsidP="00FF19FC">
            <w:pPr>
              <w:rPr>
                <w:rFonts w:eastAsia="Calibri"/>
              </w:rPr>
            </w:pPr>
          </w:p>
        </w:tc>
      </w:tr>
      <w:tr w:rsidR="00FF19FC" w:rsidRPr="00A05698" w:rsidTr="00FF19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cantSplit/>
        </w:trPr>
        <w:tc>
          <w:tcPr>
            <w:tcW w:w="5000" w:type="pct"/>
            <w:gridSpan w:val="6"/>
            <w:tcBorders>
              <w:bottom w:val="single" w:sz="4" w:space="0" w:color="auto"/>
            </w:tcBorders>
            <w:shd w:val="clear" w:color="auto" w:fill="FFFFFF"/>
          </w:tcPr>
          <w:p w:rsidR="00FF19FC" w:rsidRPr="00A05698" w:rsidRDefault="00FF19FC" w:rsidP="00FF19FC">
            <w:pPr>
              <w:spacing w:before="60" w:after="60"/>
              <w:ind w:left="360"/>
              <w:rPr>
                <w:rFonts w:eastAsia="Calibri"/>
                <w:b/>
              </w:rPr>
            </w:pPr>
            <w:r w:rsidRPr="00A05698">
              <w:rPr>
                <w:rFonts w:eastAsia="Calibri"/>
                <w:b/>
              </w:rPr>
              <w:t xml:space="preserve">6. Distance entre l’établissement et la zone avoisinante la plus proche </w:t>
            </w:r>
          </w:p>
        </w:tc>
      </w:tr>
      <w:tr w:rsidR="00FF19FC" w:rsidRPr="00A05698" w:rsidTr="00FF19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cantSplit/>
        </w:trPr>
        <w:tc>
          <w:tcPr>
            <w:tcW w:w="973"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19FC" w:rsidRPr="00A05698" w:rsidRDefault="00FF19FC" w:rsidP="00FF19FC">
            <w:pPr>
              <w:jc w:val="center"/>
              <w:rPr>
                <w:rFonts w:eastAsia="Calibri"/>
                <w:b/>
                <w:spacing w:val="-5"/>
              </w:rPr>
            </w:pPr>
            <w:r w:rsidRPr="00A05698">
              <w:rPr>
                <w:rFonts w:eastAsia="Calibri"/>
                <w:b/>
                <w:spacing w:val="-5"/>
              </w:rPr>
              <w:t>Direction</w:t>
            </w:r>
          </w:p>
        </w:tc>
        <w:tc>
          <w:tcPr>
            <w:tcW w:w="991" w:type="pct"/>
            <w:tcBorders>
              <w:top w:val="single" w:sz="4" w:space="0" w:color="auto"/>
              <w:left w:val="single" w:sz="4" w:space="0" w:color="auto"/>
              <w:bottom w:val="single" w:sz="4" w:space="0" w:color="auto"/>
              <w:right w:val="single" w:sz="4" w:space="0" w:color="auto"/>
            </w:tcBorders>
            <w:shd w:val="clear" w:color="auto" w:fill="D9D9D9"/>
            <w:vAlign w:val="center"/>
          </w:tcPr>
          <w:p w:rsidR="00FF19FC" w:rsidRPr="00A05698" w:rsidRDefault="00FF19FC" w:rsidP="00FF19FC">
            <w:pPr>
              <w:jc w:val="center"/>
              <w:rPr>
                <w:rFonts w:eastAsia="Calibri"/>
                <w:b/>
                <w:spacing w:val="-5"/>
              </w:rPr>
            </w:pPr>
            <w:r w:rsidRPr="00A05698">
              <w:rPr>
                <w:rFonts w:eastAsia="Calibri"/>
                <w:b/>
                <w:spacing w:val="-5"/>
              </w:rPr>
              <w:t>Distance [m]</w:t>
            </w:r>
          </w:p>
        </w:tc>
        <w:tc>
          <w:tcPr>
            <w:tcW w:w="3036"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F19FC" w:rsidRPr="00A05698" w:rsidRDefault="00FF19FC" w:rsidP="00FF19FC">
            <w:pPr>
              <w:jc w:val="center"/>
              <w:rPr>
                <w:rFonts w:eastAsia="Calibri"/>
                <w:b/>
                <w:spacing w:val="-5"/>
              </w:rPr>
            </w:pPr>
            <w:r w:rsidRPr="00A05698">
              <w:rPr>
                <w:rFonts w:eastAsia="Calibri"/>
                <w:b/>
                <w:spacing w:val="-5"/>
              </w:rPr>
              <w:t>Caractère de la zone avoisinante ou genre d’activité (lieu d’habitation, routes, chemin de fer, cours d’eau, etc.)</w:t>
            </w:r>
          </w:p>
        </w:tc>
      </w:tr>
      <w:tr w:rsidR="00FF19FC" w:rsidRPr="00A05698" w:rsidTr="00FF19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cantSplit/>
        </w:trPr>
        <w:tc>
          <w:tcPr>
            <w:tcW w:w="973" w:type="pct"/>
            <w:gridSpan w:val="2"/>
            <w:tcBorders>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c>
          <w:tcPr>
            <w:tcW w:w="991" w:type="pct"/>
            <w:tcBorders>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c>
          <w:tcPr>
            <w:tcW w:w="3036" w:type="pct"/>
            <w:gridSpan w:val="3"/>
            <w:tcBorders>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r w:rsidR="00FF19FC" w:rsidRPr="00A05698" w:rsidTr="00FF19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cantSplit/>
        </w:trPr>
        <w:tc>
          <w:tcPr>
            <w:tcW w:w="973" w:type="pct"/>
            <w:gridSpan w:val="2"/>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c>
          <w:tcPr>
            <w:tcW w:w="991"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c>
          <w:tcPr>
            <w:tcW w:w="3036" w:type="pct"/>
            <w:gridSpan w:val="3"/>
            <w:tcBorders>
              <w:top w:val="single" w:sz="4" w:space="0" w:color="auto"/>
              <w:left w:val="single" w:sz="4" w:space="0" w:color="auto"/>
              <w:bottom w:val="single" w:sz="4" w:space="0" w:color="auto"/>
              <w:right w:val="single" w:sz="4" w:space="0" w:color="auto"/>
            </w:tcBorders>
          </w:tcPr>
          <w:p w:rsidR="00FF19FC" w:rsidRPr="00A05698" w:rsidRDefault="00FF19FC" w:rsidP="00FF19FC">
            <w:pPr>
              <w:ind w:left="720"/>
              <w:rPr>
                <w:rFonts w:eastAsia="Calibri"/>
                <w:spacing w:val="-5"/>
              </w:rPr>
            </w:pPr>
          </w:p>
        </w:tc>
      </w:tr>
    </w:tbl>
    <w:p w:rsidR="00FF19FC" w:rsidRPr="00A05698" w:rsidRDefault="00FF19FC" w:rsidP="00157035">
      <w:pPr>
        <w:numPr>
          <w:ilvl w:val="0"/>
          <w:numId w:val="130"/>
        </w:numPr>
        <w:spacing w:before="60" w:after="60"/>
        <w:rPr>
          <w:rFonts w:eastAsia="Calibri"/>
          <w:b/>
        </w:rPr>
      </w:pPr>
      <w:r w:rsidRPr="00A05698">
        <w:rPr>
          <w:rFonts w:eastAsia="Calibri"/>
          <w:b/>
        </w:rPr>
        <w:t xml:space="preserve">Description du milieu susceptible d’être affecté par le projet </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288"/>
      </w:tblGrid>
      <w:tr w:rsidR="00FF19FC" w:rsidRPr="00A05698" w:rsidTr="00FF19FC">
        <w:trPr>
          <w:trHeight w:val="50"/>
        </w:trPr>
        <w:tc>
          <w:tcPr>
            <w:tcW w:w="5000" w:type="pct"/>
          </w:tcPr>
          <w:p w:rsidR="00FF19FC" w:rsidRPr="00A05698" w:rsidRDefault="00FF19FC" w:rsidP="00157035">
            <w:pPr>
              <w:numPr>
                <w:ilvl w:val="0"/>
                <w:numId w:val="131"/>
              </w:numPr>
              <w:ind w:left="357"/>
              <w:rPr>
                <w:rFonts w:eastAsia="Calibri"/>
                <w:b/>
              </w:rPr>
            </w:pPr>
            <w:r w:rsidRPr="00A05698">
              <w:rPr>
                <w:rFonts w:eastAsia="Calibri"/>
                <w:b/>
              </w:rPr>
              <w:t xml:space="preserve">Description géographique du site </w:t>
            </w:r>
          </w:p>
        </w:tc>
      </w:tr>
      <w:tr w:rsidR="00FF19FC" w:rsidRPr="00A05698" w:rsidTr="00FF19FC">
        <w:trPr>
          <w:trHeight w:val="50"/>
        </w:trPr>
        <w:tc>
          <w:tcPr>
            <w:tcW w:w="5000" w:type="pct"/>
          </w:tcPr>
          <w:p w:rsidR="00FF19FC" w:rsidRPr="00A05698" w:rsidRDefault="00FF19FC" w:rsidP="00157035">
            <w:pPr>
              <w:numPr>
                <w:ilvl w:val="0"/>
                <w:numId w:val="131"/>
              </w:numPr>
              <w:ind w:left="357"/>
              <w:rPr>
                <w:rFonts w:eastAsia="Calibri"/>
                <w:b/>
              </w:rPr>
            </w:pPr>
            <w:r w:rsidRPr="00A05698">
              <w:rPr>
                <w:rFonts w:eastAsia="Calibri"/>
                <w:b/>
              </w:rPr>
              <w:t>Composantes environnementales du milieu qui risquent d’être affectés par le projet (air, eau, sol, faune, flore, éléments du milieu humain)</w:t>
            </w:r>
          </w:p>
        </w:tc>
      </w:tr>
    </w:tbl>
    <w:p w:rsidR="00FF19FC" w:rsidRPr="00A05698" w:rsidRDefault="00FF19FC" w:rsidP="00157035">
      <w:pPr>
        <w:numPr>
          <w:ilvl w:val="0"/>
          <w:numId w:val="130"/>
        </w:numPr>
        <w:spacing w:before="60"/>
        <w:ind w:left="714" w:hanging="357"/>
        <w:rPr>
          <w:rFonts w:eastAsia="Calibri"/>
          <w:b/>
          <w:color w:val="000000"/>
        </w:rPr>
      </w:pPr>
      <w:r w:rsidRPr="00A05698">
        <w:rPr>
          <w:rFonts w:eastAsia="Calibri"/>
          <w:b/>
          <w:color w:val="000000"/>
        </w:rPr>
        <w:t xml:space="preserve">Synthèse du milieu physique et humain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1963"/>
        <w:gridCol w:w="1690"/>
        <w:gridCol w:w="2399"/>
      </w:tblGrid>
      <w:tr w:rsidR="00FF19FC" w:rsidRPr="00A05698" w:rsidTr="00FF19FC">
        <w:trPr>
          <w:trHeight w:val="771"/>
          <w:tblHeader/>
        </w:trPr>
        <w:tc>
          <w:tcPr>
            <w:tcW w:w="1780" w:type="pct"/>
            <w:shd w:val="clear" w:color="auto" w:fill="A6A6A6"/>
            <w:vAlign w:val="center"/>
          </w:tcPr>
          <w:p w:rsidR="00FF19FC" w:rsidRPr="00A05698" w:rsidRDefault="00FF19FC" w:rsidP="00FF19FC">
            <w:pPr>
              <w:jc w:val="center"/>
              <w:rPr>
                <w:rFonts w:eastAsia="Calibri"/>
                <w:b/>
                <w:bCs/>
                <w:color w:val="000000"/>
              </w:rPr>
            </w:pPr>
            <w:r w:rsidRPr="00A05698">
              <w:rPr>
                <w:rFonts w:eastAsia="Calibri"/>
                <w:b/>
                <w:bCs/>
                <w:color w:val="000000"/>
              </w:rPr>
              <w:t>Milieu</w:t>
            </w:r>
          </w:p>
        </w:tc>
        <w:tc>
          <w:tcPr>
            <w:tcW w:w="943" w:type="pct"/>
            <w:shd w:val="clear" w:color="auto" w:fill="A6A6A6"/>
            <w:vAlign w:val="center"/>
          </w:tcPr>
          <w:p w:rsidR="00FF19FC" w:rsidRPr="00A05698" w:rsidRDefault="00FF19FC" w:rsidP="00FF19FC">
            <w:pPr>
              <w:jc w:val="center"/>
              <w:rPr>
                <w:rFonts w:eastAsia="Calibri"/>
                <w:b/>
                <w:bCs/>
                <w:color w:val="000000"/>
              </w:rPr>
            </w:pPr>
            <w:r w:rsidRPr="00A05698">
              <w:rPr>
                <w:rFonts w:eastAsia="Calibri"/>
                <w:b/>
                <w:bCs/>
                <w:color w:val="000000"/>
              </w:rPr>
              <w:t>Eléments de l’Environnement</w:t>
            </w:r>
          </w:p>
        </w:tc>
        <w:tc>
          <w:tcPr>
            <w:tcW w:w="948" w:type="pct"/>
            <w:shd w:val="clear" w:color="auto" w:fill="A6A6A6"/>
            <w:vAlign w:val="center"/>
          </w:tcPr>
          <w:p w:rsidR="00FF19FC" w:rsidRPr="00A05698" w:rsidRDefault="00FF19FC" w:rsidP="00FF19FC">
            <w:pPr>
              <w:jc w:val="center"/>
              <w:rPr>
                <w:rFonts w:eastAsia="Calibri"/>
                <w:b/>
                <w:bCs/>
                <w:i/>
                <w:iCs/>
                <w:color w:val="000000"/>
              </w:rPr>
            </w:pPr>
            <w:r w:rsidRPr="00A05698">
              <w:rPr>
                <w:rFonts w:eastAsia="Calibri"/>
                <w:b/>
                <w:bCs/>
                <w:color w:val="000000"/>
              </w:rPr>
              <w:t>Indicateurs</w:t>
            </w:r>
          </w:p>
        </w:tc>
        <w:tc>
          <w:tcPr>
            <w:tcW w:w="1329" w:type="pct"/>
            <w:shd w:val="clear" w:color="auto" w:fill="A6A6A6"/>
            <w:vAlign w:val="center"/>
          </w:tcPr>
          <w:p w:rsidR="00FF19FC" w:rsidRPr="00A05698" w:rsidRDefault="00FF19FC" w:rsidP="00FF19FC">
            <w:pPr>
              <w:jc w:val="center"/>
              <w:rPr>
                <w:rFonts w:eastAsia="Calibri"/>
                <w:b/>
                <w:bCs/>
                <w:i/>
                <w:iCs/>
                <w:color w:val="000000"/>
              </w:rPr>
            </w:pPr>
            <w:r w:rsidRPr="00A05698">
              <w:rPr>
                <w:rFonts w:eastAsia="Calibri"/>
                <w:b/>
                <w:bCs/>
                <w:color w:val="000000"/>
              </w:rPr>
              <w:t>Etat actuel</w:t>
            </w:r>
          </w:p>
        </w:tc>
      </w:tr>
      <w:tr w:rsidR="00FF19FC" w:rsidRPr="00A05698" w:rsidTr="00FF19FC">
        <w:trPr>
          <w:trHeight w:val="358"/>
          <w:tblHeader/>
        </w:trPr>
        <w:tc>
          <w:tcPr>
            <w:tcW w:w="1780" w:type="pct"/>
            <w:shd w:val="clear" w:color="auto" w:fill="auto"/>
            <w:vAlign w:val="center"/>
          </w:tcPr>
          <w:p w:rsidR="00FF19FC" w:rsidRPr="00A05698" w:rsidRDefault="00FF19FC" w:rsidP="00FF19FC">
            <w:pPr>
              <w:jc w:val="center"/>
              <w:rPr>
                <w:rFonts w:eastAsia="Calibri"/>
                <w:bCs/>
                <w:color w:val="000000"/>
              </w:rPr>
            </w:pPr>
            <w:r w:rsidRPr="00A05698">
              <w:rPr>
                <w:rFonts w:eastAsia="Calibri"/>
                <w:bCs/>
                <w:color w:val="000000"/>
              </w:rPr>
              <w:t>Milieu physique</w:t>
            </w:r>
          </w:p>
        </w:tc>
        <w:tc>
          <w:tcPr>
            <w:tcW w:w="943" w:type="pct"/>
            <w:shd w:val="clear" w:color="auto" w:fill="auto"/>
            <w:vAlign w:val="center"/>
          </w:tcPr>
          <w:p w:rsidR="00FF19FC" w:rsidRPr="00A05698" w:rsidRDefault="00FF19FC" w:rsidP="00FF19FC">
            <w:pPr>
              <w:jc w:val="center"/>
              <w:rPr>
                <w:rFonts w:eastAsia="Calibri"/>
                <w:b/>
                <w:bCs/>
                <w:color w:val="000000"/>
              </w:rPr>
            </w:pPr>
          </w:p>
        </w:tc>
        <w:tc>
          <w:tcPr>
            <w:tcW w:w="948" w:type="pct"/>
            <w:shd w:val="clear" w:color="auto" w:fill="auto"/>
            <w:vAlign w:val="center"/>
          </w:tcPr>
          <w:p w:rsidR="00FF19FC" w:rsidRPr="00A05698" w:rsidRDefault="00FF19FC" w:rsidP="00FF19FC">
            <w:pPr>
              <w:jc w:val="center"/>
              <w:rPr>
                <w:rFonts w:eastAsia="Calibri"/>
                <w:b/>
                <w:bCs/>
                <w:color w:val="000000"/>
              </w:rPr>
            </w:pPr>
          </w:p>
        </w:tc>
        <w:tc>
          <w:tcPr>
            <w:tcW w:w="1329" w:type="pct"/>
            <w:shd w:val="clear" w:color="auto" w:fill="auto"/>
            <w:vAlign w:val="center"/>
          </w:tcPr>
          <w:p w:rsidR="00FF19FC" w:rsidRPr="00A05698" w:rsidRDefault="00FF19FC" w:rsidP="00FF19FC">
            <w:pPr>
              <w:jc w:val="center"/>
              <w:rPr>
                <w:rFonts w:eastAsia="Calibri"/>
                <w:b/>
                <w:bCs/>
                <w:color w:val="000000"/>
              </w:rPr>
            </w:pPr>
          </w:p>
        </w:tc>
      </w:tr>
      <w:tr w:rsidR="00FF19FC" w:rsidRPr="00A05698" w:rsidTr="00FF19FC">
        <w:tc>
          <w:tcPr>
            <w:tcW w:w="1780" w:type="pct"/>
          </w:tcPr>
          <w:p w:rsidR="00FF19FC" w:rsidRPr="00A05698" w:rsidRDefault="00FF19FC" w:rsidP="00FF19FC">
            <w:pPr>
              <w:jc w:val="center"/>
              <w:rPr>
                <w:rFonts w:eastAsia="Calibri"/>
                <w:bCs/>
                <w:color w:val="FF0000"/>
              </w:rPr>
            </w:pPr>
            <w:r w:rsidRPr="00A05698">
              <w:rPr>
                <w:rFonts w:eastAsia="Calibri"/>
                <w:bCs/>
                <w:color w:val="000000"/>
              </w:rPr>
              <w:t>Milieu biologique</w:t>
            </w:r>
          </w:p>
        </w:tc>
        <w:tc>
          <w:tcPr>
            <w:tcW w:w="943" w:type="pct"/>
            <w:vAlign w:val="center"/>
          </w:tcPr>
          <w:p w:rsidR="00FF19FC" w:rsidRPr="00A05698" w:rsidRDefault="00FF19FC" w:rsidP="00FF19FC">
            <w:pPr>
              <w:rPr>
                <w:rFonts w:eastAsia="Calibri"/>
                <w:color w:val="FF0000"/>
              </w:rPr>
            </w:pPr>
          </w:p>
        </w:tc>
        <w:tc>
          <w:tcPr>
            <w:tcW w:w="948" w:type="pct"/>
            <w:vAlign w:val="center"/>
          </w:tcPr>
          <w:p w:rsidR="00FF19FC" w:rsidRPr="00A05698" w:rsidRDefault="00FF19FC" w:rsidP="00FF19FC">
            <w:pPr>
              <w:rPr>
                <w:rFonts w:eastAsia="Calibri"/>
                <w:color w:val="FF0000"/>
              </w:rPr>
            </w:pPr>
          </w:p>
        </w:tc>
        <w:tc>
          <w:tcPr>
            <w:tcW w:w="1329" w:type="pct"/>
          </w:tcPr>
          <w:p w:rsidR="00FF19FC" w:rsidRPr="00A05698" w:rsidRDefault="00FF19FC" w:rsidP="00FF19FC">
            <w:pPr>
              <w:rPr>
                <w:rFonts w:eastAsia="Calibri"/>
                <w:color w:val="FF0000"/>
              </w:rPr>
            </w:pPr>
          </w:p>
        </w:tc>
      </w:tr>
      <w:tr w:rsidR="00FF19FC" w:rsidRPr="00A05698" w:rsidTr="00FF19FC">
        <w:tc>
          <w:tcPr>
            <w:tcW w:w="1780" w:type="pct"/>
            <w:shd w:val="clear" w:color="auto" w:fill="auto"/>
          </w:tcPr>
          <w:p w:rsidR="00FF19FC" w:rsidRPr="00A05698" w:rsidRDefault="00FF19FC" w:rsidP="00FF19FC">
            <w:pPr>
              <w:jc w:val="center"/>
              <w:rPr>
                <w:rFonts w:eastAsia="Calibri"/>
                <w:bCs/>
              </w:rPr>
            </w:pPr>
            <w:r w:rsidRPr="00A05698">
              <w:rPr>
                <w:rFonts w:eastAsia="Calibri"/>
                <w:bCs/>
              </w:rPr>
              <w:t>Milieu humain par rapport au site</w:t>
            </w:r>
          </w:p>
        </w:tc>
        <w:tc>
          <w:tcPr>
            <w:tcW w:w="943" w:type="pct"/>
            <w:vAlign w:val="center"/>
          </w:tcPr>
          <w:p w:rsidR="00FF19FC" w:rsidRPr="00A05698" w:rsidRDefault="00FF19FC" w:rsidP="00FF19FC">
            <w:pPr>
              <w:rPr>
                <w:rFonts w:eastAsia="Calibri"/>
                <w:highlight w:val="yellow"/>
              </w:rPr>
            </w:pPr>
          </w:p>
        </w:tc>
        <w:tc>
          <w:tcPr>
            <w:tcW w:w="948" w:type="pct"/>
            <w:vAlign w:val="center"/>
          </w:tcPr>
          <w:p w:rsidR="00FF19FC" w:rsidRPr="00A05698" w:rsidRDefault="00FF19FC" w:rsidP="00FF19FC">
            <w:pPr>
              <w:rPr>
                <w:rFonts w:eastAsia="Calibri"/>
                <w:highlight w:val="yellow"/>
              </w:rPr>
            </w:pPr>
          </w:p>
        </w:tc>
        <w:tc>
          <w:tcPr>
            <w:tcW w:w="1329" w:type="pct"/>
          </w:tcPr>
          <w:p w:rsidR="00FF19FC" w:rsidRPr="00A05698" w:rsidRDefault="00FF19FC" w:rsidP="00FF19FC">
            <w:pPr>
              <w:rPr>
                <w:rFonts w:eastAsia="Calibri"/>
              </w:rPr>
            </w:pPr>
          </w:p>
        </w:tc>
      </w:tr>
      <w:tr w:rsidR="00FF19FC" w:rsidRPr="00A05698" w:rsidTr="00FF19FC">
        <w:tc>
          <w:tcPr>
            <w:tcW w:w="1780" w:type="pct"/>
            <w:shd w:val="clear" w:color="auto" w:fill="auto"/>
          </w:tcPr>
          <w:p w:rsidR="00FF19FC" w:rsidRPr="00A05698" w:rsidRDefault="00FF19FC" w:rsidP="00FF19FC">
            <w:pPr>
              <w:jc w:val="center"/>
              <w:rPr>
                <w:rFonts w:eastAsia="Calibri"/>
                <w:bCs/>
              </w:rPr>
            </w:pPr>
            <w:r w:rsidRPr="00A05698">
              <w:rPr>
                <w:rFonts w:eastAsia="Calibri"/>
                <w:bCs/>
              </w:rPr>
              <w:t>Contraintes environnementales majeures du site</w:t>
            </w:r>
          </w:p>
        </w:tc>
        <w:tc>
          <w:tcPr>
            <w:tcW w:w="943" w:type="pct"/>
            <w:vAlign w:val="center"/>
          </w:tcPr>
          <w:p w:rsidR="00FF19FC" w:rsidRPr="00A05698" w:rsidRDefault="00FF19FC" w:rsidP="00FF19FC">
            <w:pPr>
              <w:rPr>
                <w:rFonts w:eastAsia="Calibri"/>
                <w:highlight w:val="yellow"/>
              </w:rPr>
            </w:pPr>
          </w:p>
        </w:tc>
        <w:tc>
          <w:tcPr>
            <w:tcW w:w="948" w:type="pct"/>
            <w:vAlign w:val="center"/>
          </w:tcPr>
          <w:p w:rsidR="00FF19FC" w:rsidRPr="00A05698" w:rsidRDefault="00FF19FC" w:rsidP="00FF19FC">
            <w:pPr>
              <w:rPr>
                <w:rFonts w:eastAsia="Calibri"/>
                <w:highlight w:val="yellow"/>
              </w:rPr>
            </w:pPr>
          </w:p>
        </w:tc>
        <w:tc>
          <w:tcPr>
            <w:tcW w:w="1329" w:type="pct"/>
          </w:tcPr>
          <w:p w:rsidR="00FF19FC" w:rsidRPr="00A05698" w:rsidRDefault="00FF19FC" w:rsidP="00FF19FC">
            <w:pPr>
              <w:rPr>
                <w:rFonts w:eastAsia="Calibri"/>
              </w:rPr>
            </w:pPr>
          </w:p>
        </w:tc>
      </w:tr>
    </w:tbl>
    <w:p w:rsidR="00FF19FC" w:rsidRPr="00A05698" w:rsidRDefault="00FF19FC" w:rsidP="00157035">
      <w:pPr>
        <w:numPr>
          <w:ilvl w:val="0"/>
          <w:numId w:val="132"/>
        </w:numPr>
        <w:spacing w:before="60" w:after="60"/>
        <w:rPr>
          <w:rFonts w:eastAsia="Calibri"/>
          <w:b/>
        </w:rPr>
      </w:pPr>
      <w:r w:rsidRPr="00A05698">
        <w:rPr>
          <w:rFonts w:eastAsia="Calibri"/>
          <w:b/>
        </w:rPr>
        <w:t>Liste des matières et autres utilisées</w:t>
      </w:r>
    </w:p>
    <w:p w:rsidR="00FF19FC" w:rsidRPr="00A05698" w:rsidRDefault="00FF19FC" w:rsidP="00157035">
      <w:pPr>
        <w:numPr>
          <w:ilvl w:val="1"/>
          <w:numId w:val="132"/>
        </w:numPr>
        <w:spacing w:before="60" w:after="60"/>
        <w:rPr>
          <w:rFonts w:eastAsia="Calibri"/>
          <w:b/>
          <w:i/>
        </w:rPr>
      </w:pPr>
      <w:r w:rsidRPr="00A05698">
        <w:rPr>
          <w:rFonts w:eastAsia="Calibri"/>
          <w:b/>
          <w:i/>
        </w:rPr>
        <w:t>Matières premières, produits finis, produits semi-finis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541"/>
        <w:gridCol w:w="1733"/>
        <w:gridCol w:w="2772"/>
      </w:tblGrid>
      <w:tr w:rsidR="00FF19FC" w:rsidRPr="00A05698" w:rsidTr="00FF19FC">
        <w:trPr>
          <w:trHeight w:val="709"/>
          <w:tblHeader/>
          <w:jc w:val="center"/>
        </w:trPr>
        <w:tc>
          <w:tcPr>
            <w:tcW w:w="120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jc w:val="center"/>
              <w:rPr>
                <w:rFonts w:eastAsia="Calibri"/>
                <w:b/>
              </w:rPr>
            </w:pPr>
            <w:r w:rsidRPr="00A05698">
              <w:rPr>
                <w:rFonts w:eastAsia="Calibri"/>
                <w:b/>
              </w:rPr>
              <w:t>Matière</w:t>
            </w:r>
          </w:p>
        </w:tc>
        <w:tc>
          <w:tcPr>
            <w:tcW w:w="136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rPr>
                <w:rFonts w:eastAsia="Calibri"/>
                <w:b/>
              </w:rPr>
            </w:pPr>
            <w:r w:rsidRPr="00A05698">
              <w:rPr>
                <w:rFonts w:eastAsia="Calibri"/>
                <w:b/>
              </w:rPr>
              <w:t>Quantité susceptible d’être stockée</w:t>
            </w:r>
          </w:p>
        </w:tc>
        <w:tc>
          <w:tcPr>
            <w:tcW w:w="933"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rPr>
                <w:rFonts w:eastAsia="Calibri"/>
                <w:b/>
              </w:rPr>
            </w:pPr>
            <w:r w:rsidRPr="00A05698">
              <w:rPr>
                <w:rFonts w:eastAsia="Calibri"/>
                <w:b/>
              </w:rPr>
              <w:t>unités</w:t>
            </w:r>
          </w:p>
        </w:tc>
        <w:tc>
          <w:tcPr>
            <w:tcW w:w="1493"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rPr>
                <w:rFonts w:eastAsia="Calibri"/>
                <w:b/>
              </w:rPr>
            </w:pPr>
            <w:r w:rsidRPr="00A05698">
              <w:rPr>
                <w:rFonts w:eastAsia="Calibri"/>
                <w:b/>
              </w:rPr>
              <w:t>Mode de stockage</w:t>
            </w:r>
          </w:p>
        </w:tc>
      </w:tr>
      <w:tr w:rsidR="00FF19FC" w:rsidRPr="00A05698" w:rsidTr="00FF19FC">
        <w:trPr>
          <w:trHeight w:val="70"/>
          <w:jc w:val="center"/>
        </w:trPr>
        <w:tc>
          <w:tcPr>
            <w:tcW w:w="1207"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rPr>
                <w:rFonts w:eastAsia="Calibri"/>
                <w:b/>
              </w:rPr>
            </w:pPr>
          </w:p>
        </w:tc>
        <w:tc>
          <w:tcPr>
            <w:tcW w:w="1368"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ind w:left="360"/>
              <w:rPr>
                <w:rFonts w:eastAsia="Calibri"/>
              </w:rPr>
            </w:pPr>
          </w:p>
        </w:tc>
        <w:tc>
          <w:tcPr>
            <w:tcW w:w="933"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rPr>
                <w:rFonts w:eastAsia="Calibri"/>
                <w:b/>
              </w:rPr>
            </w:pPr>
          </w:p>
        </w:tc>
        <w:tc>
          <w:tcPr>
            <w:tcW w:w="1493"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rPr>
                <w:rFonts w:eastAsia="Calibri"/>
              </w:rPr>
            </w:pPr>
          </w:p>
        </w:tc>
      </w:tr>
      <w:tr w:rsidR="00FF19FC" w:rsidRPr="00A05698" w:rsidTr="00FF19FC">
        <w:trPr>
          <w:trHeight w:val="70"/>
          <w:jc w:val="center"/>
        </w:trPr>
        <w:tc>
          <w:tcPr>
            <w:tcW w:w="1207"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rPr>
                <w:rFonts w:eastAsia="Calibri"/>
              </w:rPr>
            </w:pPr>
          </w:p>
        </w:tc>
        <w:tc>
          <w:tcPr>
            <w:tcW w:w="1368"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ind w:left="360"/>
              <w:rPr>
                <w:rFonts w:eastAsia="Calibri"/>
              </w:rPr>
            </w:pPr>
          </w:p>
        </w:tc>
        <w:tc>
          <w:tcPr>
            <w:tcW w:w="933"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rPr>
                <w:rFonts w:eastAsia="Calibri"/>
                <w:b/>
              </w:rPr>
            </w:pPr>
          </w:p>
        </w:tc>
        <w:tc>
          <w:tcPr>
            <w:tcW w:w="1493"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rPr>
                <w:rFonts w:eastAsia="Calibri"/>
              </w:rPr>
            </w:pPr>
          </w:p>
        </w:tc>
      </w:tr>
    </w:tbl>
    <w:p w:rsidR="00FF19FC" w:rsidRPr="00A05698" w:rsidRDefault="00FF19FC" w:rsidP="00157035">
      <w:pPr>
        <w:numPr>
          <w:ilvl w:val="1"/>
          <w:numId w:val="132"/>
        </w:numPr>
        <w:spacing w:before="60" w:after="60"/>
        <w:rPr>
          <w:rFonts w:eastAsia="Calibri"/>
          <w:b/>
          <w:i/>
        </w:rPr>
      </w:pPr>
      <w:r w:rsidRPr="00A05698">
        <w:rPr>
          <w:rFonts w:eastAsia="Calibri"/>
          <w:b/>
          <w:i/>
        </w:rPr>
        <w:t>Substances dangereuses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975"/>
        <w:gridCol w:w="1133"/>
        <w:gridCol w:w="1984"/>
        <w:gridCol w:w="2521"/>
      </w:tblGrid>
      <w:tr w:rsidR="00FF19FC" w:rsidRPr="00A05698" w:rsidTr="00FF19FC">
        <w:trPr>
          <w:trHeight w:val="70"/>
          <w:jc w:val="center"/>
        </w:trPr>
        <w:tc>
          <w:tcPr>
            <w:tcW w:w="902" w:type="pct"/>
            <w:tcBorders>
              <w:top w:val="single" w:sz="4" w:space="0" w:color="auto"/>
              <w:left w:val="single" w:sz="4" w:space="0" w:color="auto"/>
              <w:bottom w:val="single" w:sz="4" w:space="0" w:color="auto"/>
              <w:right w:val="single" w:sz="4" w:space="0" w:color="auto"/>
            </w:tcBorders>
            <w:shd w:val="clear" w:color="auto" w:fill="C0C0C0"/>
            <w:vAlign w:val="center"/>
          </w:tcPr>
          <w:p w:rsidR="00FF19FC" w:rsidRPr="00A05698" w:rsidRDefault="00FF19FC" w:rsidP="00FF19FC">
            <w:pPr>
              <w:jc w:val="center"/>
              <w:rPr>
                <w:rFonts w:eastAsia="Calibri"/>
                <w:b/>
              </w:rPr>
            </w:pPr>
            <w:r w:rsidRPr="00A05698">
              <w:rPr>
                <w:rFonts w:eastAsia="Calibri"/>
                <w:b/>
              </w:rPr>
              <w:t>Substances</w:t>
            </w:r>
          </w:p>
          <w:p w:rsidR="00FF19FC" w:rsidRPr="00A05698" w:rsidRDefault="00FF19FC" w:rsidP="00FF19FC">
            <w:pPr>
              <w:jc w:val="center"/>
              <w:rPr>
                <w:rFonts w:eastAsia="Calibri"/>
                <w:b/>
              </w:rPr>
            </w:pPr>
          </w:p>
        </w:tc>
        <w:tc>
          <w:tcPr>
            <w:tcW w:w="1063"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jc w:val="center"/>
              <w:rPr>
                <w:rFonts w:eastAsia="Calibri"/>
                <w:b/>
              </w:rPr>
            </w:pPr>
            <w:r w:rsidRPr="00A05698">
              <w:rPr>
                <w:rFonts w:eastAsia="Calibri"/>
                <w:b/>
              </w:rPr>
              <w:t>Quantité max d’être stockée</w:t>
            </w:r>
          </w:p>
        </w:tc>
        <w:tc>
          <w:tcPr>
            <w:tcW w:w="610"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jc w:val="center"/>
              <w:rPr>
                <w:rFonts w:eastAsia="Calibri"/>
                <w:b/>
              </w:rPr>
            </w:pPr>
            <w:r w:rsidRPr="00A05698">
              <w:rPr>
                <w:rFonts w:eastAsia="Calibri"/>
                <w:b/>
              </w:rPr>
              <w:t>Unités</w:t>
            </w:r>
          </w:p>
        </w:tc>
        <w:tc>
          <w:tcPr>
            <w:tcW w:w="106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jc w:val="center"/>
              <w:rPr>
                <w:rFonts w:eastAsia="Calibri"/>
                <w:b/>
              </w:rPr>
            </w:pPr>
            <w:r w:rsidRPr="00A05698">
              <w:rPr>
                <w:rFonts w:eastAsia="Calibri"/>
                <w:b/>
              </w:rPr>
              <w:t>Mode de stockage</w:t>
            </w:r>
          </w:p>
        </w:tc>
        <w:tc>
          <w:tcPr>
            <w:tcW w:w="135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jc w:val="center"/>
              <w:rPr>
                <w:rFonts w:eastAsia="Calibri"/>
                <w:b/>
              </w:rPr>
            </w:pPr>
            <w:r w:rsidRPr="00A05698">
              <w:rPr>
                <w:rFonts w:eastAsia="Calibri"/>
                <w:b/>
              </w:rPr>
              <w:t>Etat physique</w:t>
            </w:r>
          </w:p>
          <w:p w:rsidR="00FF19FC" w:rsidRPr="00A05698" w:rsidRDefault="00FF19FC" w:rsidP="00FF19FC">
            <w:pPr>
              <w:jc w:val="center"/>
              <w:rPr>
                <w:rFonts w:eastAsia="Calibri"/>
                <w:b/>
              </w:rPr>
            </w:pPr>
            <w:r w:rsidRPr="00A05698">
              <w:rPr>
                <w:rFonts w:eastAsia="Calibri"/>
                <w:b/>
              </w:rPr>
              <w:t>(solide, gazeux, liquide)</w:t>
            </w:r>
          </w:p>
        </w:tc>
      </w:tr>
      <w:tr w:rsidR="00FF19FC" w:rsidRPr="00A05698" w:rsidTr="00FF19FC">
        <w:trPr>
          <w:trHeight w:val="70"/>
          <w:jc w:val="center"/>
        </w:trPr>
        <w:tc>
          <w:tcPr>
            <w:tcW w:w="902" w:type="pct"/>
            <w:tcBorders>
              <w:top w:val="single" w:sz="4" w:space="0" w:color="auto"/>
              <w:left w:val="single" w:sz="4" w:space="0" w:color="auto"/>
              <w:bottom w:val="single" w:sz="4" w:space="0" w:color="auto"/>
              <w:right w:val="single" w:sz="4" w:space="0" w:color="auto"/>
            </w:tcBorders>
            <w:shd w:val="clear" w:color="auto" w:fill="FFFFFF"/>
            <w:vAlign w:val="center"/>
          </w:tcPr>
          <w:p w:rsidR="00FF19FC" w:rsidRPr="00A05698" w:rsidRDefault="00FF19FC" w:rsidP="00FF19FC">
            <w:pPr>
              <w:rPr>
                <w:rFonts w:eastAsia="Calibri"/>
                <w:b/>
              </w:rPr>
            </w:pP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FF19FC" w:rsidRPr="00A05698" w:rsidRDefault="00FF19FC" w:rsidP="00FF19FC">
            <w:pPr>
              <w:jc w:val="center"/>
              <w:rPr>
                <w:rFonts w:eastAsia="Calibri"/>
                <w:b/>
              </w:rPr>
            </w:pP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rsidR="00FF19FC" w:rsidRPr="00A05698" w:rsidRDefault="00FF19FC" w:rsidP="00FF19FC">
            <w:pPr>
              <w:jc w:val="center"/>
              <w:rPr>
                <w:rFonts w:eastAsia="Calibri"/>
                <w:b/>
              </w:rPr>
            </w:pP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FF19FC" w:rsidRPr="00A05698" w:rsidRDefault="00FF19FC" w:rsidP="00FF19FC">
            <w:pPr>
              <w:jc w:val="center"/>
              <w:rPr>
                <w:rFonts w:eastAsia="Calibri"/>
                <w:b/>
              </w:rPr>
            </w:pPr>
          </w:p>
        </w:tc>
        <w:tc>
          <w:tcPr>
            <w:tcW w:w="1357" w:type="pct"/>
            <w:tcBorders>
              <w:top w:val="single" w:sz="4" w:space="0" w:color="auto"/>
              <w:left w:val="single" w:sz="4" w:space="0" w:color="auto"/>
              <w:bottom w:val="single" w:sz="4" w:space="0" w:color="auto"/>
              <w:right w:val="single" w:sz="4" w:space="0" w:color="auto"/>
            </w:tcBorders>
            <w:shd w:val="clear" w:color="auto" w:fill="FFFFFF"/>
            <w:vAlign w:val="center"/>
          </w:tcPr>
          <w:p w:rsidR="00FF19FC" w:rsidRPr="00A05698" w:rsidRDefault="00FF19FC" w:rsidP="00FF19FC">
            <w:pPr>
              <w:jc w:val="center"/>
              <w:rPr>
                <w:rFonts w:eastAsia="Calibri"/>
                <w:b/>
              </w:rPr>
            </w:pPr>
          </w:p>
        </w:tc>
      </w:tr>
      <w:tr w:rsidR="00FF19FC" w:rsidRPr="00A05698" w:rsidTr="00FF19FC">
        <w:trPr>
          <w:trHeight w:val="70"/>
          <w:jc w:val="center"/>
        </w:trPr>
        <w:tc>
          <w:tcPr>
            <w:tcW w:w="902"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rPr>
                <w:rFonts w:eastAsia="Calibri"/>
                <w:b/>
              </w:rPr>
            </w:pPr>
          </w:p>
        </w:tc>
        <w:tc>
          <w:tcPr>
            <w:tcW w:w="1063"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jc w:val="center"/>
              <w:rPr>
                <w:rFonts w:eastAsia="Calibri"/>
              </w:rPr>
            </w:pPr>
          </w:p>
        </w:tc>
        <w:tc>
          <w:tcPr>
            <w:tcW w:w="610"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jc w:val="center"/>
              <w:rPr>
                <w:rFonts w:eastAsia="Calibri"/>
              </w:rPr>
            </w:pPr>
          </w:p>
        </w:tc>
        <w:tc>
          <w:tcPr>
            <w:tcW w:w="1068"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jc w:val="center"/>
              <w:rPr>
                <w:rFonts w:eastAsia="Calibri"/>
              </w:rPr>
            </w:pPr>
          </w:p>
        </w:tc>
        <w:tc>
          <w:tcPr>
            <w:tcW w:w="1357"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jc w:val="center"/>
              <w:rPr>
                <w:rFonts w:eastAsia="Calibri"/>
              </w:rPr>
            </w:pPr>
          </w:p>
        </w:tc>
      </w:tr>
    </w:tbl>
    <w:p w:rsidR="00FF19FC" w:rsidRPr="00A05698" w:rsidRDefault="00FF19FC" w:rsidP="00157035">
      <w:pPr>
        <w:numPr>
          <w:ilvl w:val="1"/>
          <w:numId w:val="132"/>
        </w:numPr>
        <w:spacing w:before="60" w:after="60"/>
        <w:rPr>
          <w:rFonts w:eastAsia="Calibri"/>
          <w:b/>
          <w:i/>
        </w:rPr>
      </w:pPr>
      <w:r w:rsidRPr="00A05698">
        <w:rPr>
          <w:rFonts w:eastAsia="Calibri"/>
          <w:b/>
          <w:i/>
        </w:rPr>
        <w:t>Eaux</w:t>
      </w:r>
    </w:p>
    <w:p w:rsidR="00FF19FC" w:rsidRPr="00A05698" w:rsidRDefault="00FF19FC" w:rsidP="00157035">
      <w:pPr>
        <w:numPr>
          <w:ilvl w:val="2"/>
          <w:numId w:val="132"/>
        </w:numPr>
        <w:spacing w:before="60" w:after="60"/>
        <w:rPr>
          <w:rFonts w:eastAsia="Calibri"/>
          <w:b/>
          <w:i/>
        </w:rPr>
      </w:pPr>
      <w:r w:rsidRPr="00A05698">
        <w:rPr>
          <w:rFonts w:eastAsia="Calibri"/>
          <w:b/>
          <w:i/>
        </w:rPr>
        <w:t>Eaux entrantes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1276"/>
        <w:gridCol w:w="2835"/>
        <w:gridCol w:w="2094"/>
      </w:tblGrid>
      <w:tr w:rsidR="00FF19FC" w:rsidRPr="00A05698" w:rsidTr="00FF19FC">
        <w:trPr>
          <w:trHeight w:val="154"/>
        </w:trPr>
        <w:tc>
          <w:tcPr>
            <w:tcW w:w="2347"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rPr>
                <w:rFonts w:eastAsia="Calibri"/>
                <w:b/>
              </w:rPr>
            </w:pPr>
            <w:r w:rsidRPr="00A05698">
              <w:rPr>
                <w:rFonts w:eastAsia="Calibri"/>
                <w:b/>
              </w:rPr>
              <w:t xml:space="preserve"> Source </w:t>
            </w:r>
          </w:p>
        </w:tc>
        <w:tc>
          <w:tcPr>
            <w:tcW w:w="1526"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jc w:val="center"/>
              <w:rPr>
                <w:rFonts w:eastAsia="Calibri"/>
                <w:b/>
              </w:rPr>
            </w:pPr>
            <w:r w:rsidRPr="00A05698">
              <w:rPr>
                <w:rFonts w:eastAsia="Calibri"/>
                <w:b/>
              </w:rPr>
              <w:t xml:space="preserve">Débit présumé </w:t>
            </w:r>
          </w:p>
        </w:tc>
        <w:tc>
          <w:tcPr>
            <w:tcW w:w="112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A05698" w:rsidRDefault="00FF19FC" w:rsidP="00FF19FC">
            <w:pPr>
              <w:jc w:val="center"/>
              <w:rPr>
                <w:rFonts w:eastAsia="Calibri"/>
                <w:b/>
              </w:rPr>
            </w:pPr>
            <w:r w:rsidRPr="00A05698">
              <w:rPr>
                <w:rFonts w:eastAsia="Calibri"/>
                <w:b/>
              </w:rPr>
              <w:t xml:space="preserve">Unité </w:t>
            </w:r>
          </w:p>
        </w:tc>
      </w:tr>
      <w:tr w:rsidR="00FF19FC" w:rsidRPr="00A05698" w:rsidTr="00FF19FC">
        <w:trPr>
          <w:trHeight w:val="102"/>
        </w:trPr>
        <w:tc>
          <w:tcPr>
            <w:tcW w:w="1660" w:type="pct"/>
            <w:tcBorders>
              <w:top w:val="single" w:sz="4" w:space="0" w:color="auto"/>
              <w:left w:val="single" w:sz="4" w:space="0" w:color="auto"/>
              <w:bottom w:val="single" w:sz="4" w:space="0" w:color="auto"/>
              <w:right w:val="single" w:sz="4" w:space="0" w:color="auto"/>
            </w:tcBorders>
            <w:vAlign w:val="center"/>
            <w:hideMark/>
          </w:tcPr>
          <w:p w:rsidR="00FF19FC" w:rsidRPr="00A05698" w:rsidRDefault="00FF19FC" w:rsidP="00FF19FC">
            <w:pPr>
              <w:rPr>
                <w:rFonts w:eastAsia="Calibri"/>
                <w:b/>
              </w:rPr>
            </w:pPr>
            <w:r w:rsidRPr="00A05698">
              <w:rPr>
                <w:rFonts w:eastAsia="Calibri"/>
                <w:b/>
              </w:rPr>
              <w:t xml:space="preserve">Eau de distribution </w:t>
            </w:r>
          </w:p>
        </w:tc>
        <w:tc>
          <w:tcPr>
            <w:tcW w:w="687" w:type="pct"/>
            <w:tcBorders>
              <w:top w:val="single" w:sz="4" w:space="0" w:color="auto"/>
              <w:left w:val="single" w:sz="4" w:space="0" w:color="auto"/>
              <w:bottom w:val="single" w:sz="4" w:space="0" w:color="auto"/>
              <w:right w:val="single" w:sz="4" w:space="0" w:color="auto"/>
            </w:tcBorders>
            <w:vAlign w:val="center"/>
            <w:hideMark/>
          </w:tcPr>
          <w:p w:rsidR="00FF19FC" w:rsidRPr="00A05698" w:rsidRDefault="00FF19FC" w:rsidP="00FF19FC">
            <w:pPr>
              <w:ind w:left="360"/>
              <w:jc w:val="center"/>
              <w:rPr>
                <w:rFonts w:eastAsia="Calibri"/>
                <w:b/>
              </w:rPr>
            </w:pPr>
            <w:r w:rsidRPr="00A05698">
              <w:rPr>
                <w:noProof/>
                <w:lang w:val="pt-PT" w:eastAsia="pt-PT"/>
              </w:rPr>
              <mc:AlternateContent>
                <mc:Choice Requires="wps">
                  <w:drawing>
                    <wp:anchor distT="0" distB="0" distL="114300" distR="114300" simplePos="0" relativeHeight="251658267" behindDoc="0" locked="0" layoutInCell="1" allowOverlap="1" wp14:anchorId="7D5FBE6B" wp14:editId="5D190748">
                      <wp:simplePos x="0" y="0"/>
                      <wp:positionH relativeFrom="column">
                        <wp:posOffset>358775</wp:posOffset>
                      </wp:positionH>
                      <wp:positionV relativeFrom="paragraph">
                        <wp:posOffset>74295</wp:posOffset>
                      </wp:positionV>
                      <wp:extent cx="152400" cy="122555"/>
                      <wp:effectExtent l="0" t="0" r="25400" b="29845"/>
                      <wp:wrapNone/>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2555"/>
                              </a:xfrm>
                              <a:prstGeom prst="rect">
                                <a:avLst/>
                              </a:prstGeom>
                              <a:solidFill>
                                <a:srgbClr val="FFFFFF"/>
                              </a:solidFill>
                              <a:ln w="9525">
                                <a:solidFill>
                                  <a:srgbClr val="000000"/>
                                </a:solidFill>
                                <a:miter lim="800000"/>
                                <a:headEnd/>
                                <a:tailEnd/>
                              </a:ln>
                            </wps:spPr>
                            <wps:txbx>
                              <w:txbxContent>
                                <w:p w:rsidR="005851EB" w:rsidRDefault="005851EB" w:rsidP="00FF19F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D5FBE6B" id="Zone de texte 194" o:spid="_x0000_s1046" type="#_x0000_t202" style="position:absolute;left:0;text-align:left;margin-left:28.25pt;margin-top:5.85pt;width:12pt;height:9.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">
                      <v:textbox>
                        <w:txbxContent>
                          <w:p w14:paraId="37F20EB6" w14:textId="77777777" w:rsidR="005851EB" w:rsidRDefault="005851EB" w:rsidP="00FF19FC">
                            <w:pPr>
                              <w:rPr>
                                <w:b/>
                              </w:rPr>
                            </w:pPr>
                          </w:p>
                        </w:txbxContent>
                      </v:textbox>
                    </v:shape>
                  </w:pict>
                </mc:Fallback>
              </mc:AlternateContent>
            </w:r>
          </w:p>
        </w:tc>
        <w:tc>
          <w:tcPr>
            <w:tcW w:w="1526" w:type="pct"/>
            <w:tcBorders>
              <w:top w:val="single" w:sz="4" w:space="0" w:color="auto"/>
              <w:left w:val="single" w:sz="4" w:space="0" w:color="auto"/>
              <w:bottom w:val="single" w:sz="4" w:space="0" w:color="auto"/>
              <w:right w:val="single" w:sz="4" w:space="0" w:color="auto"/>
            </w:tcBorders>
            <w:vAlign w:val="center"/>
            <w:hideMark/>
          </w:tcPr>
          <w:p w:rsidR="00FF19FC" w:rsidRPr="00A05698" w:rsidRDefault="00FF19FC" w:rsidP="00FF19FC">
            <w:pPr>
              <w:jc w:val="center"/>
              <w:rPr>
                <w:rFonts w:eastAsia="Calibri"/>
              </w:rPr>
            </w:pPr>
          </w:p>
        </w:tc>
        <w:tc>
          <w:tcPr>
            <w:tcW w:w="1127" w:type="pct"/>
            <w:tcBorders>
              <w:top w:val="single" w:sz="4" w:space="0" w:color="auto"/>
              <w:left w:val="single" w:sz="4" w:space="0" w:color="auto"/>
              <w:bottom w:val="single" w:sz="4" w:space="0" w:color="auto"/>
              <w:right w:val="single" w:sz="4" w:space="0" w:color="auto"/>
            </w:tcBorders>
            <w:hideMark/>
          </w:tcPr>
          <w:p w:rsidR="00FF19FC" w:rsidRPr="00A05698" w:rsidRDefault="00FF19FC" w:rsidP="00FF19FC">
            <w:pPr>
              <w:jc w:val="center"/>
              <w:rPr>
                <w:rFonts w:eastAsia="Calibri"/>
              </w:rPr>
            </w:pPr>
          </w:p>
        </w:tc>
      </w:tr>
      <w:tr w:rsidR="00FF19FC" w:rsidRPr="00A05698" w:rsidTr="00FF19FC">
        <w:trPr>
          <w:trHeight w:val="262"/>
        </w:trPr>
        <w:tc>
          <w:tcPr>
            <w:tcW w:w="1660" w:type="pct"/>
            <w:tcBorders>
              <w:top w:val="single" w:sz="4" w:space="0" w:color="auto"/>
              <w:left w:val="single" w:sz="4" w:space="0" w:color="auto"/>
              <w:bottom w:val="single" w:sz="4" w:space="0" w:color="auto"/>
              <w:right w:val="single" w:sz="4" w:space="0" w:color="auto"/>
            </w:tcBorders>
            <w:vAlign w:val="center"/>
            <w:hideMark/>
          </w:tcPr>
          <w:p w:rsidR="00FF19FC" w:rsidRPr="00A05698" w:rsidRDefault="00FF19FC" w:rsidP="00FF19FC">
            <w:pPr>
              <w:rPr>
                <w:rFonts w:eastAsia="Calibri"/>
                <w:b/>
              </w:rPr>
            </w:pPr>
            <w:r w:rsidRPr="00A05698">
              <w:rPr>
                <w:rFonts w:eastAsia="Calibri"/>
                <w:b/>
              </w:rPr>
              <w:t xml:space="preserve">Prise d’eau de surface </w:t>
            </w:r>
          </w:p>
        </w:tc>
        <w:tc>
          <w:tcPr>
            <w:tcW w:w="687" w:type="pct"/>
            <w:tcBorders>
              <w:top w:val="single" w:sz="4" w:space="0" w:color="auto"/>
              <w:left w:val="single" w:sz="4" w:space="0" w:color="auto"/>
              <w:bottom w:val="single" w:sz="4" w:space="0" w:color="auto"/>
              <w:right w:val="single" w:sz="4" w:space="0" w:color="auto"/>
            </w:tcBorders>
            <w:vAlign w:val="center"/>
            <w:hideMark/>
          </w:tcPr>
          <w:p w:rsidR="00FF19FC" w:rsidRPr="00A05698" w:rsidRDefault="00FF19FC" w:rsidP="00FF19FC">
            <w:pPr>
              <w:ind w:left="360"/>
              <w:jc w:val="center"/>
              <w:rPr>
                <w:rFonts w:eastAsia="Calibri"/>
              </w:rPr>
            </w:pPr>
            <w:r w:rsidRPr="00A05698">
              <w:rPr>
                <w:noProof/>
                <w:lang w:val="pt-PT" w:eastAsia="pt-PT"/>
              </w:rPr>
              <mc:AlternateContent>
                <mc:Choice Requires="wps">
                  <w:drawing>
                    <wp:anchor distT="0" distB="0" distL="114300" distR="114300" simplePos="0" relativeHeight="251658269" behindDoc="0" locked="0" layoutInCell="1" allowOverlap="1" wp14:anchorId="24392B1A" wp14:editId="40374509">
                      <wp:simplePos x="0" y="0"/>
                      <wp:positionH relativeFrom="column">
                        <wp:posOffset>443230</wp:posOffset>
                      </wp:positionH>
                      <wp:positionV relativeFrom="paragraph">
                        <wp:posOffset>50800</wp:posOffset>
                      </wp:positionV>
                      <wp:extent cx="130810" cy="130810"/>
                      <wp:effectExtent l="0" t="0" r="21590" b="21590"/>
                      <wp:wrapNone/>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30810"/>
                              </a:xfrm>
                              <a:prstGeom prst="rect">
                                <a:avLst/>
                              </a:prstGeom>
                              <a:solidFill>
                                <a:srgbClr val="FFFFFF"/>
                              </a:solidFill>
                              <a:ln w="9525">
                                <a:solidFill>
                                  <a:srgbClr val="000000"/>
                                </a:solidFill>
                                <a:miter lim="800000"/>
                                <a:headEnd/>
                                <a:tailEnd/>
                              </a:ln>
                            </wps:spPr>
                            <wps:txbx>
                              <w:txbxContent>
                                <w:p w:rsidR="005851EB" w:rsidRDefault="005851EB" w:rsidP="00FF1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4392B1A" id="Zone de texte 229" o:spid="_x0000_s1047" type="#_x0000_t202" style="position:absolute;left:0;text-align:left;margin-left:34.9pt;margin-top:4pt;width:10.3pt;height:10.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">
                      <v:textbox>
                        <w:txbxContent>
                          <w:p w14:paraId="7E4F25DE" w14:textId="77777777" w:rsidR="005851EB" w:rsidRDefault="005851EB" w:rsidP="00FF19FC"/>
                        </w:txbxContent>
                      </v:textbox>
                    </v:shape>
                  </w:pict>
                </mc:Fallback>
              </mc:AlternateContent>
            </w:r>
          </w:p>
        </w:tc>
        <w:tc>
          <w:tcPr>
            <w:tcW w:w="1526"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jc w:val="center"/>
              <w:rPr>
                <w:rFonts w:eastAsia="Calibri"/>
                <w:b/>
              </w:rPr>
            </w:pPr>
          </w:p>
        </w:tc>
        <w:tc>
          <w:tcPr>
            <w:tcW w:w="1127"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jc w:val="center"/>
              <w:rPr>
                <w:rFonts w:eastAsia="Calibri"/>
              </w:rPr>
            </w:pPr>
          </w:p>
        </w:tc>
      </w:tr>
      <w:tr w:rsidR="00FF19FC" w:rsidRPr="00A05698" w:rsidTr="00FF19FC">
        <w:trPr>
          <w:trHeight w:val="70"/>
        </w:trPr>
        <w:tc>
          <w:tcPr>
            <w:tcW w:w="1660" w:type="pct"/>
            <w:tcBorders>
              <w:top w:val="single" w:sz="4" w:space="0" w:color="auto"/>
              <w:left w:val="single" w:sz="4" w:space="0" w:color="auto"/>
              <w:bottom w:val="single" w:sz="4" w:space="0" w:color="auto"/>
              <w:right w:val="single" w:sz="4" w:space="0" w:color="auto"/>
            </w:tcBorders>
            <w:vAlign w:val="center"/>
            <w:hideMark/>
          </w:tcPr>
          <w:p w:rsidR="00FF19FC" w:rsidRPr="00A05698" w:rsidRDefault="00FF19FC" w:rsidP="00FF19FC">
            <w:pPr>
              <w:rPr>
                <w:rFonts w:eastAsia="Calibri"/>
                <w:b/>
              </w:rPr>
            </w:pPr>
            <w:r w:rsidRPr="00A05698">
              <w:rPr>
                <w:rFonts w:eastAsia="Calibri"/>
                <w:b/>
              </w:rPr>
              <w:t>Prise d’eau souterraine</w:t>
            </w:r>
          </w:p>
        </w:tc>
        <w:tc>
          <w:tcPr>
            <w:tcW w:w="687" w:type="pct"/>
            <w:tcBorders>
              <w:top w:val="single" w:sz="4" w:space="0" w:color="auto"/>
              <w:left w:val="single" w:sz="4" w:space="0" w:color="auto"/>
              <w:bottom w:val="single" w:sz="4" w:space="0" w:color="auto"/>
              <w:right w:val="single" w:sz="4" w:space="0" w:color="auto"/>
            </w:tcBorders>
            <w:vAlign w:val="center"/>
            <w:hideMark/>
          </w:tcPr>
          <w:p w:rsidR="00FF19FC" w:rsidRPr="00A05698" w:rsidRDefault="00FF19FC" w:rsidP="00FF19FC">
            <w:pPr>
              <w:ind w:left="360"/>
              <w:jc w:val="center"/>
              <w:rPr>
                <w:rFonts w:eastAsia="Calibri"/>
              </w:rPr>
            </w:pPr>
            <w:r w:rsidRPr="00A05698">
              <w:rPr>
                <w:noProof/>
                <w:lang w:val="pt-PT" w:eastAsia="pt-PT"/>
              </w:rPr>
              <mc:AlternateContent>
                <mc:Choice Requires="wps">
                  <w:drawing>
                    <wp:anchor distT="0" distB="0" distL="114300" distR="114300" simplePos="0" relativeHeight="251658270" behindDoc="0" locked="0" layoutInCell="1" allowOverlap="1" wp14:anchorId="236033C7" wp14:editId="3CAF140A">
                      <wp:simplePos x="0" y="0"/>
                      <wp:positionH relativeFrom="column">
                        <wp:posOffset>443230</wp:posOffset>
                      </wp:positionH>
                      <wp:positionV relativeFrom="paragraph">
                        <wp:posOffset>26670</wp:posOffset>
                      </wp:positionV>
                      <wp:extent cx="130810" cy="130810"/>
                      <wp:effectExtent l="0" t="0" r="21590" b="21590"/>
                      <wp:wrapNone/>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30810"/>
                              </a:xfrm>
                              <a:prstGeom prst="rect">
                                <a:avLst/>
                              </a:prstGeom>
                              <a:solidFill>
                                <a:srgbClr val="FFFFFF"/>
                              </a:solidFill>
                              <a:ln w="9525">
                                <a:solidFill>
                                  <a:srgbClr val="000000"/>
                                </a:solidFill>
                                <a:miter lim="800000"/>
                                <a:headEnd/>
                                <a:tailEnd/>
                              </a:ln>
                            </wps:spPr>
                            <wps:txbx>
                              <w:txbxContent>
                                <w:p w:rsidR="005851EB" w:rsidRDefault="005851EB" w:rsidP="00FF1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36033C7" id="Zone de texte 228" o:spid="_x0000_s1048" type="#_x0000_t202" style="position:absolute;left:0;text-align:left;margin-left:34.9pt;margin-top:2.1pt;width:10.3pt;height:10.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">
                      <v:textbox>
                        <w:txbxContent>
                          <w:p w14:paraId="0B1F6543" w14:textId="77777777" w:rsidR="005851EB" w:rsidRDefault="005851EB" w:rsidP="00FF19FC"/>
                        </w:txbxContent>
                      </v:textbox>
                    </v:shape>
                  </w:pict>
                </mc:Fallback>
              </mc:AlternateContent>
            </w:r>
          </w:p>
        </w:tc>
        <w:tc>
          <w:tcPr>
            <w:tcW w:w="1526"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jc w:val="center"/>
              <w:rPr>
                <w:rFonts w:eastAsia="Calibri"/>
                <w:b/>
              </w:rPr>
            </w:pPr>
          </w:p>
        </w:tc>
        <w:tc>
          <w:tcPr>
            <w:tcW w:w="1127"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jc w:val="center"/>
              <w:rPr>
                <w:rFonts w:eastAsia="Calibri"/>
              </w:rPr>
            </w:pPr>
          </w:p>
        </w:tc>
      </w:tr>
      <w:tr w:rsidR="00FF19FC" w:rsidRPr="00A05698" w:rsidTr="00FF19FC">
        <w:trPr>
          <w:trHeight w:val="70"/>
        </w:trPr>
        <w:tc>
          <w:tcPr>
            <w:tcW w:w="1660" w:type="pct"/>
            <w:tcBorders>
              <w:top w:val="single" w:sz="4" w:space="0" w:color="auto"/>
              <w:left w:val="single" w:sz="4" w:space="0" w:color="auto"/>
              <w:bottom w:val="single" w:sz="4" w:space="0" w:color="auto"/>
              <w:right w:val="single" w:sz="4" w:space="0" w:color="auto"/>
            </w:tcBorders>
            <w:vAlign w:val="center"/>
            <w:hideMark/>
          </w:tcPr>
          <w:p w:rsidR="00FF19FC" w:rsidRPr="00A05698" w:rsidRDefault="00FF19FC" w:rsidP="00FF19FC">
            <w:pPr>
              <w:rPr>
                <w:rFonts w:eastAsia="Calibri"/>
                <w:b/>
              </w:rPr>
            </w:pPr>
            <w:r w:rsidRPr="00A05698">
              <w:rPr>
                <w:rFonts w:eastAsia="Calibri"/>
                <w:b/>
              </w:rPr>
              <w:t>Autre</w:t>
            </w:r>
          </w:p>
        </w:tc>
        <w:tc>
          <w:tcPr>
            <w:tcW w:w="687" w:type="pct"/>
            <w:tcBorders>
              <w:top w:val="single" w:sz="4" w:space="0" w:color="auto"/>
              <w:left w:val="single" w:sz="4" w:space="0" w:color="auto"/>
              <w:bottom w:val="single" w:sz="4" w:space="0" w:color="auto"/>
              <w:right w:val="single" w:sz="4" w:space="0" w:color="auto"/>
            </w:tcBorders>
            <w:vAlign w:val="center"/>
            <w:hideMark/>
          </w:tcPr>
          <w:p w:rsidR="00FF19FC" w:rsidRPr="00A05698" w:rsidRDefault="000D6E80" w:rsidP="00FF19FC">
            <w:pPr>
              <w:ind w:left="360"/>
              <w:jc w:val="center"/>
              <w:rPr>
                <w:rFonts w:eastAsia="Calibri"/>
              </w:rPr>
            </w:pPr>
            <w:r w:rsidRPr="00A05698">
              <w:rPr>
                <w:noProof/>
                <w:lang w:val="pt-PT" w:eastAsia="pt-PT"/>
              </w:rPr>
              <mc:AlternateContent>
                <mc:Choice Requires="wps">
                  <w:drawing>
                    <wp:anchor distT="0" distB="0" distL="114300" distR="114300" simplePos="0" relativeHeight="251658264" behindDoc="0" locked="0" layoutInCell="1" allowOverlap="1" wp14:anchorId="23A086B2" wp14:editId="605C23F1">
                      <wp:simplePos x="0" y="0"/>
                      <wp:positionH relativeFrom="column">
                        <wp:posOffset>473075</wp:posOffset>
                      </wp:positionH>
                      <wp:positionV relativeFrom="paragraph">
                        <wp:posOffset>-7620</wp:posOffset>
                      </wp:positionV>
                      <wp:extent cx="130810" cy="130810"/>
                      <wp:effectExtent l="0" t="0" r="21590" b="21590"/>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30810"/>
                              </a:xfrm>
                              <a:prstGeom prst="rect">
                                <a:avLst/>
                              </a:prstGeom>
                              <a:solidFill>
                                <a:srgbClr val="FFFFFF"/>
                              </a:solidFill>
                              <a:ln w="9525">
                                <a:solidFill>
                                  <a:srgbClr val="000000"/>
                                </a:solidFill>
                                <a:miter lim="800000"/>
                                <a:headEnd/>
                                <a:tailEnd/>
                              </a:ln>
                            </wps:spPr>
                            <wps:txbx>
                              <w:txbxContent>
                                <w:p w:rsidR="005851EB" w:rsidRDefault="005851EB" w:rsidP="00FF1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3A086B2" id="Zone de texte 227" o:spid="_x0000_s1049" type="#_x0000_t202" style="position:absolute;left:0;text-align:left;margin-left:37.25pt;margin-top:-.55pt;width:10.3pt;height:10.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">
                      <v:textbox>
                        <w:txbxContent>
                          <w:p w14:paraId="15B4451C" w14:textId="77777777" w:rsidR="005851EB" w:rsidRDefault="005851EB" w:rsidP="00FF19FC"/>
                        </w:txbxContent>
                      </v:textbox>
                    </v:shape>
                  </w:pict>
                </mc:Fallback>
              </mc:AlternateContent>
            </w:r>
          </w:p>
        </w:tc>
        <w:tc>
          <w:tcPr>
            <w:tcW w:w="1526" w:type="pct"/>
            <w:tcBorders>
              <w:top w:val="single" w:sz="4" w:space="0" w:color="auto"/>
              <w:left w:val="single" w:sz="4" w:space="0" w:color="auto"/>
              <w:bottom w:val="single" w:sz="4" w:space="0" w:color="auto"/>
              <w:right w:val="single" w:sz="4" w:space="0" w:color="auto"/>
            </w:tcBorders>
            <w:vAlign w:val="center"/>
          </w:tcPr>
          <w:p w:rsidR="00FF19FC" w:rsidRPr="00A05698" w:rsidRDefault="00FF19FC" w:rsidP="00FF19FC">
            <w:pPr>
              <w:jc w:val="center"/>
              <w:rPr>
                <w:rFonts w:eastAsia="Calibri"/>
                <w:b/>
              </w:rPr>
            </w:pPr>
          </w:p>
        </w:tc>
        <w:tc>
          <w:tcPr>
            <w:tcW w:w="1127" w:type="pct"/>
            <w:tcBorders>
              <w:top w:val="single" w:sz="4" w:space="0" w:color="auto"/>
              <w:left w:val="single" w:sz="4" w:space="0" w:color="auto"/>
              <w:bottom w:val="single" w:sz="4" w:space="0" w:color="auto"/>
              <w:right w:val="single" w:sz="4" w:space="0" w:color="auto"/>
            </w:tcBorders>
          </w:tcPr>
          <w:p w:rsidR="00FF19FC" w:rsidRPr="00A05698" w:rsidRDefault="00FF19FC" w:rsidP="00FF19FC">
            <w:pPr>
              <w:jc w:val="center"/>
              <w:rPr>
                <w:rFonts w:eastAsia="Calibri"/>
              </w:rPr>
            </w:pPr>
          </w:p>
        </w:tc>
      </w:tr>
    </w:tbl>
    <w:p w:rsidR="00FF19FC" w:rsidRPr="00A05698" w:rsidRDefault="00FF19FC" w:rsidP="00157035">
      <w:pPr>
        <w:numPr>
          <w:ilvl w:val="0"/>
          <w:numId w:val="132"/>
        </w:numPr>
        <w:rPr>
          <w:rFonts w:eastAsia="Calibri"/>
          <w:b/>
        </w:rPr>
      </w:pPr>
      <w:r w:rsidRPr="00A05698">
        <w:rPr>
          <w:rFonts w:eastAsia="Calibri"/>
          <w:b/>
        </w:rPr>
        <w:t>Type de rejets</w:t>
      </w:r>
    </w:p>
    <w:p w:rsidR="00FF19FC" w:rsidRPr="00A05698" w:rsidRDefault="00FF19FC" w:rsidP="00FF19FC">
      <w:pPr>
        <w:rPr>
          <w:rFonts w:eastAsia="Calibri"/>
          <w:b/>
        </w:rPr>
      </w:pPr>
      <w:r w:rsidRPr="00A05698">
        <w:rPr>
          <w:rFonts w:eastAsia="Calibri"/>
        </w:rPr>
        <w:t>Le projet implique-t-il des rejets d’eau ?</w:t>
      </w:r>
      <w:r w:rsidRPr="00A05698">
        <w:rPr>
          <w:rFonts w:eastAsia="Calibri"/>
        </w:rPr>
        <w:tab/>
      </w:r>
    </w:p>
    <w:p w:rsidR="00FF19FC" w:rsidRPr="00A05698" w:rsidRDefault="000D6E80" w:rsidP="00FF19FC">
      <w:pPr>
        <w:rPr>
          <w:rFonts w:eastAsia="Calibri"/>
        </w:rPr>
      </w:pPr>
      <w:r w:rsidRPr="00A05698">
        <w:rPr>
          <w:noProof/>
          <w:lang w:val="pt-PT" w:eastAsia="pt-PT"/>
        </w:rPr>
        <mc:AlternateContent>
          <mc:Choice Requires="wps">
            <w:drawing>
              <wp:anchor distT="0" distB="0" distL="114300" distR="114300" simplePos="0" relativeHeight="251658271" behindDoc="0" locked="0" layoutInCell="1" allowOverlap="1" wp14:anchorId="49DBC71E" wp14:editId="0F729953">
                <wp:simplePos x="0" y="0"/>
                <wp:positionH relativeFrom="column">
                  <wp:posOffset>914400</wp:posOffset>
                </wp:positionH>
                <wp:positionV relativeFrom="paragraph">
                  <wp:posOffset>3175</wp:posOffset>
                </wp:positionV>
                <wp:extent cx="147320" cy="154940"/>
                <wp:effectExtent l="0" t="0" r="30480" b="22860"/>
                <wp:wrapNone/>
                <wp:docPr id="225" name="Zone de text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4940"/>
                        </a:xfrm>
                        <a:prstGeom prst="rect">
                          <a:avLst/>
                        </a:prstGeom>
                        <a:solidFill>
                          <a:srgbClr val="FFFFFF"/>
                        </a:solidFill>
                        <a:ln w="9525">
                          <a:solidFill>
                            <a:srgbClr val="000000"/>
                          </a:solidFill>
                          <a:miter lim="800000"/>
                          <a:headEnd/>
                          <a:tailEnd/>
                        </a:ln>
                      </wps:spPr>
                      <wps:txbx>
                        <w:txbxContent>
                          <w:p w:rsidR="005851EB" w:rsidRDefault="005851EB" w:rsidP="00FF19FC">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9DBC71E" id="Zone de texte 225" o:spid="_x0000_s1050" type="#_x0000_t202" style="position:absolute;margin-left:1in;margin-top:.25pt;width:11.6pt;height:12.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">
                <v:textbox>
                  <w:txbxContent>
                    <w:p w14:paraId="11E9CBA4" w14:textId="77777777" w:rsidR="005851EB" w:rsidRDefault="005851EB" w:rsidP="00FF19FC">
                      <w:r>
                        <w:t>X</w:t>
                      </w:r>
                    </w:p>
                  </w:txbxContent>
                </v:textbox>
              </v:shape>
            </w:pict>
          </mc:Fallback>
        </mc:AlternateContent>
      </w:r>
      <w:r w:rsidRPr="00A05698">
        <w:rPr>
          <w:noProof/>
          <w:lang w:val="pt-PT" w:eastAsia="pt-PT"/>
        </w:rPr>
        <mc:AlternateContent>
          <mc:Choice Requires="wps">
            <w:drawing>
              <wp:anchor distT="0" distB="0" distL="114300" distR="114300" simplePos="0" relativeHeight="251658272" behindDoc="0" locked="0" layoutInCell="1" allowOverlap="1" wp14:anchorId="3A70CD4F" wp14:editId="14812678">
                <wp:simplePos x="0" y="0"/>
                <wp:positionH relativeFrom="column">
                  <wp:posOffset>1219200</wp:posOffset>
                </wp:positionH>
                <wp:positionV relativeFrom="paragraph">
                  <wp:posOffset>43815</wp:posOffset>
                </wp:positionV>
                <wp:extent cx="205105" cy="184785"/>
                <wp:effectExtent l="0" t="0" r="23495" b="18415"/>
                <wp:wrapNone/>
                <wp:docPr id="226" name="Zone de text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84785"/>
                        </a:xfrm>
                        <a:prstGeom prst="rect">
                          <a:avLst/>
                        </a:prstGeom>
                        <a:solidFill>
                          <a:srgbClr val="FFFFFF"/>
                        </a:solidFill>
                        <a:ln w="9525">
                          <a:solidFill>
                            <a:srgbClr val="000000"/>
                          </a:solidFill>
                          <a:miter lim="800000"/>
                          <a:headEnd/>
                          <a:tailEnd/>
                        </a:ln>
                      </wps:spPr>
                      <wps:txbx>
                        <w:txbxContent>
                          <w:p w:rsidR="005851EB" w:rsidRDefault="005851EB" w:rsidP="00FF19FC">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A70CD4F" id="Zone de texte 226" o:spid="_x0000_s1051" type="#_x0000_t202" style="position:absolute;margin-left:96pt;margin-top:3.45pt;width:16.15pt;height:14.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">
                <v:textbox>
                  <w:txbxContent>
                    <w:p w14:paraId="1F70C5D2" w14:textId="77777777" w:rsidR="005851EB" w:rsidRDefault="005851EB" w:rsidP="00FF19FC">
                      <w:pPr>
                        <w:rPr>
                          <w:b/>
                        </w:rPr>
                      </w:pPr>
                      <w:r>
                        <w:rPr>
                          <w:b/>
                        </w:rPr>
                        <w:t xml:space="preserve">       </w:t>
                      </w:r>
                    </w:p>
                  </w:txbxContent>
                </v:textbox>
              </v:shape>
            </w:pict>
          </mc:Fallback>
        </mc:AlternateContent>
      </w:r>
      <w:r w:rsidR="00FF19FC" w:rsidRPr="00A05698">
        <w:rPr>
          <w:rFonts w:eastAsia="Calibri"/>
        </w:rPr>
        <w:tab/>
        <w:t xml:space="preserve"> Non </w:t>
      </w:r>
      <w:r w:rsidR="00FF19FC" w:rsidRPr="00A05698">
        <w:rPr>
          <w:rFonts w:eastAsia="Calibri"/>
          <w:b/>
        </w:rPr>
        <w:tab/>
      </w:r>
      <w:r w:rsidR="00FF19FC" w:rsidRPr="00A05698">
        <w:rPr>
          <w:rFonts w:eastAsia="Calibri"/>
        </w:rPr>
        <w:tab/>
      </w:r>
      <w:r>
        <w:rPr>
          <w:rFonts w:eastAsia="Calibri"/>
        </w:rPr>
        <w:t xml:space="preserve">    </w:t>
      </w:r>
      <w:r w:rsidR="00FF19FC" w:rsidRPr="00A05698">
        <w:rPr>
          <w:rFonts w:eastAsia="Calibri"/>
        </w:rPr>
        <w:t xml:space="preserve">oui alors remplir le tableau ci-dessous </w:t>
      </w:r>
    </w:p>
    <w:p w:rsidR="00FF19FC" w:rsidRPr="00A05698" w:rsidRDefault="00FF19FC" w:rsidP="00157035">
      <w:pPr>
        <w:numPr>
          <w:ilvl w:val="1"/>
          <w:numId w:val="133"/>
        </w:numPr>
        <w:spacing w:before="60" w:after="60"/>
        <w:rPr>
          <w:rFonts w:eastAsia="Calibri"/>
          <w:b/>
          <w:i/>
        </w:rPr>
      </w:pPr>
      <w:r w:rsidRPr="00A05698">
        <w:rPr>
          <w:rFonts w:eastAsia="Calibri"/>
          <w:b/>
          <w:i/>
        </w:rPr>
        <w:t xml:space="preserve"> Eaux sortantes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752"/>
        <w:gridCol w:w="1254"/>
        <w:gridCol w:w="804"/>
        <w:gridCol w:w="675"/>
        <w:gridCol w:w="700"/>
        <w:gridCol w:w="978"/>
        <w:gridCol w:w="631"/>
        <w:gridCol w:w="692"/>
        <w:gridCol w:w="968"/>
        <w:gridCol w:w="1263"/>
      </w:tblGrid>
      <w:tr w:rsidR="00FF19FC" w:rsidRPr="000D6E80" w:rsidTr="00FF19FC">
        <w:trPr>
          <w:trHeight w:val="252"/>
          <w:jc w:val="center"/>
        </w:trPr>
        <w:tc>
          <w:tcPr>
            <w:tcW w:w="302" w:type="pct"/>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FF19FC" w:rsidRPr="000D6E80" w:rsidRDefault="00FF19FC" w:rsidP="00FF19FC">
            <w:pPr>
              <w:jc w:val="center"/>
              <w:rPr>
                <w:rFonts w:eastAsia="Calibri"/>
                <w:b/>
                <w:sz w:val="16"/>
                <w:szCs w:val="16"/>
              </w:rPr>
            </w:pPr>
          </w:p>
        </w:tc>
        <w:tc>
          <w:tcPr>
            <w:tcW w:w="1886" w:type="pct"/>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Type d’eau</w:t>
            </w:r>
          </w:p>
        </w:tc>
        <w:tc>
          <w:tcPr>
            <w:tcW w:w="1989" w:type="pct"/>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Récepteur</w:t>
            </w:r>
          </w:p>
        </w:tc>
        <w:tc>
          <w:tcPr>
            <w:tcW w:w="823"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Contrôle (spécifier le type de contrôle envisagé)</w:t>
            </w:r>
          </w:p>
        </w:tc>
      </w:tr>
      <w:tr w:rsidR="00FF19FC" w:rsidRPr="000D6E80" w:rsidTr="00FF19FC">
        <w:trPr>
          <w:trHeight w:val="384"/>
          <w:jc w:val="center"/>
        </w:trPr>
        <w:tc>
          <w:tcPr>
            <w:tcW w:w="302"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Procédé</w:t>
            </w:r>
          </w:p>
        </w:tc>
        <w:tc>
          <w:tcPr>
            <w:tcW w:w="681"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refroidissement</w:t>
            </w:r>
          </w:p>
        </w:tc>
        <w:tc>
          <w:tcPr>
            <w:tcW w:w="431"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pluviales</w:t>
            </w:r>
          </w:p>
        </w:tc>
        <w:tc>
          <w:tcPr>
            <w:tcW w:w="36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vannes</w:t>
            </w:r>
          </w:p>
        </w:tc>
        <w:tc>
          <w:tcPr>
            <w:tcW w:w="375"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eau de surface</w:t>
            </w:r>
          </w:p>
        </w:tc>
        <w:tc>
          <w:tcPr>
            <w:tcW w:w="52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eau souterraine</w:t>
            </w:r>
          </w:p>
        </w:tc>
        <w:tc>
          <w:tcPr>
            <w:tcW w:w="33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Egout public</w:t>
            </w:r>
          </w:p>
        </w:tc>
        <w:tc>
          <w:tcPr>
            <w:tcW w:w="754"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Station ONAS</w:t>
            </w:r>
          </w:p>
        </w:tc>
        <w:tc>
          <w:tcPr>
            <w:tcW w:w="144"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Débitmètre</w:t>
            </w:r>
          </w:p>
        </w:tc>
        <w:tc>
          <w:tcPr>
            <w:tcW w:w="679"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16"/>
                <w:szCs w:val="16"/>
              </w:rPr>
            </w:pPr>
            <w:r w:rsidRPr="000D6E80">
              <w:rPr>
                <w:rFonts w:eastAsia="Calibri"/>
                <w:b/>
                <w:sz w:val="16"/>
                <w:szCs w:val="16"/>
              </w:rPr>
              <w:t>échantillonneur</w:t>
            </w:r>
          </w:p>
        </w:tc>
      </w:tr>
      <w:tr w:rsidR="00FF19FC" w:rsidRPr="000D6E80" w:rsidTr="00FF19FC">
        <w:trPr>
          <w:trHeight w:val="376"/>
          <w:jc w:val="center"/>
        </w:trPr>
        <w:tc>
          <w:tcPr>
            <w:tcW w:w="302" w:type="pct"/>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6"/>
                <w:szCs w:val="16"/>
              </w:rPr>
            </w:pPr>
            <w:r w:rsidRPr="000D6E80">
              <w:rPr>
                <w:rFonts w:eastAsia="Calibri"/>
                <w:b/>
                <w:sz w:val="16"/>
                <w:szCs w:val="16"/>
              </w:rPr>
              <w:t>Rejet 1</w:t>
            </w:r>
          </w:p>
        </w:tc>
        <w:tc>
          <w:tcPr>
            <w:tcW w:w="406"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rPr>
                <w:rFonts w:eastAsia="Calibri"/>
                <w:sz w:val="16"/>
                <w:szCs w:val="16"/>
              </w:rPr>
            </w:pPr>
          </w:p>
        </w:tc>
        <w:tc>
          <w:tcPr>
            <w:tcW w:w="681"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rPr>
                <w:rFonts w:eastAsia="Calibri"/>
                <w:sz w:val="16"/>
                <w:szCs w:val="16"/>
              </w:rPr>
            </w:pPr>
          </w:p>
        </w:tc>
        <w:tc>
          <w:tcPr>
            <w:tcW w:w="431"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rPr>
                <w:rFonts w:eastAsia="Calibri"/>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rPr>
                <w:rFonts w:eastAsia="Calibri"/>
                <w:sz w:val="16"/>
                <w:szCs w:val="16"/>
              </w:rPr>
            </w:pPr>
          </w:p>
        </w:tc>
        <w:tc>
          <w:tcPr>
            <w:tcW w:w="375"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rPr>
                <w:rFonts w:eastAsia="Calibri"/>
                <w:sz w:val="16"/>
                <w:szCs w:val="16"/>
              </w:rPr>
            </w:pPr>
          </w:p>
        </w:tc>
        <w:tc>
          <w:tcPr>
            <w:tcW w:w="52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rPr>
                <w:rFonts w:eastAsia="Calibri"/>
                <w:sz w:val="16"/>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rPr>
                <w:rFonts w:eastAsia="Calibri"/>
                <w:sz w:val="16"/>
                <w:szCs w:val="16"/>
              </w:rPr>
            </w:pPr>
          </w:p>
        </w:tc>
        <w:tc>
          <w:tcPr>
            <w:tcW w:w="754"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rPr>
                <w:rFonts w:eastAsia="Calibri"/>
                <w:sz w:val="16"/>
                <w:szCs w:val="16"/>
              </w:rPr>
            </w:pPr>
          </w:p>
        </w:tc>
        <w:tc>
          <w:tcPr>
            <w:tcW w:w="144" w:type="pct"/>
            <w:tcBorders>
              <w:top w:val="single" w:sz="4" w:space="0" w:color="auto"/>
              <w:left w:val="single" w:sz="4" w:space="0" w:color="auto"/>
              <w:bottom w:val="single" w:sz="4" w:space="0" w:color="auto"/>
              <w:right w:val="single" w:sz="4" w:space="0" w:color="auto"/>
            </w:tcBorders>
          </w:tcPr>
          <w:p w:rsidR="00FF19FC" w:rsidRPr="000D6E80" w:rsidRDefault="00FF19FC" w:rsidP="00FF19FC">
            <w:pPr>
              <w:rPr>
                <w:rFonts w:eastAsia="Calibri"/>
                <w:sz w:val="16"/>
                <w:szCs w:val="16"/>
              </w:rPr>
            </w:pPr>
          </w:p>
        </w:tc>
        <w:tc>
          <w:tcPr>
            <w:tcW w:w="679" w:type="pct"/>
            <w:tcBorders>
              <w:top w:val="single" w:sz="4" w:space="0" w:color="auto"/>
              <w:left w:val="single" w:sz="4" w:space="0" w:color="auto"/>
              <w:bottom w:val="single" w:sz="4" w:space="0" w:color="auto"/>
              <w:right w:val="single" w:sz="4" w:space="0" w:color="auto"/>
            </w:tcBorders>
          </w:tcPr>
          <w:p w:rsidR="00FF19FC" w:rsidRPr="000D6E80" w:rsidRDefault="00FF19FC" w:rsidP="00FF19FC">
            <w:pPr>
              <w:rPr>
                <w:rFonts w:eastAsia="Calibri"/>
                <w:sz w:val="16"/>
                <w:szCs w:val="16"/>
              </w:rPr>
            </w:pPr>
          </w:p>
        </w:tc>
      </w:tr>
      <w:tr w:rsidR="00FF19FC" w:rsidRPr="000D6E80" w:rsidTr="00FF19FC">
        <w:trPr>
          <w:trHeight w:val="190"/>
          <w:jc w:val="center"/>
        </w:trPr>
        <w:tc>
          <w:tcPr>
            <w:tcW w:w="302" w:type="pct"/>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6"/>
                <w:szCs w:val="16"/>
              </w:rPr>
            </w:pPr>
            <w:r w:rsidRPr="000D6E80">
              <w:rPr>
                <w:rFonts w:eastAsia="Calibri"/>
                <w:b/>
                <w:sz w:val="16"/>
                <w:szCs w:val="16"/>
              </w:rPr>
              <w:t>Rejet 2</w:t>
            </w:r>
          </w:p>
        </w:tc>
        <w:tc>
          <w:tcPr>
            <w:tcW w:w="406"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sz w:val="16"/>
                <w:szCs w:val="16"/>
              </w:rPr>
            </w:pPr>
          </w:p>
        </w:tc>
        <w:tc>
          <w:tcPr>
            <w:tcW w:w="681"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6"/>
                <w:szCs w:val="16"/>
              </w:rPr>
            </w:pPr>
          </w:p>
        </w:tc>
        <w:tc>
          <w:tcPr>
            <w:tcW w:w="431"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6"/>
                <w:szCs w:val="16"/>
              </w:rPr>
            </w:pPr>
          </w:p>
        </w:tc>
        <w:tc>
          <w:tcPr>
            <w:tcW w:w="375"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6"/>
                <w:szCs w:val="16"/>
              </w:rPr>
            </w:pPr>
          </w:p>
        </w:tc>
        <w:tc>
          <w:tcPr>
            <w:tcW w:w="52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6"/>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6"/>
                <w:szCs w:val="16"/>
              </w:rPr>
            </w:pPr>
          </w:p>
        </w:tc>
        <w:tc>
          <w:tcPr>
            <w:tcW w:w="754"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6"/>
                <w:szCs w:val="16"/>
              </w:rPr>
            </w:pPr>
          </w:p>
        </w:tc>
        <w:tc>
          <w:tcPr>
            <w:tcW w:w="144" w:type="pct"/>
            <w:tcBorders>
              <w:top w:val="single" w:sz="4" w:space="0" w:color="auto"/>
              <w:left w:val="single" w:sz="4" w:space="0" w:color="auto"/>
              <w:bottom w:val="single" w:sz="4" w:space="0" w:color="auto"/>
              <w:right w:val="single" w:sz="4" w:space="0" w:color="auto"/>
            </w:tcBorders>
          </w:tcPr>
          <w:p w:rsidR="00FF19FC" w:rsidRPr="000D6E80" w:rsidRDefault="00FF19FC" w:rsidP="00FF19FC">
            <w:pPr>
              <w:rPr>
                <w:rFonts w:eastAsia="Calibri"/>
                <w:sz w:val="16"/>
                <w:szCs w:val="16"/>
              </w:rPr>
            </w:pPr>
          </w:p>
        </w:tc>
        <w:tc>
          <w:tcPr>
            <w:tcW w:w="679" w:type="pct"/>
            <w:tcBorders>
              <w:top w:val="single" w:sz="4" w:space="0" w:color="auto"/>
              <w:left w:val="single" w:sz="4" w:space="0" w:color="auto"/>
              <w:bottom w:val="single" w:sz="4" w:space="0" w:color="auto"/>
              <w:right w:val="single" w:sz="4" w:space="0" w:color="auto"/>
            </w:tcBorders>
          </w:tcPr>
          <w:p w:rsidR="00FF19FC" w:rsidRPr="000D6E80" w:rsidRDefault="00FF19FC" w:rsidP="00FF19FC">
            <w:pPr>
              <w:jc w:val="center"/>
              <w:rPr>
                <w:rFonts w:eastAsia="Calibri"/>
                <w:sz w:val="16"/>
                <w:szCs w:val="16"/>
              </w:rPr>
            </w:pPr>
          </w:p>
        </w:tc>
      </w:tr>
    </w:tbl>
    <w:p w:rsidR="00FF19FC" w:rsidRPr="00A05698" w:rsidRDefault="00FF19FC" w:rsidP="00FF19FC">
      <w:pPr>
        <w:ind w:left="1080"/>
        <w:rPr>
          <w:rFonts w:eastAsia="Calibri"/>
          <w:b/>
          <w:i/>
        </w:rPr>
      </w:pPr>
    </w:p>
    <w:p w:rsidR="00FF19FC" w:rsidRPr="00A05698" w:rsidRDefault="00FF19FC" w:rsidP="00157035">
      <w:pPr>
        <w:numPr>
          <w:ilvl w:val="1"/>
          <w:numId w:val="133"/>
        </w:numPr>
        <w:spacing w:before="60" w:after="60"/>
        <w:rPr>
          <w:rFonts w:eastAsia="Calibri"/>
          <w:b/>
          <w:i/>
        </w:rPr>
      </w:pPr>
      <w:r w:rsidRPr="00A05698">
        <w:rPr>
          <w:rFonts w:eastAsia="Calibri"/>
          <w:b/>
          <w:i/>
        </w:rPr>
        <w:t xml:space="preserve"> Air</w:t>
      </w:r>
    </w:p>
    <w:p w:rsidR="00FF19FC" w:rsidRPr="00A05698" w:rsidRDefault="000D6E80" w:rsidP="00FF19FC">
      <w:pPr>
        <w:rPr>
          <w:rFonts w:eastAsia="Calibri"/>
        </w:rPr>
      </w:pPr>
      <w:r w:rsidRPr="00A05698">
        <w:rPr>
          <w:noProof/>
          <w:lang w:val="pt-PT" w:eastAsia="pt-PT"/>
        </w:rPr>
        <mc:AlternateContent>
          <mc:Choice Requires="wps">
            <w:drawing>
              <wp:anchor distT="0" distB="0" distL="114300" distR="114300" simplePos="0" relativeHeight="251658265" behindDoc="0" locked="0" layoutInCell="1" allowOverlap="1" wp14:anchorId="39AD8A1C" wp14:editId="519816B5">
                <wp:simplePos x="0" y="0"/>
                <wp:positionH relativeFrom="column">
                  <wp:posOffset>3810000</wp:posOffset>
                </wp:positionH>
                <wp:positionV relativeFrom="paragraph">
                  <wp:posOffset>0</wp:posOffset>
                </wp:positionV>
                <wp:extent cx="229870" cy="222885"/>
                <wp:effectExtent l="0" t="0" r="24130" b="31115"/>
                <wp:wrapNone/>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22885"/>
                        </a:xfrm>
                        <a:prstGeom prst="rect">
                          <a:avLst/>
                        </a:prstGeom>
                        <a:solidFill>
                          <a:srgbClr val="FFFFFF"/>
                        </a:solidFill>
                        <a:ln w="9525">
                          <a:solidFill>
                            <a:srgbClr val="000000"/>
                          </a:solidFill>
                          <a:miter lim="800000"/>
                          <a:headEnd/>
                          <a:tailEnd/>
                        </a:ln>
                      </wps:spPr>
                      <wps:txbx>
                        <w:txbxContent>
                          <w:p w:rsidR="005851EB" w:rsidRDefault="005851EB" w:rsidP="00FF1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9AD8A1C" id="Zone de texte 224" o:spid="_x0000_s1052" type="#_x0000_t202" style="position:absolute;margin-left:300pt;margin-top:0;width:18.1pt;height:17.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">
                <v:textbox>
                  <w:txbxContent>
                    <w:p w14:paraId="7964A564" w14:textId="77777777" w:rsidR="005851EB" w:rsidRDefault="005851EB" w:rsidP="00FF19FC"/>
                  </w:txbxContent>
                </v:textbox>
              </v:shape>
            </w:pict>
          </mc:Fallback>
        </mc:AlternateContent>
      </w:r>
      <w:r w:rsidRPr="00A05698">
        <w:rPr>
          <w:noProof/>
          <w:lang w:val="pt-PT" w:eastAsia="pt-PT"/>
        </w:rPr>
        <mc:AlternateContent>
          <mc:Choice Requires="wps">
            <w:drawing>
              <wp:anchor distT="0" distB="0" distL="114300" distR="114300" simplePos="0" relativeHeight="251658266" behindDoc="0" locked="0" layoutInCell="1" allowOverlap="1" wp14:anchorId="52AC02FB" wp14:editId="2BFB403C">
                <wp:simplePos x="0" y="0"/>
                <wp:positionH relativeFrom="column">
                  <wp:posOffset>3429000</wp:posOffset>
                </wp:positionH>
                <wp:positionV relativeFrom="paragraph">
                  <wp:posOffset>0</wp:posOffset>
                </wp:positionV>
                <wp:extent cx="181610" cy="231775"/>
                <wp:effectExtent l="0" t="0" r="21590" b="22225"/>
                <wp:wrapNone/>
                <wp:docPr id="223" name="Zone de text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31775"/>
                        </a:xfrm>
                        <a:prstGeom prst="rect">
                          <a:avLst/>
                        </a:prstGeom>
                        <a:solidFill>
                          <a:srgbClr val="FFFFFF"/>
                        </a:solidFill>
                        <a:ln w="9525">
                          <a:solidFill>
                            <a:srgbClr val="000000"/>
                          </a:solidFill>
                          <a:miter lim="800000"/>
                          <a:headEnd/>
                          <a:tailEnd/>
                        </a:ln>
                      </wps:spPr>
                      <wps:txbx>
                        <w:txbxContent>
                          <w:p w:rsidR="005851EB" w:rsidRDefault="005851EB" w:rsidP="00FF1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2AC02FB" id="Zone de texte 223" o:spid="_x0000_s1053" type="#_x0000_t202" style="position:absolute;margin-left:270pt;margin-top:0;width:14.3pt;height:18.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">
                <v:textbox>
                  <w:txbxContent>
                    <w:p w14:paraId="53FD7290" w14:textId="77777777" w:rsidR="005851EB" w:rsidRDefault="005851EB" w:rsidP="00FF19FC"/>
                  </w:txbxContent>
                </v:textbox>
              </v:shape>
            </w:pict>
          </mc:Fallback>
        </mc:AlternateContent>
      </w:r>
      <w:r w:rsidR="00FF19FC" w:rsidRPr="00A05698">
        <w:rPr>
          <w:rFonts w:eastAsia="Calibri"/>
        </w:rPr>
        <w:t xml:space="preserve">Le projet engendre-t-il des rejets atmosphériques ? Non </w:t>
      </w:r>
      <w:r w:rsidR="00FF19FC" w:rsidRPr="00A05698">
        <w:rPr>
          <w:rFonts w:eastAsia="Calibri"/>
        </w:rPr>
        <w:tab/>
      </w:r>
      <w:r w:rsidR="00FF19FC" w:rsidRPr="00A05698">
        <w:rPr>
          <w:rFonts w:eastAsia="Calibri"/>
        </w:rPr>
        <w:tab/>
        <w:t>oui alors remplir le tableau ci-dessous</w:t>
      </w:r>
    </w:p>
    <w:p w:rsidR="00FF19FC" w:rsidRPr="00A05698" w:rsidRDefault="00FF19FC" w:rsidP="00FF19FC">
      <w:pPr>
        <w:ind w:left="1800"/>
        <w:rPr>
          <w:rFonts w:eastAsia="Calibri"/>
        </w:rPr>
      </w:pPr>
    </w:p>
    <w:p w:rsidR="00FF19FC" w:rsidRPr="00A05698" w:rsidRDefault="00FF19FC" w:rsidP="00157035">
      <w:pPr>
        <w:numPr>
          <w:ilvl w:val="0"/>
          <w:numId w:val="134"/>
        </w:numPr>
        <w:rPr>
          <w:rFonts w:eastAsia="Calibri"/>
          <w:b/>
          <w:i/>
        </w:rPr>
      </w:pPr>
      <w:r w:rsidRPr="00A05698">
        <w:rPr>
          <w:rFonts w:eastAsia="Calibri"/>
          <w:b/>
          <w:i/>
        </w:rPr>
        <w:t>Rejets canalisés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2071"/>
        <w:gridCol w:w="1787"/>
        <w:gridCol w:w="2798"/>
      </w:tblGrid>
      <w:tr w:rsidR="00FF19FC" w:rsidRPr="000D6E80" w:rsidTr="00FF19FC">
        <w:trPr>
          <w:trHeight w:val="655"/>
          <w:jc w:val="center"/>
        </w:trPr>
        <w:tc>
          <w:tcPr>
            <w:tcW w:w="141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Installation générant le rejet</w:t>
            </w:r>
          </w:p>
        </w:tc>
        <w:tc>
          <w:tcPr>
            <w:tcW w:w="1115"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Hauteur du débouché par rapport au sol</w:t>
            </w:r>
          </w:p>
        </w:tc>
        <w:tc>
          <w:tcPr>
            <w:tcW w:w="96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Nature des effluents</w:t>
            </w:r>
          </w:p>
        </w:tc>
        <w:tc>
          <w:tcPr>
            <w:tcW w:w="1506"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Technique d’épuration installée</w:t>
            </w:r>
          </w:p>
        </w:tc>
      </w:tr>
      <w:tr w:rsidR="00FF19FC" w:rsidRPr="000D6E80" w:rsidTr="00FF19FC">
        <w:trPr>
          <w:trHeight w:val="70"/>
          <w:jc w:val="center"/>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1506"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r>
    </w:tbl>
    <w:p w:rsidR="00FF19FC" w:rsidRPr="000D6E80" w:rsidRDefault="00FF19FC" w:rsidP="00157035">
      <w:pPr>
        <w:numPr>
          <w:ilvl w:val="0"/>
          <w:numId w:val="134"/>
        </w:numPr>
        <w:rPr>
          <w:rFonts w:eastAsia="Calibri"/>
          <w:b/>
          <w:i/>
          <w:sz w:val="20"/>
          <w:szCs w:val="20"/>
        </w:rPr>
      </w:pPr>
      <w:r w:rsidRPr="000D6E80">
        <w:rPr>
          <w:rFonts w:eastAsia="Calibri"/>
          <w:b/>
          <w:i/>
          <w:sz w:val="20"/>
          <w:szCs w:val="20"/>
        </w:rPr>
        <w:t>Rejets diffus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077"/>
        <w:gridCol w:w="4622"/>
      </w:tblGrid>
      <w:tr w:rsidR="00FF19FC" w:rsidRPr="000D6E80" w:rsidTr="00083B97">
        <w:trPr>
          <w:trHeight w:val="487"/>
          <w:jc w:val="center"/>
        </w:trPr>
        <w:tc>
          <w:tcPr>
            <w:tcW w:w="1394"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Installation générant le rejet</w:t>
            </w:r>
          </w:p>
        </w:tc>
        <w:tc>
          <w:tcPr>
            <w:tcW w:w="111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Nature du rejet</w:t>
            </w:r>
          </w:p>
        </w:tc>
        <w:tc>
          <w:tcPr>
            <w:tcW w:w="248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Mesures de prévention d’apparition des rejets</w:t>
            </w:r>
          </w:p>
        </w:tc>
      </w:tr>
      <w:tr w:rsidR="00FF19FC" w:rsidRPr="000D6E80" w:rsidTr="00083B97">
        <w:trPr>
          <w:trHeight w:val="70"/>
          <w:jc w:val="center"/>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r>
    </w:tbl>
    <w:p w:rsidR="00FF19FC" w:rsidRPr="000D6E80" w:rsidRDefault="00FF19FC" w:rsidP="00157035">
      <w:pPr>
        <w:numPr>
          <w:ilvl w:val="1"/>
          <w:numId w:val="133"/>
        </w:numPr>
        <w:rPr>
          <w:rFonts w:eastAsia="Calibri"/>
          <w:b/>
          <w:i/>
          <w:sz w:val="20"/>
          <w:szCs w:val="20"/>
        </w:rPr>
      </w:pPr>
      <w:r w:rsidRPr="000D6E80">
        <w:rPr>
          <w:rFonts w:eastAsia="Calibri"/>
          <w:b/>
          <w:i/>
          <w:sz w:val="20"/>
          <w:szCs w:val="20"/>
        </w:rPr>
        <w:t>Bruit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1986"/>
        <w:gridCol w:w="1715"/>
        <w:gridCol w:w="3600"/>
      </w:tblGrid>
      <w:tr w:rsidR="00FF19FC" w:rsidRPr="000D6E80" w:rsidTr="00FF19FC">
        <w:trPr>
          <w:trHeight w:val="583"/>
          <w:jc w:val="center"/>
        </w:trPr>
        <w:tc>
          <w:tcPr>
            <w:tcW w:w="1069"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Installation générant du bruit</w:t>
            </w:r>
          </w:p>
        </w:tc>
        <w:tc>
          <w:tcPr>
            <w:tcW w:w="1069"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Horaire de fonctionnement</w:t>
            </w:r>
          </w:p>
        </w:tc>
        <w:tc>
          <w:tcPr>
            <w:tcW w:w="923"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highlight w:val="yellow"/>
              </w:rPr>
            </w:pPr>
            <w:r w:rsidRPr="000D6E80">
              <w:rPr>
                <w:rFonts w:eastAsia="Calibri"/>
                <w:b/>
                <w:sz w:val="20"/>
                <w:szCs w:val="20"/>
              </w:rPr>
              <w:t>Niveau équivalent sonore attendu</w:t>
            </w:r>
          </w:p>
        </w:tc>
        <w:tc>
          <w:tcPr>
            <w:tcW w:w="193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Mesures de prévention pour réduire les émissions sonores</w:t>
            </w:r>
          </w:p>
        </w:tc>
      </w:tr>
    </w:tbl>
    <w:p w:rsidR="00FF19FC" w:rsidRPr="000D6E80" w:rsidRDefault="00FF19FC" w:rsidP="00FF19FC">
      <w:pPr>
        <w:ind w:left="720"/>
        <w:rPr>
          <w:rFonts w:eastAsia="Calibri"/>
          <w:b/>
          <w:sz w:val="20"/>
          <w:szCs w:val="20"/>
        </w:rPr>
      </w:pPr>
      <w:r w:rsidRPr="000D6E80">
        <w:rPr>
          <w:rFonts w:eastAsia="Calibri"/>
          <w:b/>
          <w:sz w:val="20"/>
          <w:szCs w:val="20"/>
        </w:rPr>
        <w:t xml:space="preserve"> 10.4 Déchets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1772"/>
        <w:gridCol w:w="2002"/>
        <w:gridCol w:w="1843"/>
        <w:gridCol w:w="1670"/>
      </w:tblGrid>
      <w:tr w:rsidR="00FF19FC" w:rsidRPr="000D6E80" w:rsidTr="00FF19FC">
        <w:trPr>
          <w:trHeight w:val="878"/>
          <w:tblHeader/>
          <w:jc w:val="center"/>
        </w:trPr>
        <w:tc>
          <w:tcPr>
            <w:tcW w:w="107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Types de déchets</w:t>
            </w:r>
          </w:p>
        </w:tc>
        <w:tc>
          <w:tcPr>
            <w:tcW w:w="954"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Description du déchet</w:t>
            </w:r>
          </w:p>
          <w:p w:rsidR="00FF19FC" w:rsidRPr="000D6E80" w:rsidRDefault="00FF19FC" w:rsidP="00FF19FC">
            <w:pPr>
              <w:jc w:val="center"/>
              <w:rPr>
                <w:rFonts w:eastAsia="Calibri"/>
                <w:b/>
                <w:sz w:val="20"/>
                <w:szCs w:val="20"/>
              </w:rPr>
            </w:pPr>
            <w:r w:rsidRPr="000D6E80">
              <w:rPr>
                <w:rFonts w:eastAsia="Calibri"/>
                <w:b/>
                <w:sz w:val="20"/>
                <w:szCs w:val="20"/>
              </w:rPr>
              <w:t>(état physique, caractéristiques)</w:t>
            </w:r>
          </w:p>
        </w:tc>
        <w:tc>
          <w:tcPr>
            <w:tcW w:w="107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highlight w:val="yellow"/>
              </w:rPr>
            </w:pPr>
            <w:r w:rsidRPr="000D6E80">
              <w:rPr>
                <w:rFonts w:eastAsia="Calibri"/>
                <w:b/>
                <w:sz w:val="20"/>
                <w:szCs w:val="20"/>
              </w:rPr>
              <w:t>Quantité maximale susceptible d’être généré/an</w:t>
            </w:r>
          </w:p>
        </w:tc>
        <w:tc>
          <w:tcPr>
            <w:tcW w:w="992" w:type="pct"/>
            <w:tcBorders>
              <w:top w:val="single" w:sz="4" w:space="0" w:color="auto"/>
              <w:left w:val="single" w:sz="4" w:space="0" w:color="auto"/>
              <w:bottom w:val="single" w:sz="4" w:space="0" w:color="auto"/>
              <w:right w:val="single" w:sz="4" w:space="0" w:color="auto"/>
            </w:tcBorders>
            <w:shd w:val="clear" w:color="auto" w:fill="C0C0C0"/>
            <w:hideMark/>
          </w:tcPr>
          <w:p w:rsidR="00FF19FC" w:rsidRPr="000D6E80" w:rsidRDefault="00FF19FC" w:rsidP="00FF19FC">
            <w:pPr>
              <w:jc w:val="center"/>
              <w:rPr>
                <w:rFonts w:eastAsia="Calibri"/>
                <w:b/>
                <w:sz w:val="20"/>
                <w:szCs w:val="20"/>
              </w:rPr>
            </w:pPr>
            <w:r w:rsidRPr="000D6E80">
              <w:rPr>
                <w:rFonts w:eastAsia="Calibri"/>
                <w:b/>
                <w:sz w:val="20"/>
                <w:szCs w:val="20"/>
              </w:rPr>
              <w:t>Mode de stockage avant traitement ou élimination</w:t>
            </w:r>
          </w:p>
        </w:tc>
        <w:tc>
          <w:tcPr>
            <w:tcW w:w="899"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highlight w:val="yellow"/>
              </w:rPr>
            </w:pPr>
            <w:r w:rsidRPr="000D6E80">
              <w:rPr>
                <w:rFonts w:eastAsia="Calibri"/>
                <w:b/>
                <w:sz w:val="20"/>
                <w:szCs w:val="20"/>
              </w:rPr>
              <w:t>Mode de traitement ou d’élimination</w:t>
            </w:r>
          </w:p>
        </w:tc>
      </w:tr>
      <w:tr w:rsidR="00FF19FC" w:rsidRPr="000D6E80" w:rsidTr="00FF19FC">
        <w:trPr>
          <w:trHeight w:val="70"/>
          <w:tblHeader/>
          <w:jc w:val="center"/>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rPr>
                <w:rFonts w:eastAsia="Calibri"/>
                <w:b/>
                <w:sz w:val="20"/>
                <w:szCs w:val="20"/>
              </w:rPr>
            </w:pP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rPr>
                <w:rFonts w:eastAsia="Calibri"/>
                <w:b/>
                <w:sz w:val="20"/>
                <w:szCs w:val="20"/>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rPr>
                <w:rFonts w:eastAsia="Calibri"/>
                <w:b/>
                <w:sz w:val="20"/>
                <w:szCs w:val="20"/>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FF19FC" w:rsidRPr="000D6E80" w:rsidRDefault="00FF19FC" w:rsidP="00FF19FC">
            <w:pPr>
              <w:rPr>
                <w:rFonts w:eastAsia="Calibri"/>
                <w:b/>
                <w:sz w:val="20"/>
                <w:szCs w:val="20"/>
              </w:rPr>
            </w:pP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rPr>
                <w:rFonts w:eastAsia="Calibri"/>
                <w:b/>
                <w:sz w:val="20"/>
                <w:szCs w:val="20"/>
              </w:rPr>
            </w:pPr>
          </w:p>
        </w:tc>
      </w:tr>
      <w:tr w:rsidR="00FF19FC" w:rsidRPr="000D6E80" w:rsidTr="00083B97">
        <w:trPr>
          <w:trHeight w:val="195"/>
          <w:tblHeader/>
          <w:jc w:val="center"/>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rPr>
                <w:rFonts w:eastAsia="Calibri"/>
                <w:b/>
                <w:sz w:val="20"/>
                <w:szCs w:val="20"/>
              </w:rPr>
            </w:pP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rPr>
                <w:rFonts w:eastAsia="Calibri"/>
                <w:b/>
                <w:sz w:val="20"/>
                <w:szCs w:val="20"/>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rPr>
                <w:rFonts w:eastAsia="Calibri"/>
                <w:b/>
                <w:sz w:val="20"/>
                <w:szCs w:val="20"/>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FF19FC" w:rsidRPr="000D6E80" w:rsidRDefault="00FF19FC" w:rsidP="00FF19FC">
            <w:pPr>
              <w:rPr>
                <w:rFonts w:eastAsia="Calibri"/>
                <w:b/>
                <w:sz w:val="20"/>
                <w:szCs w:val="20"/>
              </w:rPr>
            </w:pP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rPr>
                <w:rFonts w:eastAsia="Calibri"/>
                <w:b/>
                <w:sz w:val="20"/>
                <w:szCs w:val="20"/>
              </w:rPr>
            </w:pPr>
          </w:p>
        </w:tc>
      </w:tr>
    </w:tbl>
    <w:p w:rsidR="00FF19FC" w:rsidRPr="000D6E80" w:rsidRDefault="00FF19FC" w:rsidP="00157035">
      <w:pPr>
        <w:numPr>
          <w:ilvl w:val="0"/>
          <w:numId w:val="132"/>
        </w:numPr>
        <w:rPr>
          <w:rFonts w:eastAsia="Calibri"/>
          <w:b/>
          <w:sz w:val="20"/>
          <w:szCs w:val="20"/>
        </w:rPr>
      </w:pPr>
      <w:r w:rsidRPr="000D6E80">
        <w:rPr>
          <w:rFonts w:eastAsia="Calibri"/>
          <w:b/>
          <w:sz w:val="20"/>
          <w:szCs w:val="20"/>
        </w:rPr>
        <w:t>Les exigences légales applicables au projet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1572"/>
        <w:gridCol w:w="2446"/>
        <w:gridCol w:w="2671"/>
      </w:tblGrid>
      <w:tr w:rsidR="00FF19FC" w:rsidRPr="000D6E80" w:rsidTr="00FF19FC">
        <w:trPr>
          <w:tblHeader/>
        </w:trPr>
        <w:tc>
          <w:tcPr>
            <w:tcW w:w="1399"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Secteurs ou domaines</w:t>
            </w:r>
          </w:p>
        </w:tc>
        <w:tc>
          <w:tcPr>
            <w:tcW w:w="846"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Bases légales</w:t>
            </w:r>
          </w:p>
        </w:tc>
        <w:tc>
          <w:tcPr>
            <w:tcW w:w="131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Références de l’article ou du texte</w:t>
            </w:r>
          </w:p>
        </w:tc>
        <w:tc>
          <w:tcPr>
            <w:tcW w:w="143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FF19FC" w:rsidRPr="000D6E80" w:rsidRDefault="00FF19FC" w:rsidP="00FF19FC">
            <w:pPr>
              <w:jc w:val="center"/>
              <w:rPr>
                <w:rFonts w:eastAsia="Calibri"/>
                <w:b/>
                <w:sz w:val="20"/>
                <w:szCs w:val="20"/>
              </w:rPr>
            </w:pPr>
            <w:r w:rsidRPr="000D6E80">
              <w:rPr>
                <w:rFonts w:eastAsia="Calibri"/>
                <w:b/>
                <w:sz w:val="20"/>
                <w:szCs w:val="20"/>
              </w:rPr>
              <w:t>Contenu pertinent</w:t>
            </w:r>
          </w:p>
        </w:tc>
      </w:tr>
      <w:tr w:rsidR="00FF19FC" w:rsidRPr="000D6E80" w:rsidTr="00FF19FC">
        <w:trPr>
          <w:tblHeader/>
        </w:trPr>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r>
      <w:tr w:rsidR="00FF19FC" w:rsidRPr="000D6E80" w:rsidTr="00FF19FC">
        <w:trPr>
          <w:trHeight w:val="70"/>
          <w:tblHeader/>
        </w:trPr>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FF19FC" w:rsidRPr="000D6E80" w:rsidRDefault="00FF19FC" w:rsidP="00FF19FC">
            <w:pPr>
              <w:jc w:val="center"/>
              <w:rPr>
                <w:rFonts w:eastAsia="Calibri"/>
                <w:b/>
                <w:sz w:val="20"/>
                <w:szCs w:val="20"/>
              </w:rPr>
            </w:pPr>
          </w:p>
        </w:tc>
      </w:tr>
    </w:tbl>
    <w:p w:rsidR="00FF19FC" w:rsidRPr="000D6E80" w:rsidRDefault="00FF19FC" w:rsidP="00157035">
      <w:pPr>
        <w:numPr>
          <w:ilvl w:val="0"/>
          <w:numId w:val="132"/>
        </w:numPr>
        <w:rPr>
          <w:rFonts w:eastAsia="Calibri"/>
          <w:b/>
          <w:sz w:val="20"/>
          <w:szCs w:val="20"/>
        </w:rPr>
      </w:pPr>
      <w:r w:rsidRPr="000D6E80">
        <w:rPr>
          <w:rFonts w:eastAsia="Calibri"/>
          <w:b/>
          <w:sz w:val="20"/>
          <w:szCs w:val="20"/>
        </w:rPr>
        <w:t>Consultation du public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794"/>
        <w:gridCol w:w="1852"/>
        <w:gridCol w:w="1904"/>
        <w:gridCol w:w="2075"/>
      </w:tblGrid>
      <w:tr w:rsidR="00FF19FC" w:rsidRPr="000D6E80" w:rsidTr="00FF19FC">
        <w:trPr>
          <w:tblHeader/>
          <w:jc w:val="center"/>
        </w:trPr>
        <w:tc>
          <w:tcPr>
            <w:tcW w:w="895" w:type="pc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20"/>
                <w:szCs w:val="20"/>
              </w:rPr>
            </w:pPr>
            <w:r w:rsidRPr="000D6E80">
              <w:rPr>
                <w:rFonts w:eastAsia="Calibri"/>
                <w:b/>
                <w:sz w:val="20"/>
                <w:szCs w:val="20"/>
              </w:rPr>
              <w:t>Catégories d’acteurs</w:t>
            </w:r>
          </w:p>
        </w:tc>
        <w:tc>
          <w:tcPr>
            <w:tcW w:w="966" w:type="pc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20"/>
                <w:szCs w:val="20"/>
              </w:rPr>
            </w:pPr>
            <w:r w:rsidRPr="000D6E80">
              <w:rPr>
                <w:rFonts w:eastAsia="Calibri"/>
                <w:b/>
                <w:sz w:val="20"/>
                <w:szCs w:val="20"/>
              </w:rPr>
              <w:t>Questionnement</w:t>
            </w:r>
          </w:p>
        </w:tc>
        <w:tc>
          <w:tcPr>
            <w:tcW w:w="997"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FF19FC" w:rsidRPr="000D6E80" w:rsidRDefault="00FF19FC" w:rsidP="00FF19FC">
            <w:pPr>
              <w:jc w:val="center"/>
              <w:rPr>
                <w:rFonts w:eastAsia="Calibri"/>
                <w:b/>
                <w:sz w:val="20"/>
                <w:szCs w:val="20"/>
              </w:rPr>
            </w:pPr>
            <w:r w:rsidRPr="000D6E80">
              <w:rPr>
                <w:rFonts w:eastAsia="Calibri"/>
                <w:b/>
                <w:sz w:val="20"/>
                <w:szCs w:val="20"/>
              </w:rPr>
              <w:t xml:space="preserve">Perceptions </w:t>
            </w:r>
          </w:p>
          <w:p w:rsidR="00FF19FC" w:rsidRPr="000D6E80" w:rsidRDefault="00FF19FC" w:rsidP="00FF19FC">
            <w:pPr>
              <w:jc w:val="center"/>
              <w:rPr>
                <w:rFonts w:eastAsia="Calibri"/>
                <w:b/>
                <w:sz w:val="20"/>
                <w:szCs w:val="20"/>
              </w:rPr>
            </w:pPr>
            <w:r w:rsidRPr="000D6E80">
              <w:rPr>
                <w:rFonts w:eastAsia="Calibri"/>
                <w:b/>
                <w:sz w:val="20"/>
                <w:szCs w:val="20"/>
              </w:rPr>
              <w:t xml:space="preserve">Préoccupations </w:t>
            </w:r>
          </w:p>
        </w:tc>
        <w:tc>
          <w:tcPr>
            <w:tcW w:w="1025" w:type="pc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20"/>
                <w:szCs w:val="20"/>
              </w:rPr>
            </w:pPr>
            <w:r w:rsidRPr="000D6E80">
              <w:rPr>
                <w:rFonts w:eastAsia="Calibri"/>
                <w:b/>
                <w:sz w:val="20"/>
                <w:szCs w:val="20"/>
              </w:rPr>
              <w:t xml:space="preserve">Attentes </w:t>
            </w:r>
          </w:p>
        </w:tc>
        <w:tc>
          <w:tcPr>
            <w:tcW w:w="1117" w:type="pc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20"/>
                <w:szCs w:val="20"/>
              </w:rPr>
            </w:pPr>
            <w:r w:rsidRPr="000D6E80">
              <w:rPr>
                <w:rFonts w:eastAsia="Calibri"/>
                <w:b/>
                <w:sz w:val="20"/>
                <w:szCs w:val="20"/>
              </w:rPr>
              <w:t xml:space="preserve">Recommandations </w:t>
            </w:r>
          </w:p>
        </w:tc>
      </w:tr>
      <w:tr w:rsidR="00FF19FC" w:rsidRPr="00A05698" w:rsidTr="00FF19FC">
        <w:trPr>
          <w:tblHeader/>
          <w:jc w:val="center"/>
        </w:trPr>
        <w:tc>
          <w:tcPr>
            <w:tcW w:w="895" w:type="pct"/>
            <w:tcBorders>
              <w:top w:val="single" w:sz="4" w:space="0" w:color="auto"/>
              <w:left w:val="single" w:sz="4" w:space="0" w:color="auto"/>
              <w:bottom w:val="single" w:sz="4" w:space="0" w:color="auto"/>
              <w:right w:val="single" w:sz="4" w:space="0" w:color="auto"/>
            </w:tcBorders>
            <w:shd w:val="clear" w:color="auto" w:fill="FFFFFF"/>
          </w:tcPr>
          <w:p w:rsidR="00FF19FC" w:rsidRPr="00A05698" w:rsidRDefault="00FF19FC" w:rsidP="00FF19FC">
            <w:pPr>
              <w:jc w:val="center"/>
              <w:rPr>
                <w:rFonts w:eastAsia="Calibri"/>
                <w:b/>
              </w:rPr>
            </w:pPr>
          </w:p>
        </w:tc>
        <w:tc>
          <w:tcPr>
            <w:tcW w:w="966" w:type="pct"/>
            <w:tcBorders>
              <w:top w:val="single" w:sz="4" w:space="0" w:color="auto"/>
              <w:left w:val="single" w:sz="4" w:space="0" w:color="auto"/>
              <w:bottom w:val="single" w:sz="4" w:space="0" w:color="auto"/>
              <w:right w:val="single" w:sz="4" w:space="0" w:color="auto"/>
            </w:tcBorders>
            <w:shd w:val="clear" w:color="auto" w:fill="FFFFFF"/>
          </w:tcPr>
          <w:p w:rsidR="00FF19FC" w:rsidRPr="00A05698" w:rsidRDefault="00FF19FC" w:rsidP="00FF19FC">
            <w:pPr>
              <w:jc w:val="center"/>
              <w:rPr>
                <w:rFonts w:eastAsia="Calibri"/>
                <w:b/>
              </w:rPr>
            </w:pP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rsidR="00FF19FC" w:rsidRPr="00A05698" w:rsidRDefault="00FF19FC" w:rsidP="00FF19FC">
            <w:pPr>
              <w:jc w:val="center"/>
              <w:rPr>
                <w:rFonts w:eastAsia="Calibri"/>
                <w:b/>
              </w:rPr>
            </w:pPr>
          </w:p>
        </w:tc>
        <w:tc>
          <w:tcPr>
            <w:tcW w:w="1025" w:type="pct"/>
            <w:tcBorders>
              <w:top w:val="single" w:sz="4" w:space="0" w:color="auto"/>
              <w:left w:val="single" w:sz="4" w:space="0" w:color="auto"/>
              <w:bottom w:val="single" w:sz="4" w:space="0" w:color="auto"/>
              <w:right w:val="single" w:sz="4" w:space="0" w:color="auto"/>
            </w:tcBorders>
            <w:shd w:val="clear" w:color="auto" w:fill="FFFFFF"/>
          </w:tcPr>
          <w:p w:rsidR="00FF19FC" w:rsidRPr="00A05698" w:rsidRDefault="00FF19FC" w:rsidP="00FF19FC">
            <w:pPr>
              <w:jc w:val="center"/>
              <w:rPr>
                <w:rFonts w:eastAsia="Calibri"/>
                <w:b/>
              </w:rPr>
            </w:pPr>
          </w:p>
        </w:tc>
        <w:tc>
          <w:tcPr>
            <w:tcW w:w="1117" w:type="pct"/>
            <w:tcBorders>
              <w:top w:val="single" w:sz="4" w:space="0" w:color="auto"/>
              <w:left w:val="single" w:sz="4" w:space="0" w:color="auto"/>
              <w:bottom w:val="single" w:sz="4" w:space="0" w:color="auto"/>
              <w:right w:val="single" w:sz="4" w:space="0" w:color="auto"/>
            </w:tcBorders>
            <w:shd w:val="clear" w:color="auto" w:fill="FFFFFF"/>
          </w:tcPr>
          <w:p w:rsidR="00FF19FC" w:rsidRPr="00A05698" w:rsidRDefault="00FF19FC" w:rsidP="00FF19FC">
            <w:pPr>
              <w:jc w:val="center"/>
              <w:rPr>
                <w:rFonts w:eastAsia="Calibri"/>
                <w:b/>
              </w:rPr>
            </w:pPr>
          </w:p>
        </w:tc>
      </w:tr>
      <w:tr w:rsidR="00FF19FC" w:rsidRPr="00A05698" w:rsidTr="00FF19FC">
        <w:trPr>
          <w:tblHeader/>
          <w:jc w:val="center"/>
        </w:trPr>
        <w:tc>
          <w:tcPr>
            <w:tcW w:w="895" w:type="pct"/>
            <w:tcBorders>
              <w:top w:val="single" w:sz="4" w:space="0" w:color="auto"/>
              <w:left w:val="single" w:sz="4" w:space="0" w:color="auto"/>
              <w:bottom w:val="single" w:sz="4" w:space="0" w:color="auto"/>
              <w:right w:val="single" w:sz="4" w:space="0" w:color="auto"/>
            </w:tcBorders>
            <w:shd w:val="clear" w:color="auto" w:fill="FFFFFF"/>
          </w:tcPr>
          <w:p w:rsidR="00FF19FC" w:rsidRPr="00A05698" w:rsidRDefault="00FF19FC" w:rsidP="00FF19FC">
            <w:pPr>
              <w:jc w:val="center"/>
              <w:rPr>
                <w:rFonts w:eastAsia="Calibri"/>
                <w:b/>
              </w:rPr>
            </w:pPr>
          </w:p>
        </w:tc>
        <w:tc>
          <w:tcPr>
            <w:tcW w:w="966" w:type="pct"/>
            <w:tcBorders>
              <w:top w:val="single" w:sz="4" w:space="0" w:color="auto"/>
              <w:left w:val="single" w:sz="4" w:space="0" w:color="auto"/>
              <w:bottom w:val="single" w:sz="4" w:space="0" w:color="auto"/>
              <w:right w:val="single" w:sz="4" w:space="0" w:color="auto"/>
            </w:tcBorders>
            <w:shd w:val="clear" w:color="auto" w:fill="FFFFFF"/>
          </w:tcPr>
          <w:p w:rsidR="00FF19FC" w:rsidRPr="00A05698" w:rsidRDefault="00FF19FC" w:rsidP="00FF19FC">
            <w:pPr>
              <w:jc w:val="center"/>
              <w:rPr>
                <w:rFonts w:eastAsia="Calibri"/>
                <w:b/>
              </w:rPr>
            </w:pP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rsidR="00FF19FC" w:rsidRPr="00A05698" w:rsidRDefault="00FF19FC" w:rsidP="00FF19FC">
            <w:pPr>
              <w:jc w:val="center"/>
              <w:rPr>
                <w:rFonts w:eastAsia="Calibri"/>
                <w:b/>
              </w:rPr>
            </w:pPr>
          </w:p>
        </w:tc>
        <w:tc>
          <w:tcPr>
            <w:tcW w:w="1025" w:type="pct"/>
            <w:tcBorders>
              <w:top w:val="single" w:sz="4" w:space="0" w:color="auto"/>
              <w:left w:val="single" w:sz="4" w:space="0" w:color="auto"/>
              <w:bottom w:val="single" w:sz="4" w:space="0" w:color="auto"/>
              <w:right w:val="single" w:sz="4" w:space="0" w:color="auto"/>
            </w:tcBorders>
            <w:shd w:val="clear" w:color="auto" w:fill="FFFFFF"/>
          </w:tcPr>
          <w:p w:rsidR="00FF19FC" w:rsidRPr="00A05698" w:rsidRDefault="00FF19FC" w:rsidP="00FF19FC">
            <w:pPr>
              <w:jc w:val="center"/>
              <w:rPr>
                <w:rFonts w:eastAsia="Calibri"/>
                <w:b/>
              </w:rPr>
            </w:pPr>
          </w:p>
        </w:tc>
        <w:tc>
          <w:tcPr>
            <w:tcW w:w="1117" w:type="pct"/>
            <w:tcBorders>
              <w:top w:val="single" w:sz="4" w:space="0" w:color="auto"/>
              <w:left w:val="single" w:sz="4" w:space="0" w:color="auto"/>
              <w:bottom w:val="single" w:sz="4" w:space="0" w:color="auto"/>
              <w:right w:val="single" w:sz="4" w:space="0" w:color="auto"/>
            </w:tcBorders>
            <w:shd w:val="clear" w:color="auto" w:fill="FFFFFF"/>
          </w:tcPr>
          <w:p w:rsidR="00FF19FC" w:rsidRPr="00A05698" w:rsidRDefault="00FF19FC" w:rsidP="00FF19FC">
            <w:pPr>
              <w:jc w:val="center"/>
              <w:rPr>
                <w:rFonts w:eastAsia="Calibri"/>
                <w:b/>
              </w:rPr>
            </w:pPr>
          </w:p>
        </w:tc>
      </w:tr>
    </w:tbl>
    <w:tbl>
      <w:tblPr>
        <w:tblpPr w:leftFromText="141" w:rightFromText="141" w:vertAnchor="text" w:horzAnchor="margin" w:tblpXSpec="center" w:tblpY="3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8"/>
        <w:gridCol w:w="577"/>
        <w:gridCol w:w="577"/>
        <w:gridCol w:w="696"/>
        <w:gridCol w:w="789"/>
        <w:gridCol w:w="873"/>
        <w:gridCol w:w="901"/>
        <w:gridCol w:w="760"/>
        <w:gridCol w:w="732"/>
        <w:gridCol w:w="563"/>
        <w:gridCol w:w="718"/>
        <w:gridCol w:w="415"/>
        <w:gridCol w:w="563"/>
      </w:tblGrid>
      <w:tr w:rsidR="00FF19FC" w:rsidRPr="000D6E80" w:rsidTr="00083B97">
        <w:trPr>
          <w:trHeight w:val="288"/>
          <w:tblHeader/>
        </w:trPr>
        <w:tc>
          <w:tcPr>
            <w:tcW w:w="568"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Activités/sources d’impacts</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Impacts positifs</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Impacts négatifs</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Récepteur d’impact</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Mesures de bonification</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Mesures d’atténuation</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Indicateurs de suivi objectivement vérifiables (IOV)</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Moyens ou sources de vérification (MV)</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Calendrier de la mise en œuvre</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Coûts estimés (FCFA)</w:t>
            </w:r>
          </w:p>
        </w:tc>
        <w:tc>
          <w:tcPr>
            <w:tcW w:w="922" w:type="pct"/>
            <w:gridSpan w:val="3"/>
            <w:tcBorders>
              <w:top w:val="single" w:sz="4" w:space="0" w:color="auto"/>
              <w:left w:val="single" w:sz="4" w:space="0" w:color="auto"/>
              <w:bottom w:val="single" w:sz="4" w:space="0" w:color="auto"/>
              <w:right w:val="single" w:sz="4" w:space="0" w:color="auto"/>
            </w:tcBorders>
            <w:shd w:val="clear" w:color="auto" w:fill="BFBFBF"/>
            <w:hideMark/>
          </w:tcPr>
          <w:p w:rsidR="00FF19FC" w:rsidRPr="000D6E80" w:rsidRDefault="00FF19FC" w:rsidP="00FF19FC">
            <w:pPr>
              <w:jc w:val="center"/>
              <w:rPr>
                <w:rFonts w:eastAsia="Calibri"/>
                <w:b/>
                <w:sz w:val="18"/>
                <w:szCs w:val="18"/>
              </w:rPr>
            </w:pPr>
            <w:r w:rsidRPr="000D6E80">
              <w:rPr>
                <w:rFonts w:eastAsia="Calibri"/>
                <w:b/>
                <w:sz w:val="18"/>
                <w:szCs w:val="18"/>
              </w:rPr>
              <w:t>Responsable</w:t>
            </w:r>
          </w:p>
        </w:tc>
      </w:tr>
      <w:tr w:rsidR="00FF19FC" w:rsidRPr="000D6E80" w:rsidTr="00083B97">
        <w:trPr>
          <w:trHeight w:val="594"/>
          <w:tblHeader/>
        </w:trPr>
        <w:tc>
          <w:tcPr>
            <w:tcW w:w="568"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FF19FC" w:rsidRPr="000D6E80" w:rsidRDefault="00FF19FC" w:rsidP="00FF19FC">
            <w:pPr>
              <w:jc w:val="center"/>
              <w:rPr>
                <w:rFonts w:eastAsia="Calibri"/>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F2F2F2"/>
            <w:hideMark/>
          </w:tcPr>
          <w:p w:rsidR="00FF19FC" w:rsidRPr="000D6E80" w:rsidRDefault="00FF19FC" w:rsidP="00FF19FC">
            <w:pPr>
              <w:jc w:val="center"/>
              <w:rPr>
                <w:rFonts w:eastAsia="Calibri"/>
                <w:b/>
                <w:sz w:val="18"/>
                <w:szCs w:val="18"/>
              </w:rPr>
            </w:pPr>
            <w:r w:rsidRPr="000D6E80">
              <w:rPr>
                <w:rFonts w:eastAsia="Calibri"/>
                <w:b/>
                <w:sz w:val="18"/>
                <w:szCs w:val="18"/>
              </w:rPr>
              <w:t>Exécution/ mise en œuvre</w:t>
            </w:r>
          </w:p>
        </w:tc>
        <w:tc>
          <w:tcPr>
            <w:tcW w:w="226" w:type="pct"/>
            <w:tcBorders>
              <w:top w:val="single" w:sz="4" w:space="0" w:color="auto"/>
              <w:left w:val="single" w:sz="4" w:space="0" w:color="auto"/>
              <w:bottom w:val="single" w:sz="4" w:space="0" w:color="auto"/>
              <w:right w:val="single" w:sz="4" w:space="0" w:color="auto"/>
            </w:tcBorders>
            <w:shd w:val="clear" w:color="auto" w:fill="F2F2F2"/>
            <w:hideMark/>
          </w:tcPr>
          <w:p w:rsidR="00FF19FC" w:rsidRPr="000D6E80" w:rsidRDefault="00FF19FC" w:rsidP="00FF19FC">
            <w:pPr>
              <w:jc w:val="center"/>
              <w:rPr>
                <w:rFonts w:eastAsia="Calibri"/>
                <w:b/>
                <w:sz w:val="18"/>
                <w:szCs w:val="18"/>
              </w:rPr>
            </w:pPr>
            <w:r w:rsidRPr="000D6E80">
              <w:rPr>
                <w:rFonts w:eastAsia="Calibri"/>
                <w:b/>
                <w:sz w:val="18"/>
                <w:szCs w:val="18"/>
              </w:rPr>
              <w:t>Suivi</w:t>
            </w:r>
          </w:p>
        </w:tc>
        <w:tc>
          <w:tcPr>
            <w:tcW w:w="306" w:type="pct"/>
            <w:tcBorders>
              <w:top w:val="single" w:sz="4" w:space="0" w:color="auto"/>
              <w:left w:val="single" w:sz="4" w:space="0" w:color="auto"/>
              <w:bottom w:val="single" w:sz="4" w:space="0" w:color="auto"/>
              <w:right w:val="single" w:sz="4" w:space="0" w:color="auto"/>
            </w:tcBorders>
            <w:shd w:val="clear" w:color="auto" w:fill="F2F2F2"/>
            <w:hideMark/>
          </w:tcPr>
          <w:p w:rsidR="00FF19FC" w:rsidRPr="000D6E80" w:rsidRDefault="00FF19FC" w:rsidP="00FF19FC">
            <w:pPr>
              <w:jc w:val="center"/>
              <w:rPr>
                <w:rFonts w:eastAsia="Calibri"/>
                <w:b/>
                <w:sz w:val="18"/>
                <w:szCs w:val="18"/>
              </w:rPr>
            </w:pPr>
            <w:r w:rsidRPr="000D6E80">
              <w:rPr>
                <w:rFonts w:eastAsia="Calibri"/>
                <w:b/>
                <w:sz w:val="18"/>
                <w:szCs w:val="18"/>
              </w:rPr>
              <w:t>Coûts associés au suivi (FCFA)</w:t>
            </w:r>
          </w:p>
        </w:tc>
      </w:tr>
      <w:tr w:rsidR="00FF19FC" w:rsidRPr="000D6E80" w:rsidTr="00083B97">
        <w:trPr>
          <w:trHeight w:val="594"/>
          <w:tblHeader/>
        </w:trPr>
        <w:tc>
          <w:tcPr>
            <w:tcW w:w="56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13"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13"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42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473"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48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412"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97"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06"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F2F2F2"/>
          </w:tcPr>
          <w:p w:rsidR="00FF19FC" w:rsidRPr="000D6E80" w:rsidRDefault="00FF19FC" w:rsidP="00FF19FC">
            <w:pPr>
              <w:jc w:val="center"/>
              <w:rPr>
                <w:rFonts w:eastAsia="Calibri"/>
                <w:b/>
                <w:sz w:val="18"/>
                <w:szCs w:val="18"/>
              </w:rPr>
            </w:pPr>
          </w:p>
        </w:tc>
        <w:tc>
          <w:tcPr>
            <w:tcW w:w="226" w:type="pct"/>
            <w:tcBorders>
              <w:top w:val="single" w:sz="4" w:space="0" w:color="auto"/>
              <w:left w:val="single" w:sz="4" w:space="0" w:color="auto"/>
              <w:bottom w:val="single" w:sz="4" w:space="0" w:color="auto"/>
              <w:right w:val="single" w:sz="4" w:space="0" w:color="auto"/>
            </w:tcBorders>
            <w:shd w:val="clear" w:color="auto" w:fill="F2F2F2"/>
          </w:tcPr>
          <w:p w:rsidR="00FF19FC" w:rsidRPr="000D6E80" w:rsidRDefault="00FF19FC" w:rsidP="00FF19FC">
            <w:pPr>
              <w:jc w:val="center"/>
              <w:rPr>
                <w:rFonts w:eastAsia="Calibri"/>
                <w:b/>
                <w:sz w:val="18"/>
                <w:szCs w:val="18"/>
              </w:rPr>
            </w:pPr>
          </w:p>
        </w:tc>
        <w:tc>
          <w:tcPr>
            <w:tcW w:w="306" w:type="pct"/>
            <w:tcBorders>
              <w:top w:val="single" w:sz="4" w:space="0" w:color="auto"/>
              <w:left w:val="single" w:sz="4" w:space="0" w:color="auto"/>
              <w:bottom w:val="single" w:sz="4" w:space="0" w:color="auto"/>
              <w:right w:val="single" w:sz="4" w:space="0" w:color="auto"/>
            </w:tcBorders>
            <w:shd w:val="clear" w:color="auto" w:fill="F2F2F2"/>
          </w:tcPr>
          <w:p w:rsidR="00FF19FC" w:rsidRPr="000D6E80" w:rsidRDefault="00FF19FC" w:rsidP="00FF19FC">
            <w:pPr>
              <w:jc w:val="center"/>
              <w:rPr>
                <w:rFonts w:eastAsia="Calibri"/>
                <w:b/>
                <w:sz w:val="18"/>
                <w:szCs w:val="18"/>
              </w:rPr>
            </w:pPr>
          </w:p>
        </w:tc>
      </w:tr>
      <w:tr w:rsidR="00FF19FC" w:rsidRPr="000D6E80" w:rsidTr="00083B97">
        <w:trPr>
          <w:trHeight w:val="594"/>
          <w:tblHeader/>
        </w:trPr>
        <w:tc>
          <w:tcPr>
            <w:tcW w:w="56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13"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13"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42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473"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488"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412"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97"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06" w:type="pct"/>
            <w:tcBorders>
              <w:top w:val="single" w:sz="4" w:space="0" w:color="auto"/>
              <w:left w:val="single" w:sz="4" w:space="0" w:color="auto"/>
              <w:bottom w:val="single" w:sz="4" w:space="0" w:color="auto"/>
              <w:right w:val="single" w:sz="4" w:space="0" w:color="auto"/>
            </w:tcBorders>
            <w:vAlign w:val="center"/>
          </w:tcPr>
          <w:p w:rsidR="00FF19FC" w:rsidRPr="000D6E80" w:rsidRDefault="00FF19FC" w:rsidP="00FF19FC">
            <w:pPr>
              <w:jc w:val="center"/>
              <w:rPr>
                <w:rFonts w:eastAsia="Calibri"/>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F2F2F2"/>
          </w:tcPr>
          <w:p w:rsidR="00FF19FC" w:rsidRPr="000D6E80" w:rsidRDefault="00FF19FC" w:rsidP="00FF19FC">
            <w:pPr>
              <w:jc w:val="center"/>
              <w:rPr>
                <w:rFonts w:eastAsia="Calibri"/>
                <w:b/>
                <w:sz w:val="18"/>
                <w:szCs w:val="18"/>
              </w:rPr>
            </w:pPr>
          </w:p>
        </w:tc>
        <w:tc>
          <w:tcPr>
            <w:tcW w:w="226" w:type="pct"/>
            <w:tcBorders>
              <w:top w:val="single" w:sz="4" w:space="0" w:color="auto"/>
              <w:left w:val="single" w:sz="4" w:space="0" w:color="auto"/>
              <w:bottom w:val="single" w:sz="4" w:space="0" w:color="auto"/>
              <w:right w:val="single" w:sz="4" w:space="0" w:color="auto"/>
            </w:tcBorders>
            <w:shd w:val="clear" w:color="auto" w:fill="F2F2F2"/>
          </w:tcPr>
          <w:p w:rsidR="00FF19FC" w:rsidRPr="000D6E80" w:rsidRDefault="00FF19FC" w:rsidP="00FF19FC">
            <w:pPr>
              <w:jc w:val="center"/>
              <w:rPr>
                <w:rFonts w:eastAsia="Calibri"/>
                <w:b/>
                <w:sz w:val="18"/>
                <w:szCs w:val="18"/>
              </w:rPr>
            </w:pPr>
          </w:p>
        </w:tc>
        <w:tc>
          <w:tcPr>
            <w:tcW w:w="306" w:type="pct"/>
            <w:tcBorders>
              <w:top w:val="single" w:sz="4" w:space="0" w:color="auto"/>
              <w:left w:val="single" w:sz="4" w:space="0" w:color="auto"/>
              <w:bottom w:val="single" w:sz="4" w:space="0" w:color="auto"/>
              <w:right w:val="single" w:sz="4" w:space="0" w:color="auto"/>
            </w:tcBorders>
            <w:shd w:val="clear" w:color="auto" w:fill="F2F2F2"/>
          </w:tcPr>
          <w:p w:rsidR="00FF19FC" w:rsidRPr="000D6E80" w:rsidRDefault="00FF19FC" w:rsidP="00FF19FC">
            <w:pPr>
              <w:jc w:val="center"/>
              <w:rPr>
                <w:rFonts w:eastAsia="Calibri"/>
                <w:b/>
                <w:sz w:val="18"/>
                <w:szCs w:val="18"/>
              </w:rPr>
            </w:pPr>
          </w:p>
        </w:tc>
      </w:tr>
    </w:tbl>
    <w:p w:rsidR="00FF19FC" w:rsidRPr="00A05698" w:rsidRDefault="00FF19FC" w:rsidP="004F4212">
      <w:pPr>
        <w:autoSpaceDE w:val="0"/>
        <w:autoSpaceDN w:val="0"/>
        <w:adjustRightInd w:val="0"/>
        <w:ind w:left="709"/>
        <w:jc w:val="both"/>
      </w:pPr>
    </w:p>
    <w:sectPr w:rsidR="00FF19FC" w:rsidRPr="00A05698" w:rsidSect="00333B95">
      <w:pgSz w:w="11906" w:h="16838"/>
      <w:pgMar w:top="1417" w:right="1417" w:bottom="1417" w:left="1417" w:header="31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D1D" w:rsidRDefault="00D00D1D" w:rsidP="00A45EEC">
      <w:r>
        <w:separator/>
      </w:r>
    </w:p>
  </w:endnote>
  <w:endnote w:type="continuationSeparator" w:id="0">
    <w:p w:rsidR="00D00D1D" w:rsidRDefault="00D00D1D" w:rsidP="00A45EEC">
      <w:r>
        <w:continuationSeparator/>
      </w:r>
    </w:p>
  </w:endnote>
  <w:endnote w:type="continuationNotice" w:id="1">
    <w:p w:rsidR="00D00D1D" w:rsidRDefault="00D00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Gras">
    <w:altName w:val="Times New Roman"/>
    <w:charset w:val="00"/>
    <w:family w:val="roman"/>
    <w:pitch w:val="variable"/>
    <w:sig w:usb0="E0002AEF" w:usb1="C0007841" w:usb2="00000009" w:usb3="00000000" w:csb0="000001FF" w:csb1="00000000"/>
  </w:font>
  <w:font w:name="Myriad Pro Black">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Myriad Web Pro">
    <w:altName w:val="Corbel"/>
    <w:panose1 w:val="020B0503030403020204"/>
    <w:charset w:val="00"/>
    <w:family w:val="swiss"/>
    <w:pitch w:val="variable"/>
    <w:sig w:usb0="8000002F" w:usb1="5000204A" w:usb2="00000000" w:usb3="00000000" w:csb0="00000093" w:csb1="00000000"/>
  </w:font>
  <w:font w:name="Yu Mincho">
    <w:altName w:val="游明朝"/>
    <w:charset w:val="80"/>
    <w:family w:val="roman"/>
    <w:pitch w:val="variable"/>
    <w:sig w:usb0="800002E7" w:usb1="2AC7FCFF" w:usb2="00000012" w:usb3="00000000" w:csb0="0002009F" w:csb1="00000000"/>
  </w:font>
  <w:font w:name="Rupee Foradian">
    <w:charset w:val="00"/>
    <w:family w:val="swiss"/>
    <w:pitch w:val="variable"/>
    <w:sig w:usb0="800000AF" w:usb1="1000204A"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hicago">
    <w:altName w:val="Arial"/>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charset w:val="02"/>
    <w:family w:val="auto"/>
    <w:pitch w:val="variable"/>
    <w:sig w:usb0="00000000" w:usb1="10000000" w:usb2="00000000" w:usb3="00000000" w:csb0="80000000" w:csb1="00000000"/>
  </w:font>
  <w:font w:name="CourierNew">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Mincho">
    <w:altName w:val="Malgun Gothic Semilight"/>
    <w:panose1 w:val="020B0500000000000000"/>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altName w:val="Copperplate"/>
    <w:panose1 w:val="020E0502030308020204"/>
    <w:charset w:val="00"/>
    <w:family w:val="swiss"/>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EB" w:rsidRPr="00DC55B2" w:rsidRDefault="005851EB" w:rsidP="0079113A">
    <w:pPr>
      <w:pStyle w:val="Rodap"/>
      <w:pBdr>
        <w:bottom w:val="single" w:sz="4" w:space="1" w:color="auto"/>
      </w:pBdr>
      <w:jc w:val="right"/>
      <w:rPr>
        <w:color w:val="5B9BD5" w:themeColor="accent1"/>
        <w:u w:val="single"/>
      </w:rPr>
    </w:pPr>
    <w:r>
      <w:rPr>
        <w:noProof/>
        <w:color w:val="000000" w:themeColor="text1"/>
        <w:sz w:val="32"/>
        <w:szCs w:val="32"/>
        <w:lang w:val="pt-PT" w:eastAsia="pt-PT"/>
      </w:rPr>
      <w:drawing>
        <wp:anchor distT="0" distB="0" distL="114300" distR="114300" simplePos="0" relativeHeight="251658253" behindDoc="1" locked="0" layoutInCell="1" allowOverlap="1" wp14:anchorId="53BDA245" wp14:editId="2D070B22">
          <wp:simplePos x="0" y="0"/>
          <wp:positionH relativeFrom="leftMargin">
            <wp:posOffset>220490</wp:posOffset>
          </wp:positionH>
          <wp:positionV relativeFrom="page">
            <wp:posOffset>10072290</wp:posOffset>
          </wp:positionV>
          <wp:extent cx="535940" cy="447040"/>
          <wp:effectExtent l="0" t="0" r="0" b="0"/>
          <wp:wrapTight wrapText="bothSides">
            <wp:wrapPolygon edited="0">
              <wp:start x="4607" y="0"/>
              <wp:lineTo x="0" y="3682"/>
              <wp:lineTo x="0" y="17489"/>
              <wp:lineTo x="4607" y="20250"/>
              <wp:lineTo x="6910" y="20250"/>
              <wp:lineTo x="14588" y="20250"/>
              <wp:lineTo x="15355" y="20250"/>
              <wp:lineTo x="20730" y="16568"/>
              <wp:lineTo x="20730" y="11966"/>
              <wp:lineTo x="19962" y="0"/>
              <wp:lineTo x="4607"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 cstate="email">
                    <a:extLst>
                      <a:ext uri="{28A0092B-C50C-407E-A947-70E740481C1C}">
                        <a14:useLocalDpi xmlns:a14="http://schemas.microsoft.com/office/drawing/2010/main"/>
                      </a:ext>
                    </a:extLst>
                  </a:blip>
                  <a:stretch>
                    <a:fillRect/>
                  </a:stretch>
                </pic:blipFill>
                <pic:spPr>
                  <a:xfrm>
                    <a:off x="0" y="0"/>
                    <a:ext cx="535940" cy="447040"/>
                  </a:xfrm>
                  <a:prstGeom prst="rect">
                    <a:avLst/>
                  </a:prstGeom>
                </pic:spPr>
              </pic:pic>
            </a:graphicData>
          </a:graphic>
          <wp14:sizeRelH relativeFrom="margin">
            <wp14:pctWidth>0</wp14:pctWidth>
          </wp14:sizeRelH>
          <wp14:sizeRelV relativeFrom="margin">
            <wp14:pctHeight>0</wp14:pctHeight>
          </wp14:sizeRelV>
        </wp:anchor>
      </w:drawing>
    </w:r>
    <w:r w:rsidRPr="00DC55B2">
      <w:rPr>
        <w:color w:val="5B9BD5" w:themeColor="accent1"/>
        <w:u w:val="single"/>
      </w:rPr>
      <w:t xml:space="preserve">Page </w:t>
    </w:r>
    <w:r w:rsidRPr="00DC55B2">
      <w:rPr>
        <w:color w:val="5B9BD5" w:themeColor="accent1"/>
        <w:u w:val="single"/>
      </w:rPr>
      <w:fldChar w:fldCharType="begin"/>
    </w:r>
    <w:r>
      <w:rPr>
        <w:color w:val="5B9BD5" w:themeColor="accent1"/>
        <w:u w:val="single"/>
      </w:rPr>
      <w:instrText>PAGE</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5C2BF3">
      <w:rPr>
        <w:noProof/>
        <w:color w:val="5B9BD5" w:themeColor="accent1"/>
        <w:u w:val="single"/>
      </w:rPr>
      <w:t>6</w:t>
    </w:r>
    <w:r w:rsidRPr="00DC55B2">
      <w:rPr>
        <w:color w:val="5B9BD5" w:themeColor="accent1"/>
        <w:u w:val="single"/>
      </w:rPr>
      <w:fldChar w:fldCharType="end"/>
    </w:r>
    <w:r w:rsidRPr="00DC55B2">
      <w:rPr>
        <w:color w:val="5B9BD5" w:themeColor="accent1"/>
        <w:u w:val="single"/>
      </w:rPr>
      <w:t xml:space="preserve"> sur </w:t>
    </w:r>
    <w:r w:rsidRPr="00DC55B2">
      <w:rPr>
        <w:color w:val="5B9BD5" w:themeColor="accent1"/>
        <w:u w:val="single"/>
      </w:rPr>
      <w:fldChar w:fldCharType="begin"/>
    </w:r>
    <w:r>
      <w:rPr>
        <w:color w:val="5B9BD5" w:themeColor="accent1"/>
        <w:u w:val="single"/>
      </w:rPr>
      <w:instrText>NUMPAGES</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5C2BF3">
      <w:rPr>
        <w:noProof/>
        <w:color w:val="5B9BD5" w:themeColor="accent1"/>
        <w:u w:val="single"/>
      </w:rPr>
      <w:t>8</w:t>
    </w:r>
    <w:r w:rsidRPr="00DC55B2">
      <w:rPr>
        <w:color w:val="5B9BD5" w:themeColor="accent1"/>
        <w:u w:val="single"/>
      </w:rPr>
      <w:fldChar w:fldCharType="end"/>
    </w:r>
  </w:p>
  <w:p w:rsidR="005851EB" w:rsidRPr="00242805" w:rsidRDefault="005851EB" w:rsidP="0079113A">
    <w:pPr>
      <w:pStyle w:val="Rodap"/>
    </w:pPr>
  </w:p>
  <w:p w:rsidR="005851EB" w:rsidRPr="0022298A" w:rsidRDefault="005851EB" w:rsidP="00242A7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EB" w:rsidRPr="00DC55B2" w:rsidRDefault="005851EB" w:rsidP="00242805">
    <w:pPr>
      <w:pStyle w:val="Rodap"/>
      <w:pBdr>
        <w:bottom w:val="single" w:sz="4" w:space="1" w:color="auto"/>
      </w:pBdr>
      <w:jc w:val="right"/>
      <w:rPr>
        <w:color w:val="5B9BD5" w:themeColor="accent1"/>
        <w:u w:val="single"/>
      </w:rPr>
    </w:pPr>
    <w:r>
      <w:rPr>
        <w:noProof/>
        <w:color w:val="000000" w:themeColor="text1"/>
        <w:sz w:val="32"/>
        <w:szCs w:val="32"/>
        <w:lang w:val="pt-PT" w:eastAsia="pt-PT"/>
      </w:rPr>
      <w:drawing>
        <wp:anchor distT="0" distB="0" distL="114300" distR="114300" simplePos="0" relativeHeight="251658256" behindDoc="1" locked="0" layoutInCell="1" allowOverlap="1" wp14:anchorId="653609A9" wp14:editId="2F45E279">
          <wp:simplePos x="0" y="0"/>
          <wp:positionH relativeFrom="leftMargin">
            <wp:posOffset>220345</wp:posOffset>
          </wp:positionH>
          <wp:positionV relativeFrom="page">
            <wp:posOffset>10062210</wp:posOffset>
          </wp:positionV>
          <wp:extent cx="535940" cy="447040"/>
          <wp:effectExtent l="0" t="0" r="0" b="0"/>
          <wp:wrapTight wrapText="bothSides">
            <wp:wrapPolygon edited="0">
              <wp:start x="4607" y="0"/>
              <wp:lineTo x="0" y="3682"/>
              <wp:lineTo x="0" y="17489"/>
              <wp:lineTo x="4607" y="20250"/>
              <wp:lineTo x="6910" y="20250"/>
              <wp:lineTo x="14588" y="20250"/>
              <wp:lineTo x="15355" y="20250"/>
              <wp:lineTo x="20730" y="16568"/>
              <wp:lineTo x="20730" y="11966"/>
              <wp:lineTo x="19962" y="0"/>
              <wp:lineTo x="4607"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 cstate="email">
                    <a:extLst>
                      <a:ext uri="{28A0092B-C50C-407E-A947-70E740481C1C}">
                        <a14:useLocalDpi xmlns:a14="http://schemas.microsoft.com/office/drawing/2010/main"/>
                      </a:ext>
                    </a:extLst>
                  </a:blip>
                  <a:stretch>
                    <a:fillRect/>
                  </a:stretch>
                </pic:blipFill>
                <pic:spPr>
                  <a:xfrm>
                    <a:off x="0" y="0"/>
                    <a:ext cx="535940" cy="44704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32"/>
        <w:szCs w:val="32"/>
        <w:lang w:val="pt-PT" w:eastAsia="pt-PT"/>
      </w:rPr>
      <w:drawing>
        <wp:anchor distT="0" distB="0" distL="114300" distR="114300" simplePos="0" relativeHeight="251658240" behindDoc="1" locked="0" layoutInCell="1" allowOverlap="1" wp14:anchorId="2994DF75" wp14:editId="4F4D5801">
          <wp:simplePos x="0" y="0"/>
          <wp:positionH relativeFrom="leftMargin">
            <wp:posOffset>220490</wp:posOffset>
          </wp:positionH>
          <wp:positionV relativeFrom="page">
            <wp:posOffset>10072290</wp:posOffset>
          </wp:positionV>
          <wp:extent cx="535940" cy="447040"/>
          <wp:effectExtent l="0" t="0" r="0" b="0"/>
          <wp:wrapTight wrapText="bothSides">
            <wp:wrapPolygon edited="0">
              <wp:start x="4607" y="0"/>
              <wp:lineTo x="0" y="3682"/>
              <wp:lineTo x="0" y="17489"/>
              <wp:lineTo x="4607" y="20250"/>
              <wp:lineTo x="6910" y="20250"/>
              <wp:lineTo x="14588" y="20250"/>
              <wp:lineTo x="15355" y="20250"/>
              <wp:lineTo x="20730" y="16568"/>
              <wp:lineTo x="20730" y="11966"/>
              <wp:lineTo x="19962" y="0"/>
              <wp:lineTo x="4607"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 cstate="email">
                    <a:extLst>
                      <a:ext uri="{28A0092B-C50C-407E-A947-70E740481C1C}">
                        <a14:useLocalDpi xmlns:a14="http://schemas.microsoft.com/office/drawing/2010/main"/>
                      </a:ext>
                    </a:extLst>
                  </a:blip>
                  <a:stretch>
                    <a:fillRect/>
                  </a:stretch>
                </pic:blipFill>
                <pic:spPr>
                  <a:xfrm>
                    <a:off x="0" y="0"/>
                    <a:ext cx="535940" cy="447040"/>
                  </a:xfrm>
                  <a:prstGeom prst="rect">
                    <a:avLst/>
                  </a:prstGeom>
                </pic:spPr>
              </pic:pic>
            </a:graphicData>
          </a:graphic>
          <wp14:sizeRelH relativeFrom="margin">
            <wp14:pctWidth>0</wp14:pctWidth>
          </wp14:sizeRelH>
          <wp14:sizeRelV relativeFrom="margin">
            <wp14:pctHeight>0</wp14:pctHeight>
          </wp14:sizeRelV>
        </wp:anchor>
      </w:drawing>
    </w:r>
    <w:r w:rsidRPr="00DC55B2">
      <w:rPr>
        <w:color w:val="5B9BD5" w:themeColor="accent1"/>
        <w:u w:val="single"/>
      </w:rPr>
      <w:t xml:space="preserve">Page </w:t>
    </w:r>
    <w:r w:rsidRPr="00DC55B2">
      <w:rPr>
        <w:color w:val="5B9BD5" w:themeColor="accent1"/>
        <w:u w:val="single"/>
      </w:rPr>
      <w:fldChar w:fldCharType="begin"/>
    </w:r>
    <w:r>
      <w:rPr>
        <w:color w:val="5B9BD5" w:themeColor="accent1"/>
        <w:u w:val="single"/>
      </w:rPr>
      <w:instrText>PAGE</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DE551D">
      <w:rPr>
        <w:noProof/>
        <w:color w:val="5B9BD5" w:themeColor="accent1"/>
        <w:u w:val="single"/>
      </w:rPr>
      <w:t>55</w:t>
    </w:r>
    <w:r w:rsidRPr="00DC55B2">
      <w:rPr>
        <w:color w:val="5B9BD5" w:themeColor="accent1"/>
        <w:u w:val="single"/>
      </w:rPr>
      <w:fldChar w:fldCharType="end"/>
    </w:r>
    <w:r w:rsidRPr="00DC55B2">
      <w:rPr>
        <w:color w:val="5B9BD5" w:themeColor="accent1"/>
        <w:u w:val="single"/>
      </w:rPr>
      <w:t xml:space="preserve"> sur </w:t>
    </w:r>
    <w:r w:rsidRPr="00DC55B2">
      <w:rPr>
        <w:color w:val="5B9BD5" w:themeColor="accent1"/>
        <w:u w:val="single"/>
      </w:rPr>
      <w:fldChar w:fldCharType="begin"/>
    </w:r>
    <w:r>
      <w:rPr>
        <w:color w:val="5B9BD5" w:themeColor="accent1"/>
        <w:u w:val="single"/>
      </w:rPr>
      <w:instrText>NUMPAGES</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DE551D">
      <w:rPr>
        <w:noProof/>
        <w:color w:val="5B9BD5" w:themeColor="accent1"/>
        <w:u w:val="single"/>
      </w:rPr>
      <w:t>159</w:t>
    </w:r>
    <w:r w:rsidRPr="00DC55B2">
      <w:rPr>
        <w:color w:val="5B9BD5" w:themeColor="accent1"/>
        <w:u w:val="single"/>
      </w:rPr>
      <w:fldChar w:fldCharType="end"/>
    </w:r>
  </w:p>
  <w:p w:rsidR="005851EB" w:rsidRPr="00242805" w:rsidRDefault="005851EB" w:rsidP="00242805">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EB" w:rsidRPr="00DC55B2" w:rsidRDefault="005851EB" w:rsidP="008829BD">
    <w:pPr>
      <w:pStyle w:val="Rodap"/>
      <w:pBdr>
        <w:bottom w:val="single" w:sz="4" w:space="1" w:color="auto"/>
      </w:pBdr>
      <w:jc w:val="right"/>
      <w:rPr>
        <w:color w:val="5B9BD5" w:themeColor="accent1"/>
        <w:u w:val="single"/>
      </w:rPr>
    </w:pPr>
    <w:r>
      <w:rPr>
        <w:noProof/>
        <w:color w:val="000000" w:themeColor="text1"/>
        <w:sz w:val="32"/>
        <w:szCs w:val="32"/>
        <w:lang w:val="pt-PT" w:eastAsia="pt-PT"/>
      </w:rPr>
      <w:drawing>
        <wp:anchor distT="0" distB="0" distL="114300" distR="114300" simplePos="0" relativeHeight="251658254" behindDoc="1" locked="0" layoutInCell="1" allowOverlap="1" wp14:anchorId="62C3901A" wp14:editId="037C3401">
          <wp:simplePos x="0" y="0"/>
          <wp:positionH relativeFrom="leftMargin">
            <wp:posOffset>220490</wp:posOffset>
          </wp:positionH>
          <wp:positionV relativeFrom="page">
            <wp:posOffset>10072290</wp:posOffset>
          </wp:positionV>
          <wp:extent cx="535940" cy="447040"/>
          <wp:effectExtent l="0" t="0" r="0" b="0"/>
          <wp:wrapTight wrapText="bothSides">
            <wp:wrapPolygon edited="0">
              <wp:start x="4607" y="0"/>
              <wp:lineTo x="0" y="3682"/>
              <wp:lineTo x="0" y="17489"/>
              <wp:lineTo x="4607" y="20250"/>
              <wp:lineTo x="6910" y="20250"/>
              <wp:lineTo x="14588" y="20250"/>
              <wp:lineTo x="15355" y="20250"/>
              <wp:lineTo x="20730" y="16568"/>
              <wp:lineTo x="20730" y="11966"/>
              <wp:lineTo x="19962" y="0"/>
              <wp:lineTo x="4607"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 cstate="email">
                    <a:extLst>
                      <a:ext uri="{28A0092B-C50C-407E-A947-70E740481C1C}">
                        <a14:useLocalDpi xmlns:a14="http://schemas.microsoft.com/office/drawing/2010/main"/>
                      </a:ext>
                    </a:extLst>
                  </a:blip>
                  <a:stretch>
                    <a:fillRect/>
                  </a:stretch>
                </pic:blipFill>
                <pic:spPr>
                  <a:xfrm>
                    <a:off x="0" y="0"/>
                    <a:ext cx="535940" cy="447040"/>
                  </a:xfrm>
                  <a:prstGeom prst="rect">
                    <a:avLst/>
                  </a:prstGeom>
                </pic:spPr>
              </pic:pic>
            </a:graphicData>
          </a:graphic>
          <wp14:sizeRelH relativeFrom="margin">
            <wp14:pctWidth>0</wp14:pctWidth>
          </wp14:sizeRelH>
          <wp14:sizeRelV relativeFrom="margin">
            <wp14:pctHeight>0</wp14:pctHeight>
          </wp14:sizeRelV>
        </wp:anchor>
      </w:drawing>
    </w:r>
    <w:r w:rsidRPr="00DC55B2">
      <w:rPr>
        <w:color w:val="5B9BD5" w:themeColor="accent1"/>
        <w:u w:val="single"/>
      </w:rPr>
      <w:t xml:space="preserve"> </w:t>
    </w:r>
  </w:p>
  <w:p w:rsidR="005851EB" w:rsidRPr="00242805" w:rsidRDefault="005851EB" w:rsidP="008829BD">
    <w:pPr>
      <w:pStyle w:val="Rodap"/>
    </w:pPr>
  </w:p>
  <w:p w:rsidR="005851EB" w:rsidRPr="003676E3" w:rsidRDefault="005851EB" w:rsidP="009557C8">
    <w:pPr>
      <w:pStyle w:val="Rodap"/>
      <w:jc w:val="right"/>
      <w:rPr>
        <w:rFonts w:ascii="Century Gothic" w:eastAsiaTheme="majorEastAsia" w:hAnsi="Century Gothic" w:cstheme="minorHAnsi"/>
        <w:b/>
        <w:bCs/>
        <w:i/>
        <w:iCs/>
        <w:sz w:val="20"/>
        <w:szCs w:val="20"/>
      </w:rPr>
    </w:pPr>
    <w:r w:rsidRPr="00DC55B2">
      <w:rPr>
        <w:color w:val="5B9BD5" w:themeColor="accent1"/>
        <w:u w:val="single"/>
      </w:rPr>
      <w:t xml:space="preserve">Page </w:t>
    </w:r>
    <w:r w:rsidRPr="00DC55B2">
      <w:rPr>
        <w:color w:val="5B9BD5" w:themeColor="accent1"/>
        <w:u w:val="single"/>
      </w:rPr>
      <w:fldChar w:fldCharType="begin"/>
    </w:r>
    <w:r>
      <w:rPr>
        <w:color w:val="5B9BD5" w:themeColor="accent1"/>
        <w:u w:val="single"/>
      </w:rPr>
      <w:instrText>PAGE</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DE551D">
      <w:rPr>
        <w:noProof/>
        <w:color w:val="5B9BD5" w:themeColor="accent1"/>
        <w:u w:val="single"/>
      </w:rPr>
      <w:t>84</w:t>
    </w:r>
    <w:r w:rsidRPr="00DC55B2">
      <w:rPr>
        <w:color w:val="5B9BD5" w:themeColor="accent1"/>
        <w:u w:val="single"/>
      </w:rPr>
      <w:fldChar w:fldCharType="end"/>
    </w:r>
    <w:r w:rsidRPr="00DC55B2">
      <w:rPr>
        <w:color w:val="5B9BD5" w:themeColor="accent1"/>
        <w:u w:val="single"/>
      </w:rPr>
      <w:t xml:space="preserve"> sur </w:t>
    </w:r>
    <w:r w:rsidRPr="00DC55B2">
      <w:rPr>
        <w:color w:val="5B9BD5" w:themeColor="accent1"/>
        <w:u w:val="single"/>
      </w:rPr>
      <w:fldChar w:fldCharType="begin"/>
    </w:r>
    <w:r>
      <w:rPr>
        <w:color w:val="5B9BD5" w:themeColor="accent1"/>
        <w:u w:val="single"/>
      </w:rPr>
      <w:instrText>NUMPAGES</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DE551D">
      <w:rPr>
        <w:noProof/>
        <w:color w:val="5B9BD5" w:themeColor="accent1"/>
        <w:u w:val="single"/>
      </w:rPr>
      <w:t>159</w:t>
    </w:r>
    <w:r w:rsidRPr="00DC55B2">
      <w:rPr>
        <w:color w:val="5B9BD5" w:themeColor="accent1"/>
        <w:u w:val="single"/>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EB" w:rsidRPr="00DC55B2" w:rsidRDefault="005851EB" w:rsidP="008829BD">
    <w:pPr>
      <w:pStyle w:val="Rodap"/>
      <w:pBdr>
        <w:bottom w:val="single" w:sz="4" w:space="1" w:color="auto"/>
      </w:pBdr>
      <w:jc w:val="right"/>
      <w:rPr>
        <w:color w:val="5B9BD5" w:themeColor="accent1"/>
        <w:u w:val="single"/>
      </w:rPr>
    </w:pPr>
    <w:r>
      <w:rPr>
        <w:noProof/>
        <w:color w:val="000000" w:themeColor="text1"/>
        <w:sz w:val="32"/>
        <w:szCs w:val="32"/>
        <w:lang w:val="pt-PT" w:eastAsia="pt-PT"/>
      </w:rPr>
      <w:drawing>
        <wp:anchor distT="0" distB="0" distL="114300" distR="114300" simplePos="0" relativeHeight="251658255" behindDoc="1" locked="0" layoutInCell="1" allowOverlap="1" wp14:anchorId="6D55F1B6" wp14:editId="1526D247">
          <wp:simplePos x="0" y="0"/>
          <wp:positionH relativeFrom="leftMargin">
            <wp:posOffset>220490</wp:posOffset>
          </wp:positionH>
          <wp:positionV relativeFrom="page">
            <wp:posOffset>10072290</wp:posOffset>
          </wp:positionV>
          <wp:extent cx="535940" cy="447040"/>
          <wp:effectExtent l="0" t="0" r="0" b="0"/>
          <wp:wrapTight wrapText="bothSides">
            <wp:wrapPolygon edited="0">
              <wp:start x="4607" y="0"/>
              <wp:lineTo x="0" y="3682"/>
              <wp:lineTo x="0" y="17489"/>
              <wp:lineTo x="4607" y="20250"/>
              <wp:lineTo x="6910" y="20250"/>
              <wp:lineTo x="14588" y="20250"/>
              <wp:lineTo x="15355" y="20250"/>
              <wp:lineTo x="20730" y="16568"/>
              <wp:lineTo x="20730" y="11966"/>
              <wp:lineTo x="19962" y="0"/>
              <wp:lineTo x="4607"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 cstate="email">
                    <a:extLst>
                      <a:ext uri="{28A0092B-C50C-407E-A947-70E740481C1C}">
                        <a14:useLocalDpi xmlns:a14="http://schemas.microsoft.com/office/drawing/2010/main"/>
                      </a:ext>
                    </a:extLst>
                  </a:blip>
                  <a:stretch>
                    <a:fillRect/>
                  </a:stretch>
                </pic:blipFill>
                <pic:spPr>
                  <a:xfrm>
                    <a:off x="0" y="0"/>
                    <a:ext cx="535940" cy="447040"/>
                  </a:xfrm>
                  <a:prstGeom prst="rect">
                    <a:avLst/>
                  </a:prstGeom>
                </pic:spPr>
              </pic:pic>
            </a:graphicData>
          </a:graphic>
          <wp14:sizeRelH relativeFrom="margin">
            <wp14:pctWidth>0</wp14:pctWidth>
          </wp14:sizeRelH>
          <wp14:sizeRelV relativeFrom="margin">
            <wp14:pctHeight>0</wp14:pctHeight>
          </wp14:sizeRelV>
        </wp:anchor>
      </w:drawing>
    </w:r>
    <w:r w:rsidRPr="00DC55B2">
      <w:rPr>
        <w:color w:val="5B9BD5" w:themeColor="accent1"/>
        <w:u w:val="single"/>
      </w:rPr>
      <w:t xml:space="preserve">Page </w:t>
    </w:r>
    <w:r w:rsidRPr="00DC55B2">
      <w:rPr>
        <w:color w:val="5B9BD5" w:themeColor="accent1"/>
        <w:u w:val="single"/>
      </w:rPr>
      <w:fldChar w:fldCharType="begin"/>
    </w:r>
    <w:r>
      <w:rPr>
        <w:color w:val="5B9BD5" w:themeColor="accent1"/>
        <w:u w:val="single"/>
      </w:rPr>
      <w:instrText>PAGE</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DE551D">
      <w:rPr>
        <w:noProof/>
        <w:color w:val="5B9BD5" w:themeColor="accent1"/>
        <w:u w:val="single"/>
      </w:rPr>
      <w:t>159</w:t>
    </w:r>
    <w:r w:rsidRPr="00DC55B2">
      <w:rPr>
        <w:color w:val="5B9BD5" w:themeColor="accent1"/>
        <w:u w:val="single"/>
      </w:rPr>
      <w:fldChar w:fldCharType="end"/>
    </w:r>
    <w:r w:rsidRPr="00DC55B2">
      <w:rPr>
        <w:color w:val="5B9BD5" w:themeColor="accent1"/>
        <w:u w:val="single"/>
      </w:rPr>
      <w:t xml:space="preserve"> sur </w:t>
    </w:r>
    <w:r w:rsidRPr="00DC55B2">
      <w:rPr>
        <w:color w:val="5B9BD5" w:themeColor="accent1"/>
        <w:u w:val="single"/>
      </w:rPr>
      <w:fldChar w:fldCharType="begin"/>
    </w:r>
    <w:r>
      <w:rPr>
        <w:color w:val="5B9BD5" w:themeColor="accent1"/>
        <w:u w:val="single"/>
      </w:rPr>
      <w:instrText>NUMPAGES</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DE551D">
      <w:rPr>
        <w:noProof/>
        <w:color w:val="5B9BD5" w:themeColor="accent1"/>
        <w:u w:val="single"/>
      </w:rPr>
      <w:t>159</w:t>
    </w:r>
    <w:r w:rsidRPr="00DC55B2">
      <w:rPr>
        <w:color w:val="5B9BD5" w:themeColor="accent1"/>
        <w:u w:val="single"/>
      </w:rPr>
      <w:fldChar w:fldCharType="end"/>
    </w:r>
  </w:p>
  <w:p w:rsidR="005851EB" w:rsidRPr="00242805" w:rsidRDefault="005851EB" w:rsidP="008829BD">
    <w:pPr>
      <w:pStyle w:val="Rodap"/>
    </w:pPr>
  </w:p>
  <w:p w:rsidR="005851EB" w:rsidRPr="008829BD" w:rsidRDefault="005851EB" w:rsidP="008829B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D1D" w:rsidRDefault="00D00D1D" w:rsidP="00A45EEC">
      <w:r>
        <w:separator/>
      </w:r>
    </w:p>
  </w:footnote>
  <w:footnote w:type="continuationSeparator" w:id="0">
    <w:p w:rsidR="00D00D1D" w:rsidRDefault="00D00D1D" w:rsidP="00A45EEC">
      <w:r>
        <w:continuationSeparator/>
      </w:r>
    </w:p>
  </w:footnote>
  <w:footnote w:type="continuationNotice" w:id="1">
    <w:p w:rsidR="00D00D1D" w:rsidRDefault="00D00D1D"/>
  </w:footnote>
  <w:footnote w:id="2">
    <w:p w:rsidR="005851EB" w:rsidRPr="001F51D4" w:rsidRDefault="005851EB" w:rsidP="00FC46CF">
      <w:pPr>
        <w:pStyle w:val="Textodenotaderodap"/>
      </w:pPr>
      <w:r w:rsidRPr="001F51D4">
        <w:rPr>
          <w:rStyle w:val="Refdenotaderodap"/>
        </w:rPr>
        <w:footnoteRef/>
      </w:r>
      <w:r w:rsidRPr="001F51D4">
        <w:t xml:space="preserve"> </w:t>
      </w:r>
      <w:r w:rsidRPr="00EF3A36">
        <w:t xml:space="preserve">Exploitation et Abus Sexuels, ainsi que le Harcèlement Sexuel </w:t>
      </w:r>
    </w:p>
  </w:footnote>
  <w:footnote w:id="3">
    <w:p w:rsidR="005851EB" w:rsidRDefault="005851EB" w:rsidP="00B805ED">
      <w:pPr>
        <w:pStyle w:val="Textodenotaderodap"/>
      </w:pPr>
      <w:r>
        <w:rPr>
          <w:rStyle w:val="Refdenotaderodap"/>
        </w:rPr>
        <w:footnoteRef/>
      </w:r>
      <w:r>
        <w:t xml:space="preserve"> </w:t>
      </w:r>
      <w:hyperlink r:id="rId1" w:history="1">
        <w:r w:rsidRPr="00BD6C86">
          <w:rPr>
            <w:rStyle w:val="Hiperligao"/>
          </w:rPr>
          <w:t>http://documents1.worldbank.org/curated/en/509041468321553133/pdf/929700WP0Box380Soc0Protection0Brief.pdf</w:t>
        </w:r>
      </w:hyperlink>
    </w:p>
    <w:p w:rsidR="005851EB" w:rsidRPr="00102AC0" w:rsidRDefault="005851EB" w:rsidP="00B805ED">
      <w:pPr>
        <w:pStyle w:val="Textodenotaderodap"/>
        <w:ind w:left="0" w:firstLine="0"/>
      </w:pPr>
    </w:p>
  </w:footnote>
  <w:footnote w:id="4">
    <w:p w:rsidR="005851EB" w:rsidRPr="00264468" w:rsidRDefault="005851EB">
      <w:pPr>
        <w:pStyle w:val="Textodenotaderodap"/>
      </w:pPr>
      <w:r w:rsidRPr="00264468">
        <w:rPr>
          <w:rStyle w:val="Refdenotaderodap"/>
        </w:rPr>
        <w:footnoteRef/>
      </w:r>
      <w:r w:rsidRPr="00264468">
        <w:t xml:space="preserve"> </w:t>
      </w:r>
      <w:r w:rsidRPr="008371D1">
        <w:t>Les données seront ventilées par sexe</w:t>
      </w:r>
    </w:p>
  </w:footnote>
  <w:footnote w:id="5">
    <w:p w:rsidR="005851EB" w:rsidRPr="006F6BFB" w:rsidRDefault="005851EB" w:rsidP="00374A0D">
      <w:pPr>
        <w:pStyle w:val="Textodecomentrio"/>
      </w:pPr>
      <w:r>
        <w:rPr>
          <w:rStyle w:val="Refdenotaderodap"/>
        </w:rPr>
        <w:footnoteRef/>
      </w:r>
      <w:r>
        <w:t xml:space="preserve"> </w:t>
      </w:r>
      <w:r w:rsidRPr="006F6BFB">
        <w:t>Le</w:t>
      </w:r>
      <w:r w:rsidRPr="008371D1">
        <w:t xml:space="preserve"> projet doit cartographier les services VBG disponibles dans tous les sites de mise en œuvre du projet</w:t>
      </w:r>
      <w:r w:rsidRPr="006F6BFB">
        <w:t xml:space="preserve">, dans ce cas dans tout le pays. </w:t>
      </w:r>
    </w:p>
    <w:p w:rsidR="005851EB" w:rsidRPr="00BA27CE" w:rsidRDefault="005851EB" w:rsidP="00374A0D">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EB" w:rsidRPr="00D65289" w:rsidRDefault="005851EB" w:rsidP="00046A91">
    <w:pPr>
      <w:pStyle w:val="Cabealho"/>
      <w:spacing w:after="0" w:line="240" w:lineRule="auto"/>
      <w:jc w:val="center"/>
      <w:rPr>
        <w:rFonts w:ascii="Times New Roman" w:hAnsi="Times New Roman"/>
        <w:b/>
        <w:sz w:val="18"/>
        <w:szCs w:val="18"/>
      </w:rPr>
    </w:pPr>
    <w:r>
      <w:rPr>
        <w:noProof/>
        <w:lang w:val="pt-PT" w:eastAsia="pt-PT"/>
      </w:rPr>
      <mc:AlternateContent>
        <mc:Choice Requires="wps">
          <w:drawing>
            <wp:anchor distT="0" distB="0" distL="114300" distR="114300" simplePos="0" relativeHeight="251658241" behindDoc="0" locked="0" layoutInCell="1" allowOverlap="1" wp14:anchorId="7C6D96C6" wp14:editId="6B8A3AE0">
              <wp:simplePos x="0" y="0"/>
              <wp:positionH relativeFrom="page">
                <wp:posOffset>149860</wp:posOffset>
              </wp:positionH>
              <wp:positionV relativeFrom="paragraph">
                <wp:posOffset>-149639</wp:posOffset>
              </wp:positionV>
              <wp:extent cx="7383491" cy="658495"/>
              <wp:effectExtent l="38100" t="0" r="27305" b="27305"/>
              <wp:wrapNone/>
              <wp:docPr id="62" name="Parchemin vertical 62"/>
              <wp:cNvGraphicFramePr/>
              <a:graphic xmlns:a="http://schemas.openxmlformats.org/drawingml/2006/main">
                <a:graphicData uri="http://schemas.microsoft.com/office/word/2010/wordprocessingShape">
                  <wps:wsp>
                    <wps:cNvSpPr/>
                    <wps:spPr>
                      <a:xfrm>
                        <a:off x="0" y="0"/>
                        <a:ext cx="7383491" cy="658495"/>
                      </a:xfrm>
                      <a:prstGeom prst="verticalScroll">
                        <a:avLst/>
                      </a:prstGeom>
                      <a:noFill/>
                    </wps:spPr>
                    <wps:style>
                      <a:lnRef idx="2">
                        <a:schemeClr val="dk1"/>
                      </a:lnRef>
                      <a:fillRef idx="1">
                        <a:schemeClr val="lt1"/>
                      </a:fillRef>
                      <a:effectRef idx="0">
                        <a:schemeClr val="dk1"/>
                      </a:effectRef>
                      <a:fontRef idx="minor">
                        <a:schemeClr val="dk1"/>
                      </a:fontRef>
                    </wps:style>
                    <wps:txbx>
                      <w:txbxContent>
                        <w:p w:rsidR="005851EB" w:rsidRPr="008B31D5" w:rsidRDefault="005851EB" w:rsidP="00046A91">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C6D96C6"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62" o:spid="_x0000_s1054" type="#_x0000_t97" style="position:absolute;left:0;text-align:left;margin-left:11.8pt;margin-top:-11.75pt;width:581.4pt;height:5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" filled="f" strokecolor="black [3200]" strokeweight="1pt">
              <v:stroke joinstyle="miter"/>
              <v:textbox>
                <w:txbxContent>
                  <w:p w14:paraId="4CF05A0E" w14:textId="77777777" w:rsidR="005851EB" w:rsidRPr="008B31D5" w:rsidRDefault="005851EB" w:rsidP="00046A91">
                    <w:pPr>
                      <w:jc w:val="center"/>
                      <w:rPr>
                        <w:color w:val="FFFFFF" w:themeColor="background1"/>
                        <w14:textFill>
                          <w14:noFill/>
                        </w14:textFill>
                      </w:rPr>
                    </w:pPr>
                  </w:p>
                </w:txbxContent>
              </v:textbox>
              <w10:wrap anchorx="page"/>
            </v:shape>
          </w:pict>
        </mc:Fallback>
      </mc:AlternateContent>
    </w:r>
    <w:r w:rsidRPr="00591F2C">
      <w:rPr>
        <w:rFonts w:ascii="Times New Roman" w:hAnsi="Times New Roman"/>
        <w:b/>
        <w:sz w:val="18"/>
        <w:szCs w:val="18"/>
      </w:rPr>
      <w:t xml:space="preserve">EVALUATION ENVIRONNEMENTALE </w:t>
    </w:r>
    <w:r>
      <w:rPr>
        <w:rFonts w:ascii="Times New Roman" w:hAnsi="Times New Roman"/>
        <w:b/>
        <w:sz w:val="18"/>
        <w:szCs w:val="18"/>
      </w:rPr>
      <w:t>STRATEGIQUE (EES) </w:t>
    </w:r>
  </w:p>
  <w:p w:rsidR="005851EB" w:rsidRPr="00D65289" w:rsidRDefault="005851EB" w:rsidP="00046A91">
    <w:pPr>
      <w:pStyle w:val="Cabealho"/>
      <w:spacing w:after="0" w:line="240" w:lineRule="auto"/>
      <w:jc w:val="center"/>
      <w:rPr>
        <w:rFonts w:ascii="Times New Roman" w:hAnsi="Times New Roman"/>
        <w:b/>
        <w:bCs/>
        <w:sz w:val="28"/>
        <w:szCs w:val="28"/>
      </w:rPr>
    </w:pPr>
    <w:r w:rsidRPr="00D65289">
      <w:rPr>
        <w:rFonts w:ascii="Times New Roman" w:hAnsi="Times New Roman"/>
        <w:b/>
        <w:bCs/>
        <w:iCs/>
        <w:sz w:val="28"/>
        <w:szCs w:val="28"/>
      </w:rPr>
      <w:t>Projet de Sécurité Alimentaire d'Urgence en Guinée Bissau</w:t>
    </w:r>
    <w:r>
      <w:rPr>
        <w:rFonts w:ascii="Times New Roman" w:hAnsi="Times New Roman"/>
        <w:b/>
        <w:bCs/>
        <w:iCs/>
        <w:sz w:val="28"/>
        <w:szCs w:val="28"/>
      </w:rPr>
      <w:t xml:space="preserve"> (PUSA)</w:t>
    </w:r>
    <w:r w:rsidRPr="00D65289">
      <w:rPr>
        <w:rFonts w:ascii="Times New Roman" w:hAnsi="Times New Roman"/>
        <w:b/>
        <w:noProof/>
        <w:sz w:val="28"/>
        <w:szCs w:val="28"/>
      </w:rPr>
      <w:t xml:space="preserve"> </w:t>
    </w:r>
  </w:p>
  <w:p w:rsidR="005851EB" w:rsidRPr="00046A91" w:rsidRDefault="005851EB" w:rsidP="00046A91">
    <w:pPr>
      <w:pStyle w:val="Cabealho"/>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RAPPORT CGES FINAL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EB" w:rsidRPr="00A64AE4" w:rsidRDefault="005851EB" w:rsidP="00242A77">
    <w:pPr>
      <w:pStyle w:val="Cabealho"/>
      <w:jc w:val="right"/>
      <w:rPr>
        <w:rFonts w:ascii="Times New Roman" w:hAnsi="Times New Roman"/>
        <w:color w:val="70AD47"/>
        <w14:shadow w14:blurRad="63500" w14:dist="50800" w14:dir="135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EB" w:rsidRPr="00D65289" w:rsidRDefault="005851EB" w:rsidP="00A507D5">
    <w:pPr>
      <w:pStyle w:val="Cabealho"/>
      <w:spacing w:after="0" w:line="240" w:lineRule="auto"/>
      <w:jc w:val="center"/>
      <w:rPr>
        <w:rFonts w:ascii="Times New Roman" w:hAnsi="Times New Roman"/>
        <w:b/>
        <w:sz w:val="18"/>
        <w:szCs w:val="18"/>
      </w:rPr>
    </w:pPr>
    <w:r>
      <w:rPr>
        <w:noProof/>
        <w:lang w:val="pt-PT" w:eastAsia="pt-PT"/>
      </w:rPr>
      <mc:AlternateContent>
        <mc:Choice Requires="wps">
          <w:drawing>
            <wp:anchor distT="0" distB="0" distL="114300" distR="114300" simplePos="0" relativeHeight="251658244" behindDoc="0" locked="0" layoutInCell="1" allowOverlap="1" wp14:anchorId="6738AECD" wp14:editId="4B0F2AF5">
              <wp:simplePos x="0" y="0"/>
              <wp:positionH relativeFrom="page">
                <wp:posOffset>168910</wp:posOffset>
              </wp:positionH>
              <wp:positionV relativeFrom="paragraph">
                <wp:posOffset>-139700</wp:posOffset>
              </wp:positionV>
              <wp:extent cx="7383145" cy="658495"/>
              <wp:effectExtent l="38100" t="0" r="27305" b="27305"/>
              <wp:wrapNone/>
              <wp:docPr id="203" name="Parchemin vertical 203"/>
              <wp:cNvGraphicFramePr/>
              <a:graphic xmlns:a="http://schemas.openxmlformats.org/drawingml/2006/main">
                <a:graphicData uri="http://schemas.microsoft.com/office/word/2010/wordprocessingShape">
                  <wps:wsp>
                    <wps:cNvSpPr/>
                    <wps:spPr>
                      <a:xfrm>
                        <a:off x="0" y="0"/>
                        <a:ext cx="7383145" cy="658495"/>
                      </a:xfrm>
                      <a:prstGeom prst="verticalScroll">
                        <a:avLst/>
                      </a:prstGeom>
                      <a:noFill/>
                    </wps:spPr>
                    <wps:style>
                      <a:lnRef idx="2">
                        <a:schemeClr val="dk1"/>
                      </a:lnRef>
                      <a:fillRef idx="1">
                        <a:schemeClr val="lt1"/>
                      </a:fillRef>
                      <a:effectRef idx="0">
                        <a:schemeClr val="dk1"/>
                      </a:effectRef>
                      <a:fontRef idx="minor">
                        <a:schemeClr val="dk1"/>
                      </a:fontRef>
                    </wps:style>
                    <wps:txbx>
                      <w:txbxContent>
                        <w:p w:rsidR="005851EB" w:rsidRPr="008B31D5" w:rsidRDefault="005851EB" w:rsidP="00355F7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6738AECD"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203" o:spid="_x0000_s1055" type="#_x0000_t97" style="position:absolute;left:0;text-align:left;margin-left:13.3pt;margin-top:-10.95pt;width:581.35pt;height:51.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" filled="f" strokecolor="black [3200]" strokeweight="1pt">
              <v:stroke joinstyle="miter"/>
              <v:textbox>
                <w:txbxContent>
                  <w:p w14:paraId="276578C6" w14:textId="77777777" w:rsidR="005851EB" w:rsidRPr="008B31D5" w:rsidRDefault="005851EB" w:rsidP="00355F7F">
                    <w:pPr>
                      <w:rPr>
                        <w:color w:val="FFFFFF" w:themeColor="background1"/>
                        <w14:textFill>
                          <w14:noFill/>
                        </w14:textFill>
                      </w:rPr>
                    </w:pPr>
                  </w:p>
                </w:txbxContent>
              </v:textbox>
              <w10:wrap anchorx="page"/>
            </v:shape>
          </w:pict>
        </mc:Fallback>
      </mc:AlternateContent>
    </w:r>
    <w:r w:rsidRPr="00591F2C">
      <w:rPr>
        <w:rFonts w:ascii="Times New Roman" w:hAnsi="Times New Roman"/>
        <w:b/>
        <w:sz w:val="18"/>
        <w:szCs w:val="18"/>
      </w:rPr>
      <w:t xml:space="preserve">EVALUATION ENVIRONNEMENTALE </w:t>
    </w:r>
    <w:r>
      <w:rPr>
        <w:rFonts w:ascii="Times New Roman" w:hAnsi="Times New Roman"/>
        <w:b/>
        <w:sz w:val="18"/>
        <w:szCs w:val="18"/>
      </w:rPr>
      <w:t>STRATEGIQUE (EES) </w:t>
    </w:r>
  </w:p>
  <w:p w:rsidR="005851EB" w:rsidRPr="00A507D5" w:rsidRDefault="005851EB" w:rsidP="00A507D5">
    <w:pPr>
      <w:pStyle w:val="Cabealho"/>
      <w:spacing w:after="0" w:line="240" w:lineRule="auto"/>
      <w:jc w:val="right"/>
      <w:rPr>
        <w:rFonts w:ascii="Times New Roman" w:hAnsi="Times New Roman"/>
        <w:b/>
        <w:bCs/>
        <w:sz w:val="28"/>
        <w:szCs w:val="28"/>
      </w:rPr>
    </w:pPr>
    <w:r w:rsidRPr="00D65289">
      <w:rPr>
        <w:rFonts w:ascii="Times New Roman" w:hAnsi="Times New Roman"/>
        <w:b/>
        <w:bCs/>
        <w:iCs/>
        <w:sz w:val="28"/>
        <w:szCs w:val="28"/>
      </w:rPr>
      <w:t>Projet de Sécurité Alimentaire d'Urgence en Guinée Bissau</w:t>
    </w:r>
    <w:r>
      <w:rPr>
        <w:rFonts w:ascii="Times New Roman" w:hAnsi="Times New Roman"/>
        <w:b/>
        <w:bCs/>
        <w:iCs/>
        <w:sz w:val="28"/>
        <w:szCs w:val="28"/>
      </w:rPr>
      <w:t xml:space="preserve"> (PUSA)</w:t>
    </w:r>
    <w:r w:rsidRPr="00D65289">
      <w:rPr>
        <w:rFonts w:ascii="Times New Roman" w:hAnsi="Times New Roman"/>
        <w:b/>
        <w:noProof/>
        <w:sz w:val="28"/>
        <w:szCs w:val="28"/>
      </w:rPr>
      <w:t xml:space="preserve"> </w:t>
    </w:r>
    <w:r>
      <w:rPr>
        <w:rFonts w:ascii="Times New Roman" w:hAnsi="Times New Roman"/>
        <w:b/>
        <w:bCs/>
        <w:sz w:val="28"/>
        <w:szCs w:val="28"/>
      </w:rPr>
      <w:t xml:space="preserve">                            </w:t>
    </w: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RAPPORT CGES FINAL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EB" w:rsidRPr="00D65289" w:rsidRDefault="005851EB" w:rsidP="00A507D5">
    <w:pPr>
      <w:pStyle w:val="Cabealho"/>
      <w:spacing w:after="0" w:line="240" w:lineRule="auto"/>
      <w:jc w:val="center"/>
      <w:rPr>
        <w:rFonts w:ascii="Times New Roman" w:hAnsi="Times New Roman"/>
        <w:b/>
        <w:sz w:val="18"/>
        <w:szCs w:val="18"/>
      </w:rPr>
    </w:pPr>
    <w:r>
      <w:rPr>
        <w:noProof/>
        <w:lang w:val="pt-PT" w:eastAsia="pt-PT"/>
      </w:rPr>
      <mc:AlternateContent>
        <mc:Choice Requires="wps">
          <w:drawing>
            <wp:anchor distT="0" distB="0" distL="114300" distR="114300" simplePos="0" relativeHeight="251658247" behindDoc="0" locked="0" layoutInCell="1" allowOverlap="1" wp14:anchorId="3655323A" wp14:editId="7D74B3DB">
              <wp:simplePos x="0" y="0"/>
              <wp:positionH relativeFrom="page">
                <wp:posOffset>152400</wp:posOffset>
              </wp:positionH>
              <wp:positionV relativeFrom="paragraph">
                <wp:posOffset>-144871</wp:posOffset>
              </wp:positionV>
              <wp:extent cx="7451090" cy="737326"/>
              <wp:effectExtent l="50800" t="0" r="16510" b="24765"/>
              <wp:wrapNone/>
              <wp:docPr id="206" name="Parchemin vertical 206"/>
              <wp:cNvGraphicFramePr/>
              <a:graphic xmlns:a="http://schemas.openxmlformats.org/drawingml/2006/main">
                <a:graphicData uri="http://schemas.microsoft.com/office/word/2010/wordprocessingShape">
                  <wps:wsp>
                    <wps:cNvSpPr/>
                    <wps:spPr>
                      <a:xfrm>
                        <a:off x="0" y="0"/>
                        <a:ext cx="7451090" cy="737326"/>
                      </a:xfrm>
                      <a:prstGeom prst="verticalScroll">
                        <a:avLst/>
                      </a:prstGeom>
                      <a:noFill/>
                    </wps:spPr>
                    <wps:style>
                      <a:lnRef idx="2">
                        <a:schemeClr val="dk1"/>
                      </a:lnRef>
                      <a:fillRef idx="1">
                        <a:schemeClr val="lt1"/>
                      </a:fillRef>
                      <a:effectRef idx="0">
                        <a:schemeClr val="dk1"/>
                      </a:effectRef>
                      <a:fontRef idx="minor">
                        <a:schemeClr val="dk1"/>
                      </a:fontRef>
                    </wps:style>
                    <wps:txbx>
                      <w:txbxContent>
                        <w:p w:rsidR="005851EB" w:rsidRPr="008B31D5" w:rsidRDefault="005851EB" w:rsidP="00A507D5">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3655323A"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206" o:spid="_x0000_s1056" type="#_x0000_t97" style="position:absolute;left:0;text-align:left;margin-left:12pt;margin-top:-11.35pt;width:586.7pt;height:58.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" filled="f" strokecolor="black [3200]" strokeweight="1pt">
              <v:stroke joinstyle="miter"/>
              <v:textbox>
                <w:txbxContent>
                  <w:p w14:paraId="267344B6" w14:textId="77777777" w:rsidR="005851EB" w:rsidRPr="008B31D5" w:rsidRDefault="005851EB" w:rsidP="00A507D5">
                    <w:pPr>
                      <w:jc w:val="center"/>
                      <w:rPr>
                        <w:color w:val="FFFFFF" w:themeColor="background1"/>
                        <w14:textFill>
                          <w14:noFill/>
                        </w14:textFill>
                      </w:rPr>
                    </w:pPr>
                  </w:p>
                </w:txbxContent>
              </v:textbox>
              <w10:wrap anchorx="page"/>
            </v:shape>
          </w:pict>
        </mc:Fallback>
      </mc:AlternateContent>
    </w:r>
    <w:r w:rsidRPr="00591F2C">
      <w:rPr>
        <w:rFonts w:ascii="Times New Roman" w:hAnsi="Times New Roman"/>
        <w:b/>
        <w:sz w:val="18"/>
        <w:szCs w:val="18"/>
      </w:rPr>
      <w:t xml:space="preserve">EVALUATION ENVIRONNEMENTALE </w:t>
    </w:r>
    <w:r>
      <w:rPr>
        <w:rFonts w:ascii="Times New Roman" w:hAnsi="Times New Roman"/>
        <w:b/>
        <w:sz w:val="18"/>
        <w:szCs w:val="18"/>
      </w:rPr>
      <w:t>STRATEGIQUE (EES) </w:t>
    </w:r>
  </w:p>
  <w:p w:rsidR="005851EB" w:rsidRPr="00A507D5" w:rsidRDefault="005851EB" w:rsidP="00A507D5">
    <w:pPr>
      <w:pStyle w:val="Cabealho"/>
      <w:spacing w:after="0" w:line="240" w:lineRule="auto"/>
      <w:jc w:val="right"/>
      <w:rPr>
        <w:rFonts w:ascii="Times New Roman" w:hAnsi="Times New Roman"/>
        <w:b/>
        <w:bCs/>
        <w:sz w:val="28"/>
        <w:szCs w:val="28"/>
      </w:rPr>
    </w:pPr>
    <w:r w:rsidRPr="00D65289">
      <w:rPr>
        <w:rFonts w:ascii="Times New Roman" w:hAnsi="Times New Roman"/>
        <w:b/>
        <w:bCs/>
        <w:iCs/>
        <w:sz w:val="28"/>
        <w:szCs w:val="28"/>
      </w:rPr>
      <w:t>Projet de Sécurité Alimentaire d'Urgence en Guinée Bissau</w:t>
    </w:r>
    <w:r>
      <w:rPr>
        <w:rFonts w:ascii="Times New Roman" w:hAnsi="Times New Roman"/>
        <w:b/>
        <w:bCs/>
        <w:iCs/>
        <w:sz w:val="28"/>
        <w:szCs w:val="28"/>
      </w:rPr>
      <w:t xml:space="preserve"> (PUSA)</w:t>
    </w:r>
    <w:r w:rsidRPr="00D65289">
      <w:rPr>
        <w:rFonts w:ascii="Times New Roman" w:hAnsi="Times New Roman"/>
        <w:b/>
        <w:noProof/>
        <w:sz w:val="28"/>
        <w:szCs w:val="28"/>
      </w:rPr>
      <w:t xml:space="preserve"> </w:t>
    </w:r>
    <w:r>
      <w:rPr>
        <w:rFonts w:ascii="Times New Roman" w:hAnsi="Times New Roman"/>
        <w:b/>
        <w:bCs/>
        <w:sz w:val="28"/>
        <w:szCs w:val="28"/>
      </w:rPr>
      <w:t xml:space="preserve">                          </w:t>
    </w: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RAPPORT CGES FINAL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EB" w:rsidRPr="00D65289" w:rsidRDefault="005851EB" w:rsidP="000D26A5">
    <w:pPr>
      <w:pStyle w:val="Cabealho"/>
      <w:spacing w:after="0" w:line="240" w:lineRule="auto"/>
      <w:jc w:val="center"/>
      <w:rPr>
        <w:rFonts w:ascii="Times New Roman" w:hAnsi="Times New Roman"/>
        <w:b/>
        <w:sz w:val="18"/>
        <w:szCs w:val="18"/>
      </w:rPr>
    </w:pPr>
    <w:r>
      <w:rPr>
        <w:noProof/>
        <w:lang w:val="pt-PT" w:eastAsia="pt-PT"/>
      </w:rPr>
      <mc:AlternateContent>
        <mc:Choice Requires="wps">
          <w:drawing>
            <wp:anchor distT="0" distB="0" distL="114300" distR="114300" simplePos="0" relativeHeight="251658250" behindDoc="0" locked="0" layoutInCell="1" allowOverlap="1" wp14:anchorId="4EE3B5D2" wp14:editId="695CB0E6">
              <wp:simplePos x="0" y="0"/>
              <wp:positionH relativeFrom="page">
                <wp:posOffset>61595</wp:posOffset>
              </wp:positionH>
              <wp:positionV relativeFrom="paragraph">
                <wp:posOffset>-217170</wp:posOffset>
              </wp:positionV>
              <wp:extent cx="7407729" cy="699935"/>
              <wp:effectExtent l="50800" t="0" r="34925" b="36830"/>
              <wp:wrapNone/>
              <wp:docPr id="209" name="Parchemin vertical 209"/>
              <wp:cNvGraphicFramePr/>
              <a:graphic xmlns:a="http://schemas.openxmlformats.org/drawingml/2006/main">
                <a:graphicData uri="http://schemas.microsoft.com/office/word/2010/wordprocessingShape">
                  <wps:wsp>
                    <wps:cNvSpPr/>
                    <wps:spPr>
                      <a:xfrm>
                        <a:off x="0" y="0"/>
                        <a:ext cx="7407729" cy="699935"/>
                      </a:xfrm>
                      <a:prstGeom prst="verticalScroll">
                        <a:avLst/>
                      </a:prstGeom>
                      <a:noFill/>
                    </wps:spPr>
                    <wps:style>
                      <a:lnRef idx="2">
                        <a:schemeClr val="dk1"/>
                      </a:lnRef>
                      <a:fillRef idx="1">
                        <a:schemeClr val="lt1"/>
                      </a:fillRef>
                      <a:effectRef idx="0">
                        <a:schemeClr val="dk1"/>
                      </a:effectRef>
                      <a:fontRef idx="minor">
                        <a:schemeClr val="dk1"/>
                      </a:fontRef>
                    </wps:style>
                    <wps:txbx>
                      <w:txbxContent>
                        <w:p w:rsidR="005851EB" w:rsidRPr="009979DC" w:rsidRDefault="005851EB" w:rsidP="000D26A5">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EE3B5D2"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209" o:spid="_x0000_s1057" type="#_x0000_t97" style="position:absolute;left:0;text-align:left;margin-left:4.85pt;margin-top:-17.05pt;width:583.3pt;height:55.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" filled="f" strokecolor="black [3200]" strokeweight="1pt">
              <v:stroke joinstyle="miter"/>
              <v:textbox>
                <w:txbxContent>
                  <w:p w14:paraId="6EF15F44" w14:textId="77777777" w:rsidR="005851EB" w:rsidRPr="009979DC" w:rsidRDefault="005851EB" w:rsidP="000D26A5">
                    <w:pPr>
                      <w:jc w:val="center"/>
                      <w:rPr>
                        <w:color w:val="FFFFFF" w:themeColor="background1"/>
                        <w14:textFill>
                          <w14:noFill/>
                        </w14:textFill>
                      </w:rPr>
                    </w:pPr>
                  </w:p>
                </w:txbxContent>
              </v:textbox>
              <w10:wrap anchorx="page"/>
            </v:shape>
          </w:pict>
        </mc:Fallback>
      </mc:AlternateContent>
    </w:r>
    <w:r w:rsidRPr="00591F2C">
      <w:rPr>
        <w:rFonts w:ascii="Times New Roman" w:hAnsi="Times New Roman"/>
        <w:b/>
        <w:sz w:val="18"/>
        <w:szCs w:val="18"/>
      </w:rPr>
      <w:t xml:space="preserve">EVALUATION ENVIRONNEMENTALE </w:t>
    </w:r>
    <w:r>
      <w:rPr>
        <w:rFonts w:ascii="Times New Roman" w:hAnsi="Times New Roman"/>
        <w:b/>
        <w:sz w:val="18"/>
        <w:szCs w:val="18"/>
      </w:rPr>
      <w:t>STRATEGIQUE (EES) </w:t>
    </w:r>
  </w:p>
  <w:p w:rsidR="005851EB" w:rsidRPr="007945F0" w:rsidRDefault="005851EB" w:rsidP="007945F0">
    <w:pPr>
      <w:pStyle w:val="Cabealho"/>
      <w:spacing w:after="0" w:line="240" w:lineRule="auto"/>
      <w:jc w:val="right"/>
      <w:rPr>
        <w:rFonts w:ascii="Times New Roman" w:hAnsi="Times New Roman"/>
        <w:b/>
        <w:bCs/>
        <w:sz w:val="28"/>
        <w:szCs w:val="28"/>
      </w:rPr>
    </w:pPr>
    <w:r w:rsidRPr="00D65289">
      <w:rPr>
        <w:rFonts w:ascii="Times New Roman" w:hAnsi="Times New Roman"/>
        <w:b/>
        <w:bCs/>
        <w:iCs/>
        <w:sz w:val="28"/>
        <w:szCs w:val="28"/>
      </w:rPr>
      <w:t>Projet de Sécurité Alimentaire d'Urgence en Guinée Bissau</w:t>
    </w:r>
    <w:r>
      <w:rPr>
        <w:rFonts w:ascii="Times New Roman" w:hAnsi="Times New Roman"/>
        <w:b/>
        <w:bCs/>
        <w:iCs/>
        <w:sz w:val="28"/>
        <w:szCs w:val="28"/>
      </w:rPr>
      <w:t xml:space="preserve"> (PUSA)</w:t>
    </w:r>
    <w:r w:rsidRPr="00D65289">
      <w:rPr>
        <w:rFonts w:ascii="Times New Roman" w:hAnsi="Times New Roman"/>
        <w:b/>
        <w:noProof/>
        <w:sz w:val="28"/>
        <w:szCs w:val="28"/>
      </w:rPr>
      <w:t xml:space="preserve"> </w:t>
    </w:r>
    <w:r>
      <w:rPr>
        <w:rFonts w:ascii="Times New Roman" w:hAnsi="Times New Roman"/>
        <w:b/>
        <w:bCs/>
        <w:sz w:val="28"/>
        <w:szCs w:val="28"/>
      </w:rPr>
      <w:t xml:space="preserve">               </w:t>
    </w: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RAPPORT CGES 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5pt;height:14.5pt" o:bullet="t">
        <v:imagedata r:id="rId1" o:title="mso5E57"/>
      </v:shape>
    </w:pict>
  </w:numPicBullet>
  <w:numPicBullet w:numPicBulletId="1">
    <w:pict>
      <v:shape id="_x0000_i1029" type="#_x0000_t75" style="width:.6pt;height:.6pt;visibility:visible" o:bullet="t">
        <v:imagedata r:id="rId2" o:title=""/>
      </v:shape>
    </w:pict>
  </w:numPicBullet>
  <w:abstractNum w:abstractNumId="0">
    <w:nsid w:val="FFFFFF7F"/>
    <w:multiLevelType w:val="singleLevel"/>
    <w:tmpl w:val="E6E0D85C"/>
    <w:lvl w:ilvl="0">
      <w:start w:val="1"/>
      <w:numFmt w:val="decimal"/>
      <w:pStyle w:val="Listanumerada2"/>
      <w:lvlText w:val="%1."/>
      <w:lvlJc w:val="left"/>
      <w:pPr>
        <w:tabs>
          <w:tab w:val="num" w:pos="643"/>
        </w:tabs>
        <w:ind w:left="643" w:hanging="360"/>
      </w:pPr>
    </w:lvl>
  </w:abstractNum>
  <w:abstractNum w:abstractNumId="1">
    <w:nsid w:val="FFFFFF81"/>
    <w:multiLevelType w:val="singleLevel"/>
    <w:tmpl w:val="646E6716"/>
    <w:lvl w:ilvl="0">
      <w:start w:val="1"/>
      <w:numFmt w:val="bullet"/>
      <w:pStyle w:val="Listacommarcas4"/>
      <w:lvlText w:val=""/>
      <w:lvlJc w:val="left"/>
      <w:pPr>
        <w:tabs>
          <w:tab w:val="num" w:pos="1440"/>
        </w:tabs>
        <w:ind w:left="1440" w:hanging="360"/>
      </w:pPr>
      <w:rPr>
        <w:rFonts w:ascii="Symbol" w:hAnsi="Symbol" w:hint="default"/>
      </w:rPr>
    </w:lvl>
  </w:abstractNum>
  <w:abstractNum w:abstractNumId="2">
    <w:nsid w:val="FFFFFF83"/>
    <w:multiLevelType w:val="singleLevel"/>
    <w:tmpl w:val="32320A82"/>
    <w:lvl w:ilvl="0">
      <w:start w:val="1"/>
      <w:numFmt w:val="bullet"/>
      <w:pStyle w:val="Listacommarcas2"/>
      <w:lvlText w:val=""/>
      <w:lvlJc w:val="left"/>
      <w:pPr>
        <w:tabs>
          <w:tab w:val="num" w:pos="643"/>
        </w:tabs>
        <w:ind w:left="643" w:hanging="360"/>
      </w:pPr>
      <w:rPr>
        <w:rFonts w:ascii="Symbol" w:hAnsi="Symbol" w:hint="default"/>
      </w:rPr>
    </w:lvl>
  </w:abstractNum>
  <w:abstractNum w:abstractNumId="3">
    <w:nsid w:val="FFFFFF89"/>
    <w:multiLevelType w:val="singleLevel"/>
    <w:tmpl w:val="E83C05D8"/>
    <w:lvl w:ilvl="0">
      <w:start w:val="1"/>
      <w:numFmt w:val="bullet"/>
      <w:pStyle w:val="Listacommarcas"/>
      <w:lvlText w:val=""/>
      <w:lvlJc w:val="left"/>
      <w:pPr>
        <w:tabs>
          <w:tab w:val="num" w:pos="360"/>
        </w:tabs>
        <w:ind w:left="360" w:hanging="360"/>
      </w:pPr>
      <w:rPr>
        <w:rFonts w:ascii="Symbol" w:hAnsi="Symbol" w:hint="default"/>
      </w:rPr>
    </w:lvl>
  </w:abstractNum>
  <w:abstractNum w:abstractNumId="4">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1B"/>
    <w:multiLevelType w:val="multilevel"/>
    <w:tmpl w:val="29F63806"/>
    <w:lvl w:ilvl="0">
      <w:start w:val="1"/>
      <w:numFmt w:val="decimal"/>
      <w:pStyle w:val="AATitre3"/>
      <w:lvlText w:val="%1."/>
      <w:lvlJc w:val="left"/>
      <w:pPr>
        <w:tabs>
          <w:tab w:val="num" w:pos="1827"/>
        </w:tabs>
        <w:ind w:left="0" w:firstLine="0"/>
      </w:pPr>
      <w:rPr>
        <w:rFonts w:ascii="Times New Roman Gras" w:hAnsi="Times New Roman Gras" w:hint="default"/>
        <w:b/>
        <w:i w:val="0"/>
        <w:color w:val="auto"/>
        <w:sz w:val="22"/>
        <w:u w:val="none"/>
      </w:rPr>
    </w:lvl>
    <w:lvl w:ilvl="1">
      <w:start w:val="1"/>
      <w:numFmt w:val="decimal"/>
      <w:lvlText w:val="%1.%2"/>
      <w:lvlJc w:val="left"/>
      <w:pPr>
        <w:tabs>
          <w:tab w:val="num" w:pos="2234"/>
        </w:tabs>
        <w:ind w:left="0" w:firstLine="0"/>
      </w:pPr>
      <w:rPr>
        <w:rFonts w:ascii="Myriad Pro Black" w:hAnsi="Myriad Pro Black" w:cs="Myriad Pro Black" w:hint="default"/>
        <w:b w:val="0"/>
        <w:i w:val="0"/>
        <w:color w:val="auto"/>
        <w:sz w:val="22"/>
        <w:u w:val="none"/>
      </w:rPr>
    </w:lvl>
    <w:lvl w:ilvl="2">
      <w:start w:val="1"/>
      <w:numFmt w:val="decimal"/>
      <w:lvlText w:val="%1.%2.%3"/>
      <w:lvlJc w:val="left"/>
      <w:pPr>
        <w:tabs>
          <w:tab w:val="num" w:pos="1827"/>
        </w:tabs>
        <w:ind w:left="0" w:firstLine="0"/>
      </w:pPr>
      <w:rPr>
        <w:rFonts w:ascii="Myriad Pro Black" w:hAnsi="Myriad Pro Black" w:cs="Myriad Pro Black" w:hint="default"/>
        <w:b w:val="0"/>
        <w:i w:val="0"/>
        <w:color w:val="auto"/>
        <w:sz w:val="22"/>
        <w:u w:val="none"/>
      </w:rPr>
    </w:lvl>
    <w:lvl w:ilvl="3">
      <w:start w:val="1"/>
      <w:numFmt w:val="lowerLetter"/>
      <w:lvlText w:val="(%4)"/>
      <w:lvlJc w:val="left"/>
      <w:pPr>
        <w:tabs>
          <w:tab w:val="num" w:pos="360"/>
        </w:tabs>
        <w:ind w:left="360" w:hanging="360"/>
      </w:pPr>
      <w:rPr>
        <w:rFonts w:ascii="Arial" w:hAnsi="Arial" w:hint="default"/>
        <w:b/>
        <w:i w:val="0"/>
        <w:sz w:val="20"/>
      </w:rPr>
    </w:lvl>
    <w:lvl w:ilvl="4">
      <w:start w:val="1"/>
      <w:numFmt w:val="lowerRoman"/>
      <w:lvlText w:val="(%5)"/>
      <w:lvlJc w:val="left"/>
      <w:pPr>
        <w:tabs>
          <w:tab w:val="num" w:pos="720"/>
        </w:tabs>
        <w:ind w:left="360" w:hanging="360"/>
      </w:pPr>
      <w:rPr>
        <w:rFonts w:ascii="Arial" w:hAnsi="Arial" w:hint="default"/>
        <w:b w:val="0"/>
        <w:i w:val="0"/>
        <w:sz w:val="20"/>
      </w:rPr>
    </w:lvl>
    <w:lvl w:ilvl="5">
      <w:start w:val="1"/>
      <w:numFmt w:val="decimal"/>
      <w:lvlText w:val="%1.%2.%3.%4.%5.%6"/>
      <w:lvlJc w:val="left"/>
      <w:pPr>
        <w:tabs>
          <w:tab w:val="num" w:pos="1845"/>
        </w:tabs>
        <w:ind w:left="0" w:firstLine="0"/>
      </w:pPr>
      <w:rPr>
        <w:rFonts w:hint="default"/>
      </w:rPr>
    </w:lvl>
    <w:lvl w:ilvl="6">
      <w:start w:val="1"/>
      <w:numFmt w:val="decimal"/>
      <w:lvlText w:val="%1.%2.%3.%4.%5.%6.%7"/>
      <w:lvlJc w:val="left"/>
      <w:pPr>
        <w:tabs>
          <w:tab w:val="num" w:pos="1989"/>
        </w:tabs>
        <w:ind w:left="0" w:firstLine="0"/>
      </w:pPr>
      <w:rPr>
        <w:rFonts w:hint="default"/>
      </w:rPr>
    </w:lvl>
    <w:lvl w:ilvl="7">
      <w:start w:val="1"/>
      <w:numFmt w:val="decimal"/>
      <w:lvlText w:val="%1.%2.%3.%4.%5.%6.%7.%8"/>
      <w:lvlJc w:val="left"/>
      <w:pPr>
        <w:tabs>
          <w:tab w:val="num" w:pos="2133"/>
        </w:tabs>
        <w:ind w:left="0" w:firstLine="0"/>
      </w:pPr>
      <w:rPr>
        <w:rFonts w:hint="default"/>
      </w:rPr>
    </w:lvl>
    <w:lvl w:ilvl="8">
      <w:start w:val="1"/>
      <w:numFmt w:val="decimal"/>
      <w:lvlText w:val="%1.%2.%3.%4.%5.%6.%7.%8.%9"/>
      <w:lvlJc w:val="left"/>
      <w:pPr>
        <w:tabs>
          <w:tab w:val="num" w:pos="2277"/>
        </w:tabs>
        <w:ind w:left="0" w:firstLine="0"/>
      </w:pPr>
      <w:rPr>
        <w:rFonts w:hint="default"/>
      </w:rPr>
    </w:lvl>
  </w:abstractNum>
  <w:abstractNum w:abstractNumId="6">
    <w:nsid w:val="003A6547"/>
    <w:multiLevelType w:val="hybridMultilevel"/>
    <w:tmpl w:val="F8F09AC2"/>
    <w:lvl w:ilvl="0" w:tplc="12C0C8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1E56C87"/>
    <w:multiLevelType w:val="hybridMultilevel"/>
    <w:tmpl w:val="67AEFB90"/>
    <w:lvl w:ilvl="0" w:tplc="040C0005">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8">
    <w:nsid w:val="023F6747"/>
    <w:multiLevelType w:val="multilevel"/>
    <w:tmpl w:val="B1AE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30639E0"/>
    <w:multiLevelType w:val="hybridMultilevel"/>
    <w:tmpl w:val="EB604AB8"/>
    <w:lvl w:ilvl="0" w:tplc="40E2B3E4">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041540A7"/>
    <w:multiLevelType w:val="hybridMultilevel"/>
    <w:tmpl w:val="F386DCFE"/>
    <w:lvl w:ilvl="0" w:tplc="25AA4D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7155A0E"/>
    <w:multiLevelType w:val="hybridMultilevel"/>
    <w:tmpl w:val="1DEEA230"/>
    <w:lvl w:ilvl="0" w:tplc="00000001">
      <w:numFmt w:val="bullet"/>
      <w:lvlText w:val="."/>
      <w:lvlJc w:val="left"/>
      <w:pPr>
        <w:ind w:left="720" w:hanging="360"/>
      </w:pPr>
    </w:lvl>
    <w:lvl w:ilvl="1" w:tplc="040C000D">
      <w:start w:val="1"/>
      <w:numFmt w:val="bullet"/>
      <w:lvlText w:val=""/>
      <w:lvlJc w:val="left"/>
      <w:pPr>
        <w:ind w:left="1893"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74642D6"/>
    <w:multiLevelType w:val="hybridMultilevel"/>
    <w:tmpl w:val="83BC5F74"/>
    <w:lvl w:ilvl="0" w:tplc="39EA2D9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08138641"/>
    <w:multiLevelType w:val="hybridMultilevel"/>
    <w:tmpl w:val="E9B2EA58"/>
    <w:lvl w:ilvl="0" w:tplc="B4C4350E">
      <w:start w:val="1"/>
      <w:numFmt w:val="bullet"/>
      <w:lvlText w:val=""/>
      <w:lvlJc w:val="left"/>
    </w:lvl>
    <w:lvl w:ilvl="1" w:tplc="EA2A03FA">
      <w:numFmt w:val="decimal"/>
      <w:lvlText w:val=""/>
      <w:lvlJc w:val="left"/>
    </w:lvl>
    <w:lvl w:ilvl="2" w:tplc="EE9A4D5C">
      <w:numFmt w:val="decimal"/>
      <w:lvlText w:val=""/>
      <w:lvlJc w:val="left"/>
    </w:lvl>
    <w:lvl w:ilvl="3" w:tplc="4ABA1850">
      <w:numFmt w:val="decimal"/>
      <w:lvlText w:val=""/>
      <w:lvlJc w:val="left"/>
    </w:lvl>
    <w:lvl w:ilvl="4" w:tplc="347E1904">
      <w:numFmt w:val="decimal"/>
      <w:lvlText w:val=""/>
      <w:lvlJc w:val="left"/>
    </w:lvl>
    <w:lvl w:ilvl="5" w:tplc="0C16E886">
      <w:numFmt w:val="decimal"/>
      <w:lvlText w:val=""/>
      <w:lvlJc w:val="left"/>
    </w:lvl>
    <w:lvl w:ilvl="6" w:tplc="F9B89B6A">
      <w:numFmt w:val="decimal"/>
      <w:lvlText w:val=""/>
      <w:lvlJc w:val="left"/>
    </w:lvl>
    <w:lvl w:ilvl="7" w:tplc="B7DE2F44">
      <w:numFmt w:val="decimal"/>
      <w:lvlText w:val=""/>
      <w:lvlJc w:val="left"/>
    </w:lvl>
    <w:lvl w:ilvl="8" w:tplc="99F4A776">
      <w:numFmt w:val="decimal"/>
      <w:lvlText w:val=""/>
      <w:lvlJc w:val="left"/>
    </w:lvl>
  </w:abstractNum>
  <w:abstractNum w:abstractNumId="14">
    <w:nsid w:val="086D7A73"/>
    <w:multiLevelType w:val="hybridMultilevel"/>
    <w:tmpl w:val="E7068A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343E09"/>
    <w:multiLevelType w:val="hybridMultilevel"/>
    <w:tmpl w:val="2A1CD9D2"/>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09A950CA"/>
    <w:multiLevelType w:val="hybridMultilevel"/>
    <w:tmpl w:val="18C20E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B6A1EAF"/>
    <w:multiLevelType w:val="hybridMultilevel"/>
    <w:tmpl w:val="F17E0586"/>
    <w:lvl w:ilvl="0" w:tplc="4A4A5AC8">
      <w:start w:val="1"/>
      <w:numFmt w:val="bullet"/>
      <w:lvlText w:val=""/>
      <w:lvlJc w:val="left"/>
      <w:pPr>
        <w:ind w:left="4613"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18">
    <w:nsid w:val="0CB53AAD"/>
    <w:multiLevelType w:val="multilevel"/>
    <w:tmpl w:val="57AA8C40"/>
    <w:lvl w:ilvl="0">
      <w:start w:val="1"/>
      <w:numFmt w:val="decimal"/>
      <w:lvlText w:val="%1."/>
      <w:lvlJc w:val="left"/>
      <w:pPr>
        <w:ind w:left="7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420" w:hanging="720"/>
      </w:pPr>
      <w:rPr>
        <w:rFonts w:hint="default"/>
        <w:b/>
        <w:sz w:val="24"/>
        <w:szCs w:val="24"/>
      </w:rPr>
    </w:lvl>
    <w:lvl w:ilvl="3">
      <w:start w:val="1"/>
      <w:numFmt w:val="decimal"/>
      <w:isLgl/>
      <w:lvlText w:val="%1.%2.%3.%4"/>
      <w:lvlJc w:val="left"/>
      <w:pPr>
        <w:ind w:left="2989" w:hanging="720"/>
      </w:pPr>
      <w:rPr>
        <w:rFonts w:hint="default"/>
        <w:b/>
      </w:rPr>
    </w:lvl>
    <w:lvl w:ilvl="4">
      <w:start w:val="1"/>
      <w:numFmt w:val="decimal"/>
      <w:isLgl/>
      <w:lvlText w:val="%1.%2.%3.%4.%5"/>
      <w:lvlJc w:val="left"/>
      <w:pPr>
        <w:ind w:left="4764" w:hanging="1080"/>
      </w:pPr>
      <w:rPr>
        <w:rFonts w:hint="default"/>
      </w:rPr>
    </w:lvl>
    <w:lvl w:ilvl="5">
      <w:start w:val="1"/>
      <w:numFmt w:val="decimal"/>
      <w:isLgl/>
      <w:lvlText w:val="%1.%2.%3.%4.%5.%6"/>
      <w:lvlJc w:val="left"/>
      <w:pPr>
        <w:ind w:left="5756" w:hanging="1080"/>
      </w:pPr>
      <w:rPr>
        <w:rFonts w:hint="default"/>
      </w:rPr>
    </w:lvl>
    <w:lvl w:ilvl="6">
      <w:start w:val="1"/>
      <w:numFmt w:val="decimal"/>
      <w:isLgl/>
      <w:lvlText w:val="%1.%2.%3.%4.%5.%6.%7"/>
      <w:lvlJc w:val="left"/>
      <w:pPr>
        <w:ind w:left="7108"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452" w:hanging="1800"/>
      </w:pPr>
      <w:rPr>
        <w:rFonts w:hint="default"/>
      </w:rPr>
    </w:lvl>
  </w:abstractNum>
  <w:abstractNum w:abstractNumId="19">
    <w:nsid w:val="0CEF6460"/>
    <w:multiLevelType w:val="hybridMultilevel"/>
    <w:tmpl w:val="E4E48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D505C5D"/>
    <w:multiLevelType w:val="hybridMultilevel"/>
    <w:tmpl w:val="DC2E94F6"/>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0D8F4766"/>
    <w:multiLevelType w:val="hybridMultilevel"/>
    <w:tmpl w:val="4ABEA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EE62DD5"/>
    <w:multiLevelType w:val="hybridMultilevel"/>
    <w:tmpl w:val="6F128BBA"/>
    <w:lvl w:ilvl="0" w:tplc="F6FEEF04">
      <w:start w:val="1"/>
      <w:numFmt w:val="upperRoman"/>
      <w:pStyle w:val="Style5"/>
      <w:lvlText w:val="%1."/>
      <w:lvlJc w:val="right"/>
      <w:pPr>
        <w:ind w:left="720" w:hanging="360"/>
      </w:pPr>
    </w:lvl>
    <w:lvl w:ilvl="1" w:tplc="7D06C4B8">
      <w:start w:val="1"/>
      <w:numFmt w:val="lowerLetter"/>
      <w:lvlText w:val="(%2)"/>
      <w:lvlJc w:val="left"/>
      <w:pPr>
        <w:tabs>
          <w:tab w:val="num" w:pos="1440"/>
        </w:tabs>
        <w:ind w:left="1440" w:hanging="360"/>
      </w:pPr>
      <w:rPr>
        <w:rFonts w:hint="default"/>
      </w:rPr>
    </w:lvl>
    <w:lvl w:ilvl="2" w:tplc="0409001B">
      <w:start w:val="1"/>
      <w:numFmt w:val="lowerRoman"/>
      <w:lvlText w:val="%3."/>
      <w:lvlJc w:val="right"/>
      <w:pPr>
        <w:ind w:left="2160" w:hanging="180"/>
      </w:pPr>
    </w:lvl>
    <w:lvl w:ilvl="3" w:tplc="9BEC289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EF1E57"/>
    <w:multiLevelType w:val="hybridMultilevel"/>
    <w:tmpl w:val="8BF26B2E"/>
    <w:lvl w:ilvl="0" w:tplc="040C000B">
      <w:start w:val="1"/>
      <w:numFmt w:val="bullet"/>
      <w:lvlText w:val=""/>
      <w:lvlJc w:val="left"/>
      <w:pPr>
        <w:ind w:left="720" w:hanging="360"/>
      </w:pPr>
      <w:rPr>
        <w:rFonts w:ascii="Wingdings" w:hAnsi="Wingdings" w:hint="default"/>
      </w:rPr>
    </w:lvl>
    <w:lvl w:ilvl="1" w:tplc="48508B4A">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10515C2"/>
    <w:multiLevelType w:val="hybridMultilevel"/>
    <w:tmpl w:val="E12C0C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2561B3D"/>
    <w:multiLevelType w:val="hybridMultilevel"/>
    <w:tmpl w:val="5E30F1BA"/>
    <w:lvl w:ilvl="0" w:tplc="040C000D">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6">
    <w:nsid w:val="12E21E39"/>
    <w:multiLevelType w:val="hybridMultilevel"/>
    <w:tmpl w:val="320A059A"/>
    <w:lvl w:ilvl="0" w:tplc="25AA4D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31C5FC4"/>
    <w:multiLevelType w:val="hybridMultilevel"/>
    <w:tmpl w:val="0A2A4FB0"/>
    <w:lvl w:ilvl="0" w:tplc="E7648CCE">
      <w:start w:val="1"/>
      <w:numFmt w:val="lowerLetter"/>
      <w:lvlText w:val="(%1)"/>
      <w:lvlJc w:val="left"/>
      <w:pPr>
        <w:ind w:left="456" w:hanging="456"/>
      </w:pPr>
      <w:rPr>
        <w:rFonts w:hint="default"/>
        <w:lang w:val="en-US"/>
      </w:rPr>
    </w:lvl>
    <w:lvl w:ilvl="1" w:tplc="EEAA842C">
      <w:start w:val="28"/>
      <w:numFmt w:val="lowerLetter"/>
      <w:pStyle w:val="Outline2"/>
      <w:lvlText w:val="(%2)"/>
      <w:lvlJc w:val="left"/>
      <w:pPr>
        <w:tabs>
          <w:tab w:val="num" w:pos="1080"/>
        </w:tabs>
        <w:ind w:left="1080" w:hanging="360"/>
      </w:pPr>
      <w:rPr>
        <w:rFonts w:hint="default"/>
      </w:rPr>
    </w:lvl>
    <w:lvl w:ilvl="2" w:tplc="0409001B" w:tentative="1">
      <w:start w:val="1"/>
      <w:numFmt w:val="lowerRoman"/>
      <w:pStyle w:val="Outline3"/>
      <w:lvlText w:val="%3."/>
      <w:lvlJc w:val="right"/>
      <w:pPr>
        <w:ind w:left="1800" w:hanging="180"/>
      </w:pPr>
    </w:lvl>
    <w:lvl w:ilvl="3" w:tplc="0409000F" w:tentative="1">
      <w:start w:val="1"/>
      <w:numFmt w:val="decimal"/>
      <w:pStyle w:val="Outline4"/>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4163308"/>
    <w:multiLevelType w:val="hybridMultilevel"/>
    <w:tmpl w:val="8EFAB330"/>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14B50686"/>
    <w:multiLevelType w:val="hybridMultilevel"/>
    <w:tmpl w:val="D4124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CB5F59"/>
    <w:multiLevelType w:val="hybridMultilevel"/>
    <w:tmpl w:val="5A26E4C4"/>
    <w:lvl w:ilvl="0" w:tplc="D9B0E274">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160E3C24"/>
    <w:multiLevelType w:val="multilevel"/>
    <w:tmpl w:val="E8BC293E"/>
    <w:lvl w:ilvl="0">
      <w:start w:val="9"/>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2">
    <w:nsid w:val="173E50E7"/>
    <w:multiLevelType w:val="hybridMultilevel"/>
    <w:tmpl w:val="A2949C88"/>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3">
    <w:nsid w:val="175428B6"/>
    <w:multiLevelType w:val="hybridMultilevel"/>
    <w:tmpl w:val="10284B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7C21181"/>
    <w:multiLevelType w:val="hybridMultilevel"/>
    <w:tmpl w:val="7DA488FC"/>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5">
    <w:nsid w:val="189A769B"/>
    <w:multiLevelType w:val="hybridMultilevel"/>
    <w:tmpl w:val="B8A89B34"/>
    <w:lvl w:ilvl="0" w:tplc="9E0CCB9C">
      <w:start w:val="1"/>
      <w:numFmt w:val="bullet"/>
      <w:lvlText w:val=""/>
      <w:lvlJc w:val="left"/>
    </w:lvl>
    <w:lvl w:ilvl="1" w:tplc="CF9C17AE">
      <w:numFmt w:val="decimal"/>
      <w:lvlText w:val=""/>
      <w:lvlJc w:val="left"/>
    </w:lvl>
    <w:lvl w:ilvl="2" w:tplc="BE44B220">
      <w:numFmt w:val="decimal"/>
      <w:lvlText w:val=""/>
      <w:lvlJc w:val="left"/>
    </w:lvl>
    <w:lvl w:ilvl="3" w:tplc="18D04BB6">
      <w:numFmt w:val="decimal"/>
      <w:lvlText w:val=""/>
      <w:lvlJc w:val="left"/>
    </w:lvl>
    <w:lvl w:ilvl="4" w:tplc="1E226736">
      <w:numFmt w:val="decimal"/>
      <w:lvlText w:val=""/>
      <w:lvlJc w:val="left"/>
    </w:lvl>
    <w:lvl w:ilvl="5" w:tplc="1A185E08">
      <w:numFmt w:val="decimal"/>
      <w:lvlText w:val=""/>
      <w:lvlJc w:val="left"/>
    </w:lvl>
    <w:lvl w:ilvl="6" w:tplc="B748FE76">
      <w:numFmt w:val="decimal"/>
      <w:lvlText w:val=""/>
      <w:lvlJc w:val="left"/>
    </w:lvl>
    <w:lvl w:ilvl="7" w:tplc="8D325010">
      <w:numFmt w:val="decimal"/>
      <w:lvlText w:val=""/>
      <w:lvlJc w:val="left"/>
    </w:lvl>
    <w:lvl w:ilvl="8" w:tplc="C4F0B6AE">
      <w:numFmt w:val="decimal"/>
      <w:lvlText w:val=""/>
      <w:lvlJc w:val="left"/>
    </w:lvl>
  </w:abstractNum>
  <w:abstractNum w:abstractNumId="36">
    <w:nsid w:val="19CB24FA"/>
    <w:multiLevelType w:val="hybridMultilevel"/>
    <w:tmpl w:val="16B22832"/>
    <w:lvl w:ilvl="0" w:tplc="23CA4284">
      <w:start w:val="1"/>
      <w:numFmt w:val="decimal"/>
      <w:lvlText w:val="%1."/>
      <w:lvlJc w:val="left"/>
      <w:pPr>
        <w:ind w:left="1095" w:hanging="7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1A851F89"/>
    <w:multiLevelType w:val="hybridMultilevel"/>
    <w:tmpl w:val="1540A5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1CA64514"/>
    <w:multiLevelType w:val="hybridMultilevel"/>
    <w:tmpl w:val="48DE022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CE1186F"/>
    <w:multiLevelType w:val="multilevel"/>
    <w:tmpl w:val="E998FAFE"/>
    <w:lvl w:ilvl="0">
      <w:start w:val="1"/>
      <w:numFmt w:val="decimal"/>
      <w:lvlText w:val="%1."/>
      <w:lvlJc w:val="left"/>
      <w:pPr>
        <w:ind w:left="720" w:hanging="360"/>
      </w:pPr>
    </w:lvl>
    <w:lvl w:ilvl="1">
      <w:start w:val="1"/>
      <w:numFmt w:val="decimal"/>
      <w:isLgl/>
      <w:lvlText w:val="%1.%2"/>
      <w:lvlJc w:val="left"/>
      <w:pPr>
        <w:ind w:left="1571" w:hanging="720"/>
      </w:pPr>
      <w:rPr>
        <w:rFonts w:hint="default"/>
        <w:color w:val="000000" w:themeColor="text1"/>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40">
    <w:nsid w:val="1DFB515F"/>
    <w:multiLevelType w:val="hybridMultilevel"/>
    <w:tmpl w:val="CCC437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1E68387F"/>
    <w:multiLevelType w:val="hybridMultilevel"/>
    <w:tmpl w:val="2DAED932"/>
    <w:lvl w:ilvl="0" w:tplc="0E2E50B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1E93360C"/>
    <w:multiLevelType w:val="hybridMultilevel"/>
    <w:tmpl w:val="574A27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1EB96187"/>
    <w:multiLevelType w:val="hybridMultilevel"/>
    <w:tmpl w:val="8282401A"/>
    <w:lvl w:ilvl="0" w:tplc="040C0009">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1ECD44CB"/>
    <w:multiLevelType w:val="hybridMultilevel"/>
    <w:tmpl w:val="F0BCEF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587D45"/>
    <w:multiLevelType w:val="hybridMultilevel"/>
    <w:tmpl w:val="E2A2DE18"/>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nsid w:val="24F917E6"/>
    <w:multiLevelType w:val="hybridMultilevel"/>
    <w:tmpl w:val="23AE12F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25591382"/>
    <w:multiLevelType w:val="hybridMultilevel"/>
    <w:tmpl w:val="35623D8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64A0FF7"/>
    <w:multiLevelType w:val="hybridMultilevel"/>
    <w:tmpl w:val="65B667E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26A42819"/>
    <w:multiLevelType w:val="hybridMultilevel"/>
    <w:tmpl w:val="A28C767C"/>
    <w:lvl w:ilvl="0" w:tplc="040C0009">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51">
    <w:nsid w:val="273A1D3F"/>
    <w:multiLevelType w:val="hybridMultilevel"/>
    <w:tmpl w:val="44C0ECC4"/>
    <w:lvl w:ilvl="0" w:tplc="040C000F">
      <w:start w:val="1"/>
      <w:numFmt w:val="decimal"/>
      <w:lvlText w:val="%1."/>
      <w:lvlJc w:val="lef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52">
    <w:nsid w:val="278565A3"/>
    <w:multiLevelType w:val="hybridMultilevel"/>
    <w:tmpl w:val="3438AC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27BB6478"/>
    <w:multiLevelType w:val="hybridMultilevel"/>
    <w:tmpl w:val="A120C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7CB5525"/>
    <w:multiLevelType w:val="hybridMultilevel"/>
    <w:tmpl w:val="8B70B9BE"/>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55">
    <w:nsid w:val="29044835"/>
    <w:multiLevelType w:val="hybridMultilevel"/>
    <w:tmpl w:val="9F201252"/>
    <w:lvl w:ilvl="0" w:tplc="040C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296838A7"/>
    <w:multiLevelType w:val="multilevel"/>
    <w:tmpl w:val="3064CB52"/>
    <w:lvl w:ilvl="0">
      <w:start w:val="8"/>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29AC5C80"/>
    <w:multiLevelType w:val="hybridMultilevel"/>
    <w:tmpl w:val="EC6C68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2A676866"/>
    <w:multiLevelType w:val="hybridMultilevel"/>
    <w:tmpl w:val="C2466CD6"/>
    <w:lvl w:ilvl="0" w:tplc="43B4BB46">
      <w:start w:val="1"/>
      <w:numFmt w:val="bullet"/>
      <w:lvlText w:val=""/>
      <w:lvlJc w:val="left"/>
      <w:pPr>
        <w:ind w:left="1211"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nsid w:val="2B040577"/>
    <w:multiLevelType w:val="hybridMultilevel"/>
    <w:tmpl w:val="2AD0D78E"/>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2B5B7234"/>
    <w:multiLevelType w:val="hybridMultilevel"/>
    <w:tmpl w:val="2EDCF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2BFE5F82"/>
    <w:multiLevelType w:val="hybridMultilevel"/>
    <w:tmpl w:val="33A0D32C"/>
    <w:lvl w:ilvl="0" w:tplc="4BBE0C7C">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nsid w:val="2CD05ED7"/>
    <w:multiLevelType w:val="hybridMultilevel"/>
    <w:tmpl w:val="374853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2D100261"/>
    <w:multiLevelType w:val="multilevel"/>
    <w:tmpl w:val="2D1002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E164A0D"/>
    <w:multiLevelType w:val="hybridMultilevel"/>
    <w:tmpl w:val="1A487BBC"/>
    <w:lvl w:ilvl="0" w:tplc="4A4A5A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2E8720B3"/>
    <w:multiLevelType w:val="hybridMultilevel"/>
    <w:tmpl w:val="81FE6B98"/>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6">
    <w:nsid w:val="2EA8276B"/>
    <w:multiLevelType w:val="hybridMultilevel"/>
    <w:tmpl w:val="9A2ADA8E"/>
    <w:lvl w:ilvl="0" w:tplc="E28C90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2EDB5280"/>
    <w:multiLevelType w:val="hybridMultilevel"/>
    <w:tmpl w:val="595EE630"/>
    <w:lvl w:ilvl="0" w:tplc="040C000D">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8">
    <w:nsid w:val="3019737D"/>
    <w:multiLevelType w:val="hybridMultilevel"/>
    <w:tmpl w:val="85F0CFD2"/>
    <w:lvl w:ilvl="0" w:tplc="040C0009">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9">
    <w:nsid w:val="30555671"/>
    <w:multiLevelType w:val="hybridMultilevel"/>
    <w:tmpl w:val="DE146490"/>
    <w:lvl w:ilvl="0" w:tplc="DC007F0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DC007F00">
      <w:numFmt w:val="bullet"/>
      <w:lvlText w:val="-"/>
      <w:lvlJc w:val="left"/>
      <w:pPr>
        <w:ind w:left="2160" w:hanging="360"/>
      </w:pPr>
      <w:rPr>
        <w:rFonts w:ascii="Calibri" w:eastAsia="Calibri" w:hAnsi="Calibri"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308E6708"/>
    <w:multiLevelType w:val="hybridMultilevel"/>
    <w:tmpl w:val="F5C08AD0"/>
    <w:lvl w:ilvl="0" w:tplc="EAE86FB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10D7795"/>
    <w:multiLevelType w:val="multilevel"/>
    <w:tmpl w:val="E6840B40"/>
    <w:lvl w:ilvl="0">
      <w:start w:val="1"/>
      <w:numFmt w:val="decimal"/>
      <w:pStyle w:val="Section8Heading2"/>
      <w:lvlText w:val="%1."/>
      <w:lvlJc w:val="left"/>
      <w:pPr>
        <w:ind w:left="720" w:hanging="360"/>
      </w:pPr>
    </w:lvl>
    <w:lvl w:ilvl="1">
      <w:start w:val="1"/>
      <w:numFmt w:val="decimal"/>
      <w:isLgl/>
      <w:lvlText w:val="%1.%2."/>
      <w:lvlJc w:val="left"/>
      <w:pPr>
        <w:ind w:left="720" w:hanging="360"/>
      </w:pPr>
      <w:rPr>
        <w:rFonts w:hint="default"/>
      </w:rPr>
    </w:lvl>
    <w:lvl w:ilvl="2">
      <w:start w:val="1"/>
      <w:numFmt w:val="decimal"/>
      <w:pStyle w:val="titre4"/>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12D4989"/>
    <w:multiLevelType w:val="hybridMultilevel"/>
    <w:tmpl w:val="938278DA"/>
    <w:lvl w:ilvl="0" w:tplc="040C000D">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73">
    <w:nsid w:val="319439E6"/>
    <w:multiLevelType w:val="multilevel"/>
    <w:tmpl w:val="0CDCACCE"/>
    <w:lvl w:ilvl="0">
      <w:start w:val="1"/>
      <w:numFmt w:val="lowerLetter"/>
      <w:pStyle w:val="StyleMainParanoChapter11ptBold"/>
      <w:lvlText w:val="%1."/>
      <w:lvlJc w:val="left"/>
      <w:pPr>
        <w:tabs>
          <w:tab w:val="num" w:pos="360"/>
        </w:tabs>
        <w:ind w:left="360" w:hanging="360"/>
      </w:pPr>
      <w:rPr>
        <w:rFonts w:hint="default"/>
        <w:b w:val="0"/>
        <w:i w:val="0"/>
      </w:rPr>
    </w:lvl>
    <w:lvl w:ilvl="1">
      <w:start w:val="1"/>
      <w:numFmt w:val="decimal"/>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31E67E7D"/>
    <w:multiLevelType w:val="hybridMultilevel"/>
    <w:tmpl w:val="8A988D24"/>
    <w:lvl w:ilvl="0" w:tplc="040C000D">
      <w:start w:val="1"/>
      <w:numFmt w:val="bullet"/>
      <w:lvlText w:val=""/>
      <w:lvlJc w:val="left"/>
      <w:pPr>
        <w:ind w:left="1893" w:hanging="360"/>
      </w:pPr>
      <w:rPr>
        <w:rFonts w:ascii="Wingdings" w:hAnsi="Wingdings" w:hint="default"/>
      </w:rPr>
    </w:lvl>
    <w:lvl w:ilvl="1" w:tplc="040C0003" w:tentative="1">
      <w:start w:val="1"/>
      <w:numFmt w:val="bullet"/>
      <w:lvlText w:val="o"/>
      <w:lvlJc w:val="left"/>
      <w:pPr>
        <w:ind w:left="2613" w:hanging="360"/>
      </w:pPr>
      <w:rPr>
        <w:rFonts w:ascii="Courier New" w:hAnsi="Courier New" w:cs="Courier New" w:hint="default"/>
      </w:rPr>
    </w:lvl>
    <w:lvl w:ilvl="2" w:tplc="040C0005" w:tentative="1">
      <w:start w:val="1"/>
      <w:numFmt w:val="bullet"/>
      <w:lvlText w:val=""/>
      <w:lvlJc w:val="left"/>
      <w:pPr>
        <w:ind w:left="3333" w:hanging="360"/>
      </w:pPr>
      <w:rPr>
        <w:rFonts w:ascii="Wingdings" w:hAnsi="Wingdings" w:hint="default"/>
      </w:rPr>
    </w:lvl>
    <w:lvl w:ilvl="3" w:tplc="040C0001" w:tentative="1">
      <w:start w:val="1"/>
      <w:numFmt w:val="bullet"/>
      <w:lvlText w:val=""/>
      <w:lvlJc w:val="left"/>
      <w:pPr>
        <w:ind w:left="4053" w:hanging="360"/>
      </w:pPr>
      <w:rPr>
        <w:rFonts w:ascii="Symbol" w:hAnsi="Symbol" w:hint="default"/>
      </w:rPr>
    </w:lvl>
    <w:lvl w:ilvl="4" w:tplc="040C0003" w:tentative="1">
      <w:start w:val="1"/>
      <w:numFmt w:val="bullet"/>
      <w:lvlText w:val="o"/>
      <w:lvlJc w:val="left"/>
      <w:pPr>
        <w:ind w:left="4773" w:hanging="360"/>
      </w:pPr>
      <w:rPr>
        <w:rFonts w:ascii="Courier New" w:hAnsi="Courier New" w:cs="Courier New" w:hint="default"/>
      </w:rPr>
    </w:lvl>
    <w:lvl w:ilvl="5" w:tplc="040C0005" w:tentative="1">
      <w:start w:val="1"/>
      <w:numFmt w:val="bullet"/>
      <w:lvlText w:val=""/>
      <w:lvlJc w:val="left"/>
      <w:pPr>
        <w:ind w:left="5493" w:hanging="360"/>
      </w:pPr>
      <w:rPr>
        <w:rFonts w:ascii="Wingdings" w:hAnsi="Wingdings" w:hint="default"/>
      </w:rPr>
    </w:lvl>
    <w:lvl w:ilvl="6" w:tplc="040C0001" w:tentative="1">
      <w:start w:val="1"/>
      <w:numFmt w:val="bullet"/>
      <w:lvlText w:val=""/>
      <w:lvlJc w:val="left"/>
      <w:pPr>
        <w:ind w:left="6213" w:hanging="360"/>
      </w:pPr>
      <w:rPr>
        <w:rFonts w:ascii="Symbol" w:hAnsi="Symbol" w:hint="default"/>
      </w:rPr>
    </w:lvl>
    <w:lvl w:ilvl="7" w:tplc="040C0003" w:tentative="1">
      <w:start w:val="1"/>
      <w:numFmt w:val="bullet"/>
      <w:lvlText w:val="o"/>
      <w:lvlJc w:val="left"/>
      <w:pPr>
        <w:ind w:left="6933" w:hanging="360"/>
      </w:pPr>
      <w:rPr>
        <w:rFonts w:ascii="Courier New" w:hAnsi="Courier New" w:cs="Courier New" w:hint="default"/>
      </w:rPr>
    </w:lvl>
    <w:lvl w:ilvl="8" w:tplc="040C0005" w:tentative="1">
      <w:start w:val="1"/>
      <w:numFmt w:val="bullet"/>
      <w:lvlText w:val=""/>
      <w:lvlJc w:val="left"/>
      <w:pPr>
        <w:ind w:left="7653" w:hanging="360"/>
      </w:pPr>
      <w:rPr>
        <w:rFonts w:ascii="Wingdings" w:hAnsi="Wingdings" w:hint="default"/>
      </w:rPr>
    </w:lvl>
  </w:abstractNum>
  <w:abstractNum w:abstractNumId="75">
    <w:nsid w:val="323F5FE4"/>
    <w:multiLevelType w:val="hybridMultilevel"/>
    <w:tmpl w:val="D51C0A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32A517ED"/>
    <w:multiLevelType w:val="hybridMultilevel"/>
    <w:tmpl w:val="4672D078"/>
    <w:lvl w:ilvl="0" w:tplc="02721D68">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342F222F"/>
    <w:multiLevelType w:val="hybridMultilevel"/>
    <w:tmpl w:val="28FCB4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34473820"/>
    <w:multiLevelType w:val="hybridMultilevel"/>
    <w:tmpl w:val="43E0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4BF4A7C"/>
    <w:multiLevelType w:val="hybridMultilevel"/>
    <w:tmpl w:val="57A4A85E"/>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80">
    <w:nsid w:val="372830A6"/>
    <w:multiLevelType w:val="hybridMultilevel"/>
    <w:tmpl w:val="096CAFC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73B0608"/>
    <w:multiLevelType w:val="hybridMultilevel"/>
    <w:tmpl w:val="1E5046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377E0A06"/>
    <w:multiLevelType w:val="hybridMultilevel"/>
    <w:tmpl w:val="F09E89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nsid w:val="38CB0303"/>
    <w:multiLevelType w:val="hybridMultilevel"/>
    <w:tmpl w:val="88DCCF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38D3361C"/>
    <w:multiLevelType w:val="hybridMultilevel"/>
    <w:tmpl w:val="561E2918"/>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5">
    <w:nsid w:val="38FB3915"/>
    <w:multiLevelType w:val="hybridMultilevel"/>
    <w:tmpl w:val="40E4C3E2"/>
    <w:lvl w:ilvl="0" w:tplc="38568EC6">
      <w:start w:val="6"/>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6">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87">
    <w:nsid w:val="3B9E5B48"/>
    <w:multiLevelType w:val="hybridMultilevel"/>
    <w:tmpl w:val="E05E22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3BAC79B9"/>
    <w:multiLevelType w:val="hybridMultilevel"/>
    <w:tmpl w:val="F704DD9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3C4F5ACF"/>
    <w:multiLevelType w:val="hybridMultilevel"/>
    <w:tmpl w:val="FEF0E836"/>
    <w:lvl w:ilvl="0" w:tplc="040C0009">
      <w:start w:val="1"/>
      <w:numFmt w:val="bullet"/>
      <w:lvlText w:val=""/>
      <w:lvlJc w:val="left"/>
      <w:pPr>
        <w:ind w:left="1872" w:hanging="360"/>
      </w:pPr>
      <w:rPr>
        <w:rFonts w:ascii="Wingdings" w:hAnsi="Wingdings" w:hint="default"/>
      </w:rPr>
    </w:lvl>
    <w:lvl w:ilvl="1" w:tplc="040C0003" w:tentative="1">
      <w:start w:val="1"/>
      <w:numFmt w:val="bullet"/>
      <w:lvlText w:val="o"/>
      <w:lvlJc w:val="left"/>
      <w:pPr>
        <w:ind w:left="2592" w:hanging="360"/>
      </w:pPr>
      <w:rPr>
        <w:rFonts w:ascii="Courier New" w:hAnsi="Courier New" w:cs="Courier New" w:hint="default"/>
      </w:rPr>
    </w:lvl>
    <w:lvl w:ilvl="2" w:tplc="040C0005" w:tentative="1">
      <w:start w:val="1"/>
      <w:numFmt w:val="bullet"/>
      <w:lvlText w:val=""/>
      <w:lvlJc w:val="left"/>
      <w:pPr>
        <w:ind w:left="3312" w:hanging="360"/>
      </w:pPr>
      <w:rPr>
        <w:rFonts w:ascii="Wingdings" w:hAnsi="Wingdings" w:hint="default"/>
      </w:rPr>
    </w:lvl>
    <w:lvl w:ilvl="3" w:tplc="040C0001" w:tentative="1">
      <w:start w:val="1"/>
      <w:numFmt w:val="bullet"/>
      <w:lvlText w:val=""/>
      <w:lvlJc w:val="left"/>
      <w:pPr>
        <w:ind w:left="4032" w:hanging="360"/>
      </w:pPr>
      <w:rPr>
        <w:rFonts w:ascii="Symbol" w:hAnsi="Symbol" w:hint="default"/>
      </w:rPr>
    </w:lvl>
    <w:lvl w:ilvl="4" w:tplc="040C0003" w:tentative="1">
      <w:start w:val="1"/>
      <w:numFmt w:val="bullet"/>
      <w:lvlText w:val="o"/>
      <w:lvlJc w:val="left"/>
      <w:pPr>
        <w:ind w:left="4752" w:hanging="360"/>
      </w:pPr>
      <w:rPr>
        <w:rFonts w:ascii="Courier New" w:hAnsi="Courier New" w:cs="Courier New" w:hint="default"/>
      </w:rPr>
    </w:lvl>
    <w:lvl w:ilvl="5" w:tplc="040C0005" w:tentative="1">
      <w:start w:val="1"/>
      <w:numFmt w:val="bullet"/>
      <w:lvlText w:val=""/>
      <w:lvlJc w:val="left"/>
      <w:pPr>
        <w:ind w:left="5472" w:hanging="360"/>
      </w:pPr>
      <w:rPr>
        <w:rFonts w:ascii="Wingdings" w:hAnsi="Wingdings" w:hint="default"/>
      </w:rPr>
    </w:lvl>
    <w:lvl w:ilvl="6" w:tplc="040C0001" w:tentative="1">
      <w:start w:val="1"/>
      <w:numFmt w:val="bullet"/>
      <w:lvlText w:val=""/>
      <w:lvlJc w:val="left"/>
      <w:pPr>
        <w:ind w:left="6192" w:hanging="360"/>
      </w:pPr>
      <w:rPr>
        <w:rFonts w:ascii="Symbol" w:hAnsi="Symbol" w:hint="default"/>
      </w:rPr>
    </w:lvl>
    <w:lvl w:ilvl="7" w:tplc="040C0003" w:tentative="1">
      <w:start w:val="1"/>
      <w:numFmt w:val="bullet"/>
      <w:lvlText w:val="o"/>
      <w:lvlJc w:val="left"/>
      <w:pPr>
        <w:ind w:left="6912" w:hanging="360"/>
      </w:pPr>
      <w:rPr>
        <w:rFonts w:ascii="Courier New" w:hAnsi="Courier New" w:cs="Courier New" w:hint="default"/>
      </w:rPr>
    </w:lvl>
    <w:lvl w:ilvl="8" w:tplc="040C0005" w:tentative="1">
      <w:start w:val="1"/>
      <w:numFmt w:val="bullet"/>
      <w:lvlText w:val=""/>
      <w:lvlJc w:val="left"/>
      <w:pPr>
        <w:ind w:left="7632" w:hanging="360"/>
      </w:pPr>
      <w:rPr>
        <w:rFonts w:ascii="Wingdings" w:hAnsi="Wingdings" w:hint="default"/>
      </w:rPr>
    </w:lvl>
  </w:abstractNum>
  <w:abstractNum w:abstractNumId="90">
    <w:nsid w:val="3C9321AE"/>
    <w:multiLevelType w:val="hybridMultilevel"/>
    <w:tmpl w:val="86F29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3CE861A4"/>
    <w:multiLevelType w:val="hybridMultilevel"/>
    <w:tmpl w:val="5170C9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3DBA4379"/>
    <w:multiLevelType w:val="hybridMultilevel"/>
    <w:tmpl w:val="91BEC332"/>
    <w:lvl w:ilvl="0" w:tplc="FFFFFFFF">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nsid w:val="3E9D4A89"/>
    <w:multiLevelType w:val="hybridMultilevel"/>
    <w:tmpl w:val="4E00B42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EA62DB0"/>
    <w:multiLevelType w:val="hybridMultilevel"/>
    <w:tmpl w:val="921A52C2"/>
    <w:lvl w:ilvl="0" w:tplc="2ECA642A">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41B6379D"/>
    <w:multiLevelType w:val="hybridMultilevel"/>
    <w:tmpl w:val="A6E07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41F0581B"/>
    <w:multiLevelType w:val="hybridMultilevel"/>
    <w:tmpl w:val="A74459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42F32FC6"/>
    <w:multiLevelType w:val="hybridMultilevel"/>
    <w:tmpl w:val="07C67184"/>
    <w:lvl w:ilvl="0" w:tplc="040C0001">
      <w:start w:val="1"/>
      <w:numFmt w:val="bullet"/>
      <w:lvlText w:val=""/>
      <w:lvlJc w:val="left"/>
      <w:pPr>
        <w:ind w:left="720" w:hanging="360"/>
      </w:pPr>
      <w:rPr>
        <w:rFonts w:ascii="Symbol" w:hAnsi="Symbol" w:hint="default"/>
      </w:rPr>
    </w:lvl>
    <w:lvl w:ilvl="1" w:tplc="0658A67A">
      <w:numFmt w:val="decimal"/>
      <w:lvlText w:val=""/>
      <w:lvlJc w:val="left"/>
    </w:lvl>
    <w:lvl w:ilvl="2" w:tplc="3F1C81F6">
      <w:numFmt w:val="decimal"/>
      <w:lvlText w:val=""/>
      <w:lvlJc w:val="left"/>
    </w:lvl>
    <w:lvl w:ilvl="3" w:tplc="45B6EB6C">
      <w:numFmt w:val="decimal"/>
      <w:lvlText w:val=""/>
      <w:lvlJc w:val="left"/>
    </w:lvl>
    <w:lvl w:ilvl="4" w:tplc="26D2AA18">
      <w:numFmt w:val="decimal"/>
      <w:lvlText w:val=""/>
      <w:lvlJc w:val="left"/>
    </w:lvl>
    <w:lvl w:ilvl="5" w:tplc="08B45832">
      <w:numFmt w:val="decimal"/>
      <w:lvlText w:val=""/>
      <w:lvlJc w:val="left"/>
    </w:lvl>
    <w:lvl w:ilvl="6" w:tplc="C9BCB4A0">
      <w:numFmt w:val="decimal"/>
      <w:lvlText w:val=""/>
      <w:lvlJc w:val="left"/>
    </w:lvl>
    <w:lvl w:ilvl="7" w:tplc="D14E3542">
      <w:numFmt w:val="decimal"/>
      <w:lvlText w:val=""/>
      <w:lvlJc w:val="left"/>
    </w:lvl>
    <w:lvl w:ilvl="8" w:tplc="913A03FA">
      <w:numFmt w:val="decimal"/>
      <w:lvlText w:val=""/>
      <w:lvlJc w:val="left"/>
    </w:lvl>
  </w:abstractNum>
  <w:abstractNum w:abstractNumId="98">
    <w:nsid w:val="4353D0CD"/>
    <w:multiLevelType w:val="hybridMultilevel"/>
    <w:tmpl w:val="66F8CA50"/>
    <w:lvl w:ilvl="0" w:tplc="ECDEB78E">
      <w:start w:val="1"/>
      <w:numFmt w:val="bullet"/>
      <w:lvlText w:val=""/>
      <w:lvlJc w:val="left"/>
    </w:lvl>
    <w:lvl w:ilvl="1" w:tplc="70E2317C">
      <w:numFmt w:val="decimal"/>
      <w:lvlText w:val=""/>
      <w:lvlJc w:val="left"/>
    </w:lvl>
    <w:lvl w:ilvl="2" w:tplc="A8C2A828">
      <w:numFmt w:val="decimal"/>
      <w:lvlText w:val=""/>
      <w:lvlJc w:val="left"/>
    </w:lvl>
    <w:lvl w:ilvl="3" w:tplc="AA1226CC">
      <w:numFmt w:val="decimal"/>
      <w:lvlText w:val=""/>
      <w:lvlJc w:val="left"/>
    </w:lvl>
    <w:lvl w:ilvl="4" w:tplc="E8DC04CA">
      <w:numFmt w:val="decimal"/>
      <w:lvlText w:val=""/>
      <w:lvlJc w:val="left"/>
    </w:lvl>
    <w:lvl w:ilvl="5" w:tplc="3072F04C">
      <w:numFmt w:val="decimal"/>
      <w:lvlText w:val=""/>
      <w:lvlJc w:val="left"/>
    </w:lvl>
    <w:lvl w:ilvl="6" w:tplc="2B7A5B1A">
      <w:numFmt w:val="decimal"/>
      <w:lvlText w:val=""/>
      <w:lvlJc w:val="left"/>
    </w:lvl>
    <w:lvl w:ilvl="7" w:tplc="76DEB1F6">
      <w:numFmt w:val="decimal"/>
      <w:lvlText w:val=""/>
      <w:lvlJc w:val="left"/>
    </w:lvl>
    <w:lvl w:ilvl="8" w:tplc="ABDA7566">
      <w:numFmt w:val="decimal"/>
      <w:lvlText w:val=""/>
      <w:lvlJc w:val="left"/>
    </w:lvl>
  </w:abstractNum>
  <w:abstractNum w:abstractNumId="99">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455D4B74"/>
    <w:multiLevelType w:val="hybridMultilevel"/>
    <w:tmpl w:val="CA3840A4"/>
    <w:lvl w:ilvl="0" w:tplc="5464D312">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1">
    <w:nsid w:val="464910DF"/>
    <w:multiLevelType w:val="hybridMultilevel"/>
    <w:tmpl w:val="D910E70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2">
    <w:nsid w:val="466F4371"/>
    <w:multiLevelType w:val="hybridMultilevel"/>
    <w:tmpl w:val="BDEC8CA2"/>
    <w:lvl w:ilvl="0" w:tplc="1F9AAB5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477C2A0B"/>
    <w:multiLevelType w:val="hybridMultilevel"/>
    <w:tmpl w:val="34306D3C"/>
    <w:lvl w:ilvl="0" w:tplc="4BBE0C7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48291FE5"/>
    <w:multiLevelType w:val="hybridMultilevel"/>
    <w:tmpl w:val="9100467C"/>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87F7F62"/>
    <w:multiLevelType w:val="hybridMultilevel"/>
    <w:tmpl w:val="38B83EA2"/>
    <w:lvl w:ilvl="0" w:tplc="4D504B74">
      <w:start w:val="1"/>
      <w:numFmt w:val="bullet"/>
      <w:lvlText w:val=""/>
      <w:lvlPicBulletId w:val="1"/>
      <w:lvlJc w:val="left"/>
      <w:pPr>
        <w:tabs>
          <w:tab w:val="num" w:pos="720"/>
        </w:tabs>
        <w:ind w:left="720" w:hanging="360"/>
      </w:pPr>
      <w:rPr>
        <w:rFonts w:ascii="Symbol" w:hAnsi="Symbol" w:hint="default"/>
      </w:rPr>
    </w:lvl>
    <w:lvl w:ilvl="1" w:tplc="11961276" w:tentative="1">
      <w:start w:val="1"/>
      <w:numFmt w:val="bullet"/>
      <w:lvlText w:val=""/>
      <w:lvlJc w:val="left"/>
      <w:pPr>
        <w:tabs>
          <w:tab w:val="num" w:pos="1440"/>
        </w:tabs>
        <w:ind w:left="1440" w:hanging="360"/>
      </w:pPr>
      <w:rPr>
        <w:rFonts w:ascii="Symbol" w:hAnsi="Symbol" w:hint="default"/>
      </w:rPr>
    </w:lvl>
    <w:lvl w:ilvl="2" w:tplc="872C266A" w:tentative="1">
      <w:start w:val="1"/>
      <w:numFmt w:val="bullet"/>
      <w:lvlText w:val=""/>
      <w:lvlJc w:val="left"/>
      <w:pPr>
        <w:tabs>
          <w:tab w:val="num" w:pos="2160"/>
        </w:tabs>
        <w:ind w:left="2160" w:hanging="360"/>
      </w:pPr>
      <w:rPr>
        <w:rFonts w:ascii="Symbol" w:hAnsi="Symbol" w:hint="default"/>
      </w:rPr>
    </w:lvl>
    <w:lvl w:ilvl="3" w:tplc="3C22307E" w:tentative="1">
      <w:start w:val="1"/>
      <w:numFmt w:val="bullet"/>
      <w:lvlText w:val=""/>
      <w:lvlJc w:val="left"/>
      <w:pPr>
        <w:tabs>
          <w:tab w:val="num" w:pos="2880"/>
        </w:tabs>
        <w:ind w:left="2880" w:hanging="360"/>
      </w:pPr>
      <w:rPr>
        <w:rFonts w:ascii="Symbol" w:hAnsi="Symbol" w:hint="default"/>
      </w:rPr>
    </w:lvl>
    <w:lvl w:ilvl="4" w:tplc="C30AFFBA" w:tentative="1">
      <w:start w:val="1"/>
      <w:numFmt w:val="bullet"/>
      <w:lvlText w:val=""/>
      <w:lvlJc w:val="left"/>
      <w:pPr>
        <w:tabs>
          <w:tab w:val="num" w:pos="3600"/>
        </w:tabs>
        <w:ind w:left="3600" w:hanging="360"/>
      </w:pPr>
      <w:rPr>
        <w:rFonts w:ascii="Symbol" w:hAnsi="Symbol" w:hint="default"/>
      </w:rPr>
    </w:lvl>
    <w:lvl w:ilvl="5" w:tplc="4D62F8F8" w:tentative="1">
      <w:start w:val="1"/>
      <w:numFmt w:val="bullet"/>
      <w:lvlText w:val=""/>
      <w:lvlJc w:val="left"/>
      <w:pPr>
        <w:tabs>
          <w:tab w:val="num" w:pos="4320"/>
        </w:tabs>
        <w:ind w:left="4320" w:hanging="360"/>
      </w:pPr>
      <w:rPr>
        <w:rFonts w:ascii="Symbol" w:hAnsi="Symbol" w:hint="default"/>
      </w:rPr>
    </w:lvl>
    <w:lvl w:ilvl="6" w:tplc="DDF8F7FC" w:tentative="1">
      <w:start w:val="1"/>
      <w:numFmt w:val="bullet"/>
      <w:lvlText w:val=""/>
      <w:lvlJc w:val="left"/>
      <w:pPr>
        <w:tabs>
          <w:tab w:val="num" w:pos="5040"/>
        </w:tabs>
        <w:ind w:left="5040" w:hanging="360"/>
      </w:pPr>
      <w:rPr>
        <w:rFonts w:ascii="Symbol" w:hAnsi="Symbol" w:hint="default"/>
      </w:rPr>
    </w:lvl>
    <w:lvl w:ilvl="7" w:tplc="21F882DE" w:tentative="1">
      <w:start w:val="1"/>
      <w:numFmt w:val="bullet"/>
      <w:lvlText w:val=""/>
      <w:lvlJc w:val="left"/>
      <w:pPr>
        <w:tabs>
          <w:tab w:val="num" w:pos="5760"/>
        </w:tabs>
        <w:ind w:left="5760" w:hanging="360"/>
      </w:pPr>
      <w:rPr>
        <w:rFonts w:ascii="Symbol" w:hAnsi="Symbol" w:hint="default"/>
      </w:rPr>
    </w:lvl>
    <w:lvl w:ilvl="8" w:tplc="212A9EEE" w:tentative="1">
      <w:start w:val="1"/>
      <w:numFmt w:val="bullet"/>
      <w:lvlText w:val=""/>
      <w:lvlJc w:val="left"/>
      <w:pPr>
        <w:tabs>
          <w:tab w:val="num" w:pos="6480"/>
        </w:tabs>
        <w:ind w:left="6480" w:hanging="360"/>
      </w:pPr>
      <w:rPr>
        <w:rFonts w:ascii="Symbol" w:hAnsi="Symbol" w:hint="default"/>
      </w:rPr>
    </w:lvl>
  </w:abstractNum>
  <w:abstractNum w:abstractNumId="106">
    <w:nsid w:val="49771712"/>
    <w:multiLevelType w:val="multilevel"/>
    <w:tmpl w:val="6E3A0B32"/>
    <w:lvl w:ilvl="0">
      <w:start w:val="10"/>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07">
    <w:nsid w:val="4A696AC7"/>
    <w:multiLevelType w:val="hybridMultilevel"/>
    <w:tmpl w:val="3BB2A1B6"/>
    <w:lvl w:ilvl="0" w:tplc="2A845E44">
      <w:start w:val="1"/>
      <w:numFmt w:val="decimal"/>
      <w:pStyle w:val="Bullet"/>
      <w:lvlText w:val="%1."/>
      <w:lvlJc w:val="left"/>
      <w:pPr>
        <w:ind w:left="720" w:hanging="360"/>
      </w:pPr>
      <w:rPr>
        <w:lang w:val="fr-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AED3B04"/>
    <w:multiLevelType w:val="hybridMultilevel"/>
    <w:tmpl w:val="805004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4B193236"/>
    <w:multiLevelType w:val="hybridMultilevel"/>
    <w:tmpl w:val="E87802D4"/>
    <w:lvl w:ilvl="0" w:tplc="1F9AA676">
      <w:numFmt w:val="bullet"/>
      <w:lvlText w:val="-"/>
      <w:lvlJc w:val="left"/>
      <w:pPr>
        <w:ind w:left="753" w:hanging="360"/>
      </w:pPr>
      <w:rPr>
        <w:rFonts w:ascii="Calibri" w:eastAsiaTheme="minorHAnsi" w:hAnsi="Calibri" w:cstheme="minorBidi"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110">
    <w:nsid w:val="4B9849A1"/>
    <w:multiLevelType w:val="hybridMultilevel"/>
    <w:tmpl w:val="C4CAFC10"/>
    <w:lvl w:ilvl="0" w:tplc="080C000F">
      <w:start w:val="1"/>
      <w:numFmt w:val="bullet"/>
      <w:lvlText w:val="-"/>
      <w:lvlJc w:val="left"/>
      <w:pPr>
        <w:tabs>
          <w:tab w:val="num" w:pos="360"/>
        </w:tabs>
        <w:ind w:left="360" w:hanging="360"/>
      </w:pPr>
      <w:rPr>
        <w:rFonts w:ascii="Calibri" w:hAnsi="Calibri" w:hint="default"/>
      </w:rPr>
    </w:lvl>
    <w:lvl w:ilvl="1" w:tplc="080C0019">
      <w:start w:val="1"/>
      <w:numFmt w:val="bullet"/>
      <w:lvlText w:val="o"/>
      <w:lvlJc w:val="left"/>
      <w:pPr>
        <w:tabs>
          <w:tab w:val="num" w:pos="1080"/>
        </w:tabs>
        <w:ind w:left="1080" w:hanging="360"/>
      </w:pPr>
      <w:rPr>
        <w:rFonts w:ascii="Courier New" w:hAnsi="Courier New" w:cs="Courier New" w:hint="default"/>
      </w:rPr>
    </w:lvl>
    <w:lvl w:ilvl="2" w:tplc="080C001B" w:tentative="1">
      <w:start w:val="1"/>
      <w:numFmt w:val="bullet"/>
      <w:lvlText w:val=""/>
      <w:lvlJc w:val="left"/>
      <w:pPr>
        <w:tabs>
          <w:tab w:val="num" w:pos="1800"/>
        </w:tabs>
        <w:ind w:left="1800" w:hanging="360"/>
      </w:pPr>
      <w:rPr>
        <w:rFonts w:ascii="Wingdings" w:hAnsi="Wingdings" w:hint="default"/>
      </w:rPr>
    </w:lvl>
    <w:lvl w:ilvl="3" w:tplc="080C000F" w:tentative="1">
      <w:start w:val="1"/>
      <w:numFmt w:val="bullet"/>
      <w:lvlText w:val=""/>
      <w:lvlJc w:val="left"/>
      <w:pPr>
        <w:tabs>
          <w:tab w:val="num" w:pos="2520"/>
        </w:tabs>
        <w:ind w:left="2520" w:hanging="360"/>
      </w:pPr>
      <w:rPr>
        <w:rFonts w:ascii="Symbol" w:hAnsi="Symbol" w:hint="default"/>
      </w:rPr>
    </w:lvl>
    <w:lvl w:ilvl="4" w:tplc="080C0019" w:tentative="1">
      <w:start w:val="1"/>
      <w:numFmt w:val="bullet"/>
      <w:lvlText w:val="o"/>
      <w:lvlJc w:val="left"/>
      <w:pPr>
        <w:tabs>
          <w:tab w:val="num" w:pos="3240"/>
        </w:tabs>
        <w:ind w:left="3240" w:hanging="360"/>
      </w:pPr>
      <w:rPr>
        <w:rFonts w:ascii="Courier New" w:hAnsi="Courier New" w:cs="Courier New" w:hint="default"/>
      </w:rPr>
    </w:lvl>
    <w:lvl w:ilvl="5" w:tplc="080C001B" w:tentative="1">
      <w:start w:val="1"/>
      <w:numFmt w:val="bullet"/>
      <w:lvlText w:val=""/>
      <w:lvlJc w:val="left"/>
      <w:pPr>
        <w:tabs>
          <w:tab w:val="num" w:pos="3960"/>
        </w:tabs>
        <w:ind w:left="3960" w:hanging="360"/>
      </w:pPr>
      <w:rPr>
        <w:rFonts w:ascii="Wingdings" w:hAnsi="Wingdings" w:hint="default"/>
      </w:rPr>
    </w:lvl>
    <w:lvl w:ilvl="6" w:tplc="080C000F" w:tentative="1">
      <w:start w:val="1"/>
      <w:numFmt w:val="bullet"/>
      <w:lvlText w:val=""/>
      <w:lvlJc w:val="left"/>
      <w:pPr>
        <w:tabs>
          <w:tab w:val="num" w:pos="4680"/>
        </w:tabs>
        <w:ind w:left="4680" w:hanging="360"/>
      </w:pPr>
      <w:rPr>
        <w:rFonts w:ascii="Symbol" w:hAnsi="Symbol" w:hint="default"/>
      </w:rPr>
    </w:lvl>
    <w:lvl w:ilvl="7" w:tplc="080C0019" w:tentative="1">
      <w:start w:val="1"/>
      <w:numFmt w:val="bullet"/>
      <w:lvlText w:val="o"/>
      <w:lvlJc w:val="left"/>
      <w:pPr>
        <w:tabs>
          <w:tab w:val="num" w:pos="5400"/>
        </w:tabs>
        <w:ind w:left="5400" w:hanging="360"/>
      </w:pPr>
      <w:rPr>
        <w:rFonts w:ascii="Courier New" w:hAnsi="Courier New" w:cs="Courier New" w:hint="default"/>
      </w:rPr>
    </w:lvl>
    <w:lvl w:ilvl="8" w:tplc="080C001B" w:tentative="1">
      <w:start w:val="1"/>
      <w:numFmt w:val="bullet"/>
      <w:lvlText w:val=""/>
      <w:lvlJc w:val="left"/>
      <w:pPr>
        <w:tabs>
          <w:tab w:val="num" w:pos="6120"/>
        </w:tabs>
        <w:ind w:left="6120" w:hanging="360"/>
      </w:pPr>
      <w:rPr>
        <w:rFonts w:ascii="Wingdings" w:hAnsi="Wingdings" w:hint="default"/>
      </w:rPr>
    </w:lvl>
  </w:abstractNum>
  <w:abstractNum w:abstractNumId="111">
    <w:nsid w:val="4C3726FE"/>
    <w:multiLevelType w:val="hybridMultilevel"/>
    <w:tmpl w:val="823A7552"/>
    <w:lvl w:ilvl="0" w:tplc="040C000B">
      <w:start w:val="1"/>
      <w:numFmt w:val="bullet"/>
      <w:lvlText w:val=""/>
      <w:lvlJc w:val="left"/>
      <w:pPr>
        <w:ind w:left="753" w:hanging="360"/>
      </w:pPr>
      <w:rPr>
        <w:rFonts w:ascii="Wingdings" w:hAnsi="Wingdings"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112">
    <w:nsid w:val="4C4B2AEA"/>
    <w:multiLevelType w:val="multilevel"/>
    <w:tmpl w:val="BA7E1DB4"/>
    <w:lvl w:ilvl="0">
      <w:start w:val="1"/>
      <w:numFmt w:val="lowerLetter"/>
      <w:pStyle w:val="ListAlpha3"/>
      <w:lvlText w:val="(%1)"/>
      <w:lvlJc w:val="left"/>
      <w:pPr>
        <w:tabs>
          <w:tab w:val="num" w:pos="624"/>
        </w:tabs>
        <w:ind w:left="624" w:hanging="624"/>
      </w:pPr>
      <w:rPr>
        <w:rFonts w:ascii="CG Times" w:hAnsi="CG Times" w:cs="Times New Roman"/>
        <w:b w:val="0"/>
        <w:i w:val="0"/>
        <w:sz w:val="20"/>
      </w:rPr>
    </w:lvl>
    <w:lvl w:ilvl="1">
      <w:start w:val="1"/>
      <w:numFmt w:val="lowerLetter"/>
      <w:pStyle w:val="ListAlpha2"/>
      <w:lvlText w:val="(%2)"/>
      <w:lvlJc w:val="left"/>
      <w:pPr>
        <w:tabs>
          <w:tab w:val="num" w:pos="1237"/>
        </w:tabs>
        <w:ind w:left="1237" w:hanging="793"/>
      </w:pPr>
      <w:rPr>
        <w:rFonts w:ascii="Times New Roman" w:eastAsia="Times New Roman" w:hAnsi="Times New Roman" w:cs="Times New Roman" w:hint="default"/>
        <w:b w:val="0"/>
        <w:i w:val="0"/>
        <w:sz w:val="22"/>
        <w:szCs w:val="22"/>
      </w:rPr>
    </w:lvl>
    <w:lvl w:ilvl="2">
      <w:start w:val="1"/>
      <w:numFmt w:val="lowerLetter"/>
      <w:pStyle w:val="LISTALPHACAPS2"/>
      <w:lvlText w:val="(%3)"/>
      <w:lvlJc w:val="left"/>
      <w:pPr>
        <w:tabs>
          <w:tab w:val="num" w:pos="1748"/>
        </w:tabs>
        <w:ind w:left="1748" w:hanging="511"/>
      </w:pPr>
      <w:rPr>
        <w:rFonts w:cs="Times New Roman"/>
        <w:b w:val="0"/>
        <w:i w:val="0"/>
        <w:sz w:val="20"/>
      </w:rPr>
    </w:lvl>
    <w:lvl w:ilvl="3">
      <w:start w:val="1"/>
      <w:numFmt w:val="lowerLetter"/>
      <w:lvlText w:val="(%4)"/>
      <w:lvlJc w:val="left"/>
      <w:pPr>
        <w:tabs>
          <w:tab w:val="num" w:pos="1748"/>
        </w:tabs>
        <w:ind w:left="1748" w:hanging="511"/>
      </w:pPr>
      <w:rPr>
        <w:rFonts w:cs="Times New Roman"/>
        <w:b w:val="0"/>
        <w:i w:val="0"/>
        <w:sz w:val="20"/>
      </w:rPr>
    </w:lvl>
    <w:lvl w:ilvl="4">
      <w:start w:val="1"/>
      <w:numFmt w:val="lowerRoman"/>
      <w:lvlText w:val="(%5)"/>
      <w:lvlJc w:val="left"/>
      <w:pPr>
        <w:tabs>
          <w:tab w:val="num" w:pos="2258"/>
        </w:tabs>
        <w:ind w:left="2258" w:hanging="510"/>
      </w:pPr>
      <w:rPr>
        <w:rFonts w:cs="Times New Roman"/>
        <w:b w:val="0"/>
        <w:i w:val="0"/>
        <w:sz w:val="22"/>
        <w:szCs w:val="22"/>
      </w:rPr>
    </w:lvl>
    <w:lvl w:ilvl="5">
      <w:start w:val="1"/>
      <w:numFmt w:val="decimal"/>
      <w:lvlText w:val="(%6)"/>
      <w:lvlJc w:val="left"/>
      <w:pPr>
        <w:tabs>
          <w:tab w:val="num" w:pos="2768"/>
        </w:tabs>
        <w:ind w:left="2768" w:hanging="510"/>
      </w:pPr>
      <w:rPr>
        <w:rFonts w:cs="Times New Roman"/>
        <w:b w:val="0"/>
        <w:i w:val="0"/>
        <w:sz w:val="20"/>
      </w:rPr>
    </w:lvl>
    <w:lvl w:ilvl="6">
      <w:start w:val="1"/>
      <w:numFmt w:val="none"/>
      <w:suff w:val="nothing"/>
      <w:lvlText w:val=""/>
      <w:lvlJc w:val="left"/>
      <w:pPr>
        <w:ind w:left="-180"/>
      </w:pPr>
      <w:rPr>
        <w:rFonts w:cs="Times New Roman"/>
      </w:rPr>
    </w:lvl>
    <w:lvl w:ilvl="7">
      <w:start w:val="1"/>
      <w:numFmt w:val="none"/>
      <w:suff w:val="nothing"/>
      <w:lvlText w:val=""/>
      <w:lvlJc w:val="left"/>
      <w:pPr>
        <w:ind w:left="-180"/>
      </w:pPr>
      <w:rPr>
        <w:rFonts w:cs="Times New Roman"/>
      </w:rPr>
    </w:lvl>
    <w:lvl w:ilvl="8">
      <w:start w:val="1"/>
      <w:numFmt w:val="decimal"/>
      <w:lvlRestart w:val="0"/>
      <w:lvlText w:val="SCHEDULE %9"/>
      <w:lvlJc w:val="left"/>
      <w:pPr>
        <w:tabs>
          <w:tab w:val="num" w:pos="-180"/>
        </w:tabs>
        <w:ind w:left="-180"/>
      </w:pPr>
      <w:rPr>
        <w:rFonts w:cs="Times New Roman"/>
        <w:b/>
        <w:i w:val="0"/>
        <w:caps/>
        <w:smallCaps w:val="0"/>
        <w:sz w:val="22"/>
      </w:rPr>
    </w:lvl>
  </w:abstractNum>
  <w:abstractNum w:abstractNumId="113">
    <w:nsid w:val="4C604A74"/>
    <w:multiLevelType w:val="hybridMultilevel"/>
    <w:tmpl w:val="1CB0EE44"/>
    <w:lvl w:ilvl="0" w:tplc="040C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4">
    <w:nsid w:val="4C790B76"/>
    <w:multiLevelType w:val="hybridMultilevel"/>
    <w:tmpl w:val="F58CB870"/>
    <w:lvl w:ilvl="0" w:tplc="C9C6585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4C87127A"/>
    <w:multiLevelType w:val="hybridMultilevel"/>
    <w:tmpl w:val="1C449D5C"/>
    <w:lvl w:ilvl="0" w:tplc="040C0007">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6">
    <w:nsid w:val="4CC26BAB"/>
    <w:multiLevelType w:val="hybridMultilevel"/>
    <w:tmpl w:val="8BE8E8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4EC64403"/>
    <w:multiLevelType w:val="hybridMultilevel"/>
    <w:tmpl w:val="36CEF638"/>
    <w:lvl w:ilvl="0" w:tplc="040C0009">
      <w:start w:val="1"/>
      <w:numFmt w:val="bullet"/>
      <w:lvlText w:val=""/>
      <w:lvlJc w:val="left"/>
      <w:pPr>
        <w:ind w:left="7092" w:hanging="360"/>
      </w:pPr>
      <w:rPr>
        <w:rFonts w:ascii="Wingdings" w:hAnsi="Wingdings" w:hint="default"/>
      </w:rPr>
    </w:lvl>
    <w:lvl w:ilvl="1" w:tplc="040C0003">
      <w:start w:val="1"/>
      <w:numFmt w:val="bullet"/>
      <w:lvlText w:val="o"/>
      <w:lvlJc w:val="left"/>
      <w:pPr>
        <w:ind w:left="7812" w:hanging="360"/>
      </w:pPr>
      <w:rPr>
        <w:rFonts w:ascii="Courier New" w:hAnsi="Courier New" w:cs="Courier New" w:hint="default"/>
      </w:rPr>
    </w:lvl>
    <w:lvl w:ilvl="2" w:tplc="040C0005" w:tentative="1">
      <w:start w:val="1"/>
      <w:numFmt w:val="bullet"/>
      <w:lvlText w:val=""/>
      <w:lvlJc w:val="left"/>
      <w:pPr>
        <w:ind w:left="8532" w:hanging="360"/>
      </w:pPr>
      <w:rPr>
        <w:rFonts w:ascii="Wingdings" w:hAnsi="Wingdings" w:hint="default"/>
      </w:rPr>
    </w:lvl>
    <w:lvl w:ilvl="3" w:tplc="040C0001" w:tentative="1">
      <w:start w:val="1"/>
      <w:numFmt w:val="bullet"/>
      <w:lvlText w:val=""/>
      <w:lvlJc w:val="left"/>
      <w:pPr>
        <w:ind w:left="9252" w:hanging="360"/>
      </w:pPr>
      <w:rPr>
        <w:rFonts w:ascii="Symbol" w:hAnsi="Symbol" w:hint="default"/>
      </w:rPr>
    </w:lvl>
    <w:lvl w:ilvl="4" w:tplc="040C0003" w:tentative="1">
      <w:start w:val="1"/>
      <w:numFmt w:val="bullet"/>
      <w:lvlText w:val="o"/>
      <w:lvlJc w:val="left"/>
      <w:pPr>
        <w:ind w:left="9972" w:hanging="360"/>
      </w:pPr>
      <w:rPr>
        <w:rFonts w:ascii="Courier New" w:hAnsi="Courier New" w:cs="Courier New" w:hint="default"/>
      </w:rPr>
    </w:lvl>
    <w:lvl w:ilvl="5" w:tplc="040C0005" w:tentative="1">
      <w:start w:val="1"/>
      <w:numFmt w:val="bullet"/>
      <w:lvlText w:val=""/>
      <w:lvlJc w:val="left"/>
      <w:pPr>
        <w:ind w:left="10692" w:hanging="360"/>
      </w:pPr>
      <w:rPr>
        <w:rFonts w:ascii="Wingdings" w:hAnsi="Wingdings" w:hint="default"/>
      </w:rPr>
    </w:lvl>
    <w:lvl w:ilvl="6" w:tplc="040C0001" w:tentative="1">
      <w:start w:val="1"/>
      <w:numFmt w:val="bullet"/>
      <w:lvlText w:val=""/>
      <w:lvlJc w:val="left"/>
      <w:pPr>
        <w:ind w:left="11412" w:hanging="360"/>
      </w:pPr>
      <w:rPr>
        <w:rFonts w:ascii="Symbol" w:hAnsi="Symbol" w:hint="default"/>
      </w:rPr>
    </w:lvl>
    <w:lvl w:ilvl="7" w:tplc="040C0003" w:tentative="1">
      <w:start w:val="1"/>
      <w:numFmt w:val="bullet"/>
      <w:lvlText w:val="o"/>
      <w:lvlJc w:val="left"/>
      <w:pPr>
        <w:ind w:left="12132" w:hanging="360"/>
      </w:pPr>
      <w:rPr>
        <w:rFonts w:ascii="Courier New" w:hAnsi="Courier New" w:cs="Courier New" w:hint="default"/>
      </w:rPr>
    </w:lvl>
    <w:lvl w:ilvl="8" w:tplc="040C0005" w:tentative="1">
      <w:start w:val="1"/>
      <w:numFmt w:val="bullet"/>
      <w:lvlText w:val=""/>
      <w:lvlJc w:val="left"/>
      <w:pPr>
        <w:ind w:left="12852" w:hanging="360"/>
      </w:pPr>
      <w:rPr>
        <w:rFonts w:ascii="Wingdings" w:hAnsi="Wingdings" w:hint="default"/>
      </w:rPr>
    </w:lvl>
  </w:abstractNum>
  <w:abstractNum w:abstractNumId="118">
    <w:nsid w:val="4F5A082A"/>
    <w:multiLevelType w:val="hybridMultilevel"/>
    <w:tmpl w:val="A59E1EB0"/>
    <w:lvl w:ilvl="0" w:tplc="9476E36A">
      <w:start w:val="1"/>
      <w:numFmt w:val="upperRoman"/>
      <w:pStyle w:val="Style9"/>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01D363B"/>
    <w:multiLevelType w:val="hybridMultilevel"/>
    <w:tmpl w:val="601EBE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50343238"/>
    <w:multiLevelType w:val="hybridMultilevel"/>
    <w:tmpl w:val="D7EE8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50C84DE9"/>
    <w:multiLevelType w:val="hybridMultilevel"/>
    <w:tmpl w:val="5900B344"/>
    <w:lvl w:ilvl="0" w:tplc="25AA4D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51987B0C"/>
    <w:multiLevelType w:val="hybridMultilevel"/>
    <w:tmpl w:val="7E3C2D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51B71175"/>
    <w:multiLevelType w:val="multilevel"/>
    <w:tmpl w:val="E3782472"/>
    <w:lvl w:ilvl="0">
      <w:start w:val="1"/>
      <w:numFmt w:val="upperRoman"/>
      <w:pStyle w:val="Cabealho1"/>
      <w:lvlText w:val="Article %1."/>
      <w:lvlJc w:val="left"/>
      <w:pPr>
        <w:ind w:left="0" w:firstLine="0"/>
      </w:pPr>
    </w:lvl>
    <w:lvl w:ilvl="1">
      <w:start w:val="1"/>
      <w:numFmt w:val="decimalZero"/>
      <w:pStyle w:val="Cabealho2"/>
      <w:isLgl/>
      <w:lvlText w:val="Section %1.%2"/>
      <w:lvlJc w:val="left"/>
      <w:pPr>
        <w:ind w:left="0" w:firstLine="0"/>
      </w:pPr>
    </w:lvl>
    <w:lvl w:ilvl="2">
      <w:start w:val="1"/>
      <w:numFmt w:val="lowerLetter"/>
      <w:pStyle w:val="Cabealho3"/>
      <w:lvlText w:val="(%3)"/>
      <w:lvlJc w:val="left"/>
      <w:pPr>
        <w:ind w:left="715" w:hanging="432"/>
      </w:pPr>
      <w:rPr>
        <w:rFonts w:ascii="Times New Roman" w:hAnsi="Times New Roman" w:cs="Times New Roman" w:hint="default"/>
      </w:rPr>
    </w:lvl>
    <w:lvl w:ilvl="3">
      <w:start w:val="1"/>
      <w:numFmt w:val="lowerRoman"/>
      <w:pStyle w:val="Cabealho4"/>
      <w:lvlText w:val="(%4)"/>
      <w:lvlJc w:val="right"/>
      <w:pPr>
        <w:ind w:left="864" w:hanging="144"/>
      </w:pPr>
    </w:lvl>
    <w:lvl w:ilvl="4">
      <w:start w:val="1"/>
      <w:numFmt w:val="decimal"/>
      <w:pStyle w:val="Cabealho5"/>
      <w:lvlText w:val="%5)"/>
      <w:lvlJc w:val="left"/>
      <w:pPr>
        <w:ind w:left="1008" w:hanging="432"/>
      </w:pPr>
    </w:lvl>
    <w:lvl w:ilvl="5">
      <w:start w:val="1"/>
      <w:numFmt w:val="lowerLetter"/>
      <w:pStyle w:val="Cabealho6"/>
      <w:lvlText w:val="%6)"/>
      <w:lvlJc w:val="left"/>
      <w:pPr>
        <w:ind w:left="1567" w:hanging="432"/>
      </w:pPr>
    </w:lvl>
    <w:lvl w:ilvl="6">
      <w:start w:val="1"/>
      <w:numFmt w:val="lowerRoman"/>
      <w:pStyle w:val="Cabealho7"/>
      <w:lvlText w:val="%7)"/>
      <w:lvlJc w:val="right"/>
      <w:pPr>
        <w:ind w:left="1296" w:hanging="288"/>
      </w:pPr>
    </w:lvl>
    <w:lvl w:ilvl="7">
      <w:start w:val="1"/>
      <w:numFmt w:val="lowerLetter"/>
      <w:pStyle w:val="Cabealho8"/>
      <w:lvlText w:val="%8."/>
      <w:lvlJc w:val="left"/>
      <w:pPr>
        <w:ind w:left="1440" w:hanging="432"/>
      </w:pPr>
    </w:lvl>
    <w:lvl w:ilvl="8">
      <w:start w:val="1"/>
      <w:numFmt w:val="lowerRoman"/>
      <w:pStyle w:val="Cabealho9"/>
      <w:lvlText w:val="%9."/>
      <w:lvlJc w:val="right"/>
      <w:pPr>
        <w:ind w:left="1584" w:hanging="144"/>
      </w:pPr>
    </w:lvl>
  </w:abstractNum>
  <w:abstractNum w:abstractNumId="124">
    <w:nsid w:val="51BB2E4E"/>
    <w:multiLevelType w:val="multilevel"/>
    <w:tmpl w:val="F81C0E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Narrow" w:eastAsiaTheme="minorHAnsi" w:hAnsi="Arial Narrow"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51E869DC"/>
    <w:multiLevelType w:val="hybridMultilevel"/>
    <w:tmpl w:val="B1CC55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51FF61E9"/>
    <w:multiLevelType w:val="multilevel"/>
    <w:tmpl w:val="CF80E4FE"/>
    <w:styleLink w:val="Style17"/>
    <w:lvl w:ilvl="0">
      <w:start w:val="5"/>
      <w:numFmt w:val="decimal"/>
      <w:lvlText w:val="%1."/>
      <w:lvlJc w:val="left"/>
      <w:pPr>
        <w:ind w:left="360" w:hanging="360"/>
      </w:pPr>
      <w:rPr>
        <w:rFonts w:hint="default"/>
      </w:rPr>
    </w:lvl>
    <w:lvl w:ilvl="1">
      <w:start w:val="1"/>
      <w:numFmt w:val="decimal"/>
      <w:lvlText w:val="%1.%2."/>
      <w:lvlJc w:val="left"/>
      <w:pPr>
        <w:ind w:left="851" w:hanging="851"/>
      </w:pPr>
      <w:rPr>
        <w:rFonts w:ascii="Times New Roman Gras" w:hAnsi="Times New Roman Gras" w:hint="default"/>
        <w:b/>
        <w:i w:val="0"/>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nsid w:val="53731E0E"/>
    <w:multiLevelType w:val="hybridMultilevel"/>
    <w:tmpl w:val="6D1411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539C4410"/>
    <w:multiLevelType w:val="hybridMultilevel"/>
    <w:tmpl w:val="AC2E135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54CC5207"/>
    <w:multiLevelType w:val="hybridMultilevel"/>
    <w:tmpl w:val="3168D87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54E49EB4"/>
    <w:multiLevelType w:val="hybridMultilevel"/>
    <w:tmpl w:val="B07C34F8"/>
    <w:lvl w:ilvl="0" w:tplc="7054B066">
      <w:start w:val="1"/>
      <w:numFmt w:val="bullet"/>
      <w:lvlText w:val=""/>
      <w:lvlJc w:val="left"/>
    </w:lvl>
    <w:lvl w:ilvl="1" w:tplc="DC80C424">
      <w:numFmt w:val="decimal"/>
      <w:lvlText w:val=""/>
      <w:lvlJc w:val="left"/>
    </w:lvl>
    <w:lvl w:ilvl="2" w:tplc="110666FC">
      <w:numFmt w:val="decimal"/>
      <w:lvlText w:val=""/>
      <w:lvlJc w:val="left"/>
    </w:lvl>
    <w:lvl w:ilvl="3" w:tplc="41A60F60">
      <w:numFmt w:val="decimal"/>
      <w:lvlText w:val=""/>
      <w:lvlJc w:val="left"/>
    </w:lvl>
    <w:lvl w:ilvl="4" w:tplc="590CBE0A">
      <w:numFmt w:val="decimal"/>
      <w:lvlText w:val=""/>
      <w:lvlJc w:val="left"/>
    </w:lvl>
    <w:lvl w:ilvl="5" w:tplc="242E5A86">
      <w:numFmt w:val="decimal"/>
      <w:lvlText w:val=""/>
      <w:lvlJc w:val="left"/>
    </w:lvl>
    <w:lvl w:ilvl="6" w:tplc="26D41D5C">
      <w:numFmt w:val="decimal"/>
      <w:lvlText w:val=""/>
      <w:lvlJc w:val="left"/>
    </w:lvl>
    <w:lvl w:ilvl="7" w:tplc="CE66DC0C">
      <w:numFmt w:val="decimal"/>
      <w:lvlText w:val=""/>
      <w:lvlJc w:val="left"/>
    </w:lvl>
    <w:lvl w:ilvl="8" w:tplc="638C66C6">
      <w:numFmt w:val="decimal"/>
      <w:lvlText w:val=""/>
      <w:lvlJc w:val="left"/>
    </w:lvl>
  </w:abstractNum>
  <w:abstractNum w:abstractNumId="131">
    <w:nsid w:val="551665AE"/>
    <w:multiLevelType w:val="hybridMultilevel"/>
    <w:tmpl w:val="FFDC323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2">
    <w:nsid w:val="55C525AC"/>
    <w:multiLevelType w:val="hybridMultilevel"/>
    <w:tmpl w:val="564E4B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55D1726F"/>
    <w:multiLevelType w:val="hybridMultilevel"/>
    <w:tmpl w:val="C94E2F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56BA5DAB"/>
    <w:multiLevelType w:val="hybridMultilevel"/>
    <w:tmpl w:val="570A6D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57790BCC"/>
    <w:multiLevelType w:val="hybridMultilevel"/>
    <w:tmpl w:val="18E8C5F0"/>
    <w:lvl w:ilvl="0" w:tplc="8F5AF23E">
      <w:start w:val="1"/>
      <w:numFmt w:val="lowerRoman"/>
      <w:lvlText w:val="(%1)"/>
      <w:lvlJc w:val="left"/>
      <w:pPr>
        <w:ind w:left="1440" w:hanging="360"/>
      </w:pPr>
      <w:rPr>
        <w:rFonts w:hint="default"/>
      </w:rPr>
    </w:lvl>
    <w:lvl w:ilvl="1" w:tplc="04090019" w:tentative="1">
      <w:start w:val="1"/>
      <w:numFmt w:val="lowerLetter"/>
      <w:pStyle w:val="MainParanoChap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5816114D"/>
    <w:multiLevelType w:val="hybridMultilevel"/>
    <w:tmpl w:val="B3FC3B6E"/>
    <w:lvl w:ilvl="0" w:tplc="040C000B">
      <w:start w:val="1"/>
      <w:numFmt w:val="bullet"/>
      <w:lvlText w:val=""/>
      <w:lvlJc w:val="left"/>
      <w:pPr>
        <w:ind w:left="1170" w:hanging="360"/>
      </w:pPr>
      <w:rPr>
        <w:rFonts w:ascii="Wingdings" w:hAnsi="Wingdings"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137">
    <w:nsid w:val="58196E89"/>
    <w:multiLevelType w:val="hybridMultilevel"/>
    <w:tmpl w:val="A330D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59E31540"/>
    <w:multiLevelType w:val="hybridMultilevel"/>
    <w:tmpl w:val="BBA67C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5A2626A3"/>
    <w:multiLevelType w:val="hybridMultilevel"/>
    <w:tmpl w:val="E098B5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5ABE6F43"/>
    <w:multiLevelType w:val="hybridMultilevel"/>
    <w:tmpl w:val="7EE69B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5AFB15DC"/>
    <w:multiLevelType w:val="hybridMultilevel"/>
    <w:tmpl w:val="07466E48"/>
    <w:lvl w:ilvl="0" w:tplc="A28EC0B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nsid w:val="5B1F7813"/>
    <w:multiLevelType w:val="hybridMultilevel"/>
    <w:tmpl w:val="829876BE"/>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C380DA6"/>
    <w:multiLevelType w:val="hybridMultilevel"/>
    <w:tmpl w:val="AA30A7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5D387469"/>
    <w:multiLevelType w:val="hybridMultilevel"/>
    <w:tmpl w:val="8B9EA020"/>
    <w:lvl w:ilvl="0" w:tplc="938283E4">
      <w:start w:val="1"/>
      <w:numFmt w:val="bullet"/>
      <w:pStyle w:val="Listacommarcas3"/>
      <w:lvlText w:val=""/>
      <w:lvlJc w:val="left"/>
      <w:pPr>
        <w:ind w:left="1803" w:hanging="360"/>
      </w:pPr>
      <w:rPr>
        <w:rFonts w:ascii="Symbol" w:hAnsi="Symbol" w:hint="default"/>
      </w:rPr>
    </w:lvl>
    <w:lvl w:ilvl="1" w:tplc="040C0003" w:tentative="1">
      <w:start w:val="1"/>
      <w:numFmt w:val="bullet"/>
      <w:lvlText w:val="o"/>
      <w:lvlJc w:val="left"/>
      <w:pPr>
        <w:ind w:left="2523" w:hanging="360"/>
      </w:pPr>
      <w:rPr>
        <w:rFonts w:ascii="Courier New" w:hAnsi="Courier New" w:cs="Courier New" w:hint="default"/>
      </w:rPr>
    </w:lvl>
    <w:lvl w:ilvl="2" w:tplc="040C0005" w:tentative="1">
      <w:start w:val="1"/>
      <w:numFmt w:val="bullet"/>
      <w:lvlText w:val=""/>
      <w:lvlJc w:val="left"/>
      <w:pPr>
        <w:ind w:left="3243" w:hanging="360"/>
      </w:pPr>
      <w:rPr>
        <w:rFonts w:ascii="Wingdings" w:hAnsi="Wingdings" w:hint="default"/>
      </w:rPr>
    </w:lvl>
    <w:lvl w:ilvl="3" w:tplc="040C0001" w:tentative="1">
      <w:start w:val="1"/>
      <w:numFmt w:val="bullet"/>
      <w:lvlText w:val=""/>
      <w:lvlJc w:val="left"/>
      <w:pPr>
        <w:ind w:left="3963" w:hanging="360"/>
      </w:pPr>
      <w:rPr>
        <w:rFonts w:ascii="Symbol" w:hAnsi="Symbol" w:hint="default"/>
      </w:rPr>
    </w:lvl>
    <w:lvl w:ilvl="4" w:tplc="040C0003" w:tentative="1">
      <w:start w:val="1"/>
      <w:numFmt w:val="bullet"/>
      <w:lvlText w:val="o"/>
      <w:lvlJc w:val="left"/>
      <w:pPr>
        <w:ind w:left="4683" w:hanging="360"/>
      </w:pPr>
      <w:rPr>
        <w:rFonts w:ascii="Courier New" w:hAnsi="Courier New" w:cs="Courier New" w:hint="default"/>
      </w:rPr>
    </w:lvl>
    <w:lvl w:ilvl="5" w:tplc="040C0005" w:tentative="1">
      <w:start w:val="1"/>
      <w:numFmt w:val="bullet"/>
      <w:lvlText w:val=""/>
      <w:lvlJc w:val="left"/>
      <w:pPr>
        <w:ind w:left="5403" w:hanging="360"/>
      </w:pPr>
      <w:rPr>
        <w:rFonts w:ascii="Wingdings" w:hAnsi="Wingdings" w:hint="default"/>
      </w:rPr>
    </w:lvl>
    <w:lvl w:ilvl="6" w:tplc="040C0001" w:tentative="1">
      <w:start w:val="1"/>
      <w:numFmt w:val="bullet"/>
      <w:lvlText w:val=""/>
      <w:lvlJc w:val="left"/>
      <w:pPr>
        <w:ind w:left="6123" w:hanging="360"/>
      </w:pPr>
      <w:rPr>
        <w:rFonts w:ascii="Symbol" w:hAnsi="Symbol" w:hint="default"/>
      </w:rPr>
    </w:lvl>
    <w:lvl w:ilvl="7" w:tplc="040C0003" w:tentative="1">
      <w:start w:val="1"/>
      <w:numFmt w:val="bullet"/>
      <w:lvlText w:val="o"/>
      <w:lvlJc w:val="left"/>
      <w:pPr>
        <w:ind w:left="6843" w:hanging="360"/>
      </w:pPr>
      <w:rPr>
        <w:rFonts w:ascii="Courier New" w:hAnsi="Courier New" w:cs="Courier New" w:hint="default"/>
      </w:rPr>
    </w:lvl>
    <w:lvl w:ilvl="8" w:tplc="040C0005" w:tentative="1">
      <w:start w:val="1"/>
      <w:numFmt w:val="bullet"/>
      <w:lvlText w:val=""/>
      <w:lvlJc w:val="left"/>
      <w:pPr>
        <w:ind w:left="7563" w:hanging="360"/>
      </w:pPr>
      <w:rPr>
        <w:rFonts w:ascii="Wingdings" w:hAnsi="Wingdings" w:hint="default"/>
      </w:rPr>
    </w:lvl>
  </w:abstractNum>
  <w:abstractNum w:abstractNumId="145">
    <w:nsid w:val="5E1E0171"/>
    <w:multiLevelType w:val="hybridMultilevel"/>
    <w:tmpl w:val="D082C960"/>
    <w:lvl w:ilvl="0" w:tplc="4E769E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5E940C28"/>
    <w:multiLevelType w:val="hybridMultilevel"/>
    <w:tmpl w:val="008C6E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nsid w:val="5F417F02"/>
    <w:multiLevelType w:val="hybridMultilevel"/>
    <w:tmpl w:val="7AD8357C"/>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619B5341"/>
    <w:multiLevelType w:val="hybridMultilevel"/>
    <w:tmpl w:val="3E62AD9C"/>
    <w:lvl w:ilvl="0" w:tplc="BC4C68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62227236"/>
    <w:multiLevelType w:val="hybridMultilevel"/>
    <w:tmpl w:val="196C8432"/>
    <w:lvl w:ilvl="0" w:tplc="22B261FA">
      <w:start w:val="1"/>
      <w:numFmt w:val="lowerRoman"/>
      <w:lvlText w:val="(%1)"/>
      <w:lvlJc w:val="left"/>
      <w:pPr>
        <w:ind w:left="436" w:hanging="72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51">
    <w:nsid w:val="628263DD"/>
    <w:multiLevelType w:val="hybridMultilevel"/>
    <w:tmpl w:val="C67E72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62C267FD"/>
    <w:multiLevelType w:val="hybridMultilevel"/>
    <w:tmpl w:val="3F10A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65E2555A"/>
    <w:multiLevelType w:val="hybridMultilevel"/>
    <w:tmpl w:val="CB285C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664238DF"/>
    <w:multiLevelType w:val="hybridMultilevel"/>
    <w:tmpl w:val="148492D4"/>
    <w:lvl w:ilvl="0" w:tplc="275EA6DE">
      <w:numFmt w:val="bullet"/>
      <w:lvlText w:val="-"/>
      <w:lvlJc w:val="left"/>
      <w:pPr>
        <w:ind w:left="360" w:hanging="360"/>
      </w:pPr>
      <w:rPr>
        <w:rFonts w:ascii="Arial Narrow" w:eastAsia="Times New Roman" w:hAnsi="Arial Narrow" w:cs="Times New Roman" w:hint="default"/>
      </w:rPr>
    </w:lvl>
    <w:lvl w:ilvl="1" w:tplc="33D4D962" w:tentative="1">
      <w:start w:val="1"/>
      <w:numFmt w:val="bullet"/>
      <w:lvlText w:val="o"/>
      <w:lvlJc w:val="left"/>
      <w:pPr>
        <w:ind w:left="1080" w:hanging="360"/>
      </w:pPr>
      <w:rPr>
        <w:rFonts w:ascii="Courier New" w:hAnsi="Courier New" w:cs="Courier New" w:hint="default"/>
      </w:rPr>
    </w:lvl>
    <w:lvl w:ilvl="2" w:tplc="1388C164" w:tentative="1">
      <w:start w:val="1"/>
      <w:numFmt w:val="bullet"/>
      <w:lvlText w:val=""/>
      <w:lvlJc w:val="left"/>
      <w:pPr>
        <w:ind w:left="1800" w:hanging="360"/>
      </w:pPr>
      <w:rPr>
        <w:rFonts w:ascii="Wingdings" w:hAnsi="Wingdings" w:hint="default"/>
      </w:rPr>
    </w:lvl>
    <w:lvl w:ilvl="3" w:tplc="B2865F3E" w:tentative="1">
      <w:start w:val="1"/>
      <w:numFmt w:val="bullet"/>
      <w:lvlText w:val=""/>
      <w:lvlJc w:val="left"/>
      <w:pPr>
        <w:ind w:left="2520" w:hanging="360"/>
      </w:pPr>
      <w:rPr>
        <w:rFonts w:ascii="Symbol" w:hAnsi="Symbol" w:hint="default"/>
      </w:rPr>
    </w:lvl>
    <w:lvl w:ilvl="4" w:tplc="2F3A200E" w:tentative="1">
      <w:start w:val="1"/>
      <w:numFmt w:val="bullet"/>
      <w:lvlText w:val="o"/>
      <w:lvlJc w:val="left"/>
      <w:pPr>
        <w:ind w:left="3240" w:hanging="360"/>
      </w:pPr>
      <w:rPr>
        <w:rFonts w:ascii="Courier New" w:hAnsi="Courier New" w:cs="Courier New" w:hint="default"/>
      </w:rPr>
    </w:lvl>
    <w:lvl w:ilvl="5" w:tplc="1DA83640" w:tentative="1">
      <w:start w:val="1"/>
      <w:numFmt w:val="bullet"/>
      <w:lvlText w:val=""/>
      <w:lvlJc w:val="left"/>
      <w:pPr>
        <w:ind w:left="3960" w:hanging="360"/>
      </w:pPr>
      <w:rPr>
        <w:rFonts w:ascii="Wingdings" w:hAnsi="Wingdings" w:hint="default"/>
      </w:rPr>
    </w:lvl>
    <w:lvl w:ilvl="6" w:tplc="BFC22DB8" w:tentative="1">
      <w:start w:val="1"/>
      <w:numFmt w:val="bullet"/>
      <w:lvlText w:val=""/>
      <w:lvlJc w:val="left"/>
      <w:pPr>
        <w:ind w:left="4680" w:hanging="360"/>
      </w:pPr>
      <w:rPr>
        <w:rFonts w:ascii="Symbol" w:hAnsi="Symbol" w:hint="default"/>
      </w:rPr>
    </w:lvl>
    <w:lvl w:ilvl="7" w:tplc="7AB046E6" w:tentative="1">
      <w:start w:val="1"/>
      <w:numFmt w:val="bullet"/>
      <w:lvlText w:val="o"/>
      <w:lvlJc w:val="left"/>
      <w:pPr>
        <w:ind w:left="5400" w:hanging="360"/>
      </w:pPr>
      <w:rPr>
        <w:rFonts w:ascii="Courier New" w:hAnsi="Courier New" w:cs="Courier New" w:hint="default"/>
      </w:rPr>
    </w:lvl>
    <w:lvl w:ilvl="8" w:tplc="56F6B0DE" w:tentative="1">
      <w:start w:val="1"/>
      <w:numFmt w:val="bullet"/>
      <w:lvlText w:val=""/>
      <w:lvlJc w:val="left"/>
      <w:pPr>
        <w:ind w:left="6120" w:hanging="360"/>
      </w:pPr>
      <w:rPr>
        <w:rFonts w:ascii="Wingdings" w:hAnsi="Wingdings" w:hint="default"/>
      </w:rPr>
    </w:lvl>
  </w:abstractNum>
  <w:abstractNum w:abstractNumId="155">
    <w:nsid w:val="66481952"/>
    <w:multiLevelType w:val="hybridMultilevel"/>
    <w:tmpl w:val="420EA16A"/>
    <w:lvl w:ilvl="0" w:tplc="A28EC0B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nsid w:val="66C023C7"/>
    <w:multiLevelType w:val="hybridMultilevel"/>
    <w:tmpl w:val="33F0FEA2"/>
    <w:lvl w:ilvl="0" w:tplc="DA0472F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66CF6BA1"/>
    <w:multiLevelType w:val="hybridMultilevel"/>
    <w:tmpl w:val="C3C871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7D11147"/>
    <w:multiLevelType w:val="hybridMultilevel"/>
    <w:tmpl w:val="21D0AAF2"/>
    <w:lvl w:ilvl="0" w:tplc="EAA2E89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nsid w:val="6A773393"/>
    <w:multiLevelType w:val="hybridMultilevel"/>
    <w:tmpl w:val="866AFBB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61">
    <w:nsid w:val="6AA03AEB"/>
    <w:multiLevelType w:val="hybridMultilevel"/>
    <w:tmpl w:val="1EE2270A"/>
    <w:lvl w:ilvl="0" w:tplc="040C0009">
      <w:start w:val="1"/>
      <w:numFmt w:val="bullet"/>
      <w:lvlText w:val=""/>
      <w:lvlJc w:val="left"/>
      <w:pPr>
        <w:ind w:left="763" w:hanging="360"/>
      </w:pPr>
      <w:rPr>
        <w:rFonts w:ascii="Wingdings" w:hAnsi="Wingdings" w:hint="default"/>
      </w:rPr>
    </w:lvl>
    <w:lvl w:ilvl="1" w:tplc="040C0003">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162">
    <w:nsid w:val="6ABE4BCD"/>
    <w:multiLevelType w:val="singleLevel"/>
    <w:tmpl w:val="158E264A"/>
    <w:lvl w:ilvl="0">
      <w:start w:val="1"/>
      <w:numFmt w:val="lowerLetter"/>
      <w:pStyle w:val="Paragrapha"/>
      <w:lvlText w:val="(%1)"/>
      <w:lvlJc w:val="left"/>
      <w:pPr>
        <w:tabs>
          <w:tab w:val="num" w:pos="1080"/>
        </w:tabs>
        <w:ind w:left="1080" w:hanging="360"/>
      </w:pPr>
      <w:rPr>
        <w:rFonts w:ascii="Times New Roman" w:hAnsi="Times New Roman" w:hint="default"/>
        <w:b w:val="0"/>
        <w:i w:val="0"/>
        <w:sz w:val="24"/>
      </w:rPr>
    </w:lvl>
  </w:abstractNum>
  <w:abstractNum w:abstractNumId="163">
    <w:nsid w:val="6B026AAD"/>
    <w:multiLevelType w:val="hybridMultilevel"/>
    <w:tmpl w:val="9B8822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6BEF0BE4"/>
    <w:multiLevelType w:val="multilevel"/>
    <w:tmpl w:val="528083E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nsid w:val="6C1D57F6"/>
    <w:multiLevelType w:val="hybridMultilevel"/>
    <w:tmpl w:val="A06CC7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nsid w:val="6D4C3AF4"/>
    <w:multiLevelType w:val="hybridMultilevel"/>
    <w:tmpl w:val="D2EC3FBC"/>
    <w:lvl w:ilvl="0" w:tplc="D9B0E274">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7">
    <w:nsid w:val="6D5F2FED"/>
    <w:multiLevelType w:val="hybridMultilevel"/>
    <w:tmpl w:val="8452D584"/>
    <w:lvl w:ilvl="0" w:tplc="A28EC0B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8">
    <w:nsid w:val="6D662C70"/>
    <w:multiLevelType w:val="hybridMultilevel"/>
    <w:tmpl w:val="F7D68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nsid w:val="6D9841CA"/>
    <w:multiLevelType w:val="hybridMultilevel"/>
    <w:tmpl w:val="1E90F2D8"/>
    <w:lvl w:ilvl="0" w:tplc="AA24AA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nsid w:val="6DCC6D43"/>
    <w:multiLevelType w:val="hybridMultilevel"/>
    <w:tmpl w:val="BE60E5E4"/>
    <w:lvl w:ilvl="0" w:tplc="FF4E1870">
      <w:start w:val="1"/>
      <w:numFmt w:val="lowerRoman"/>
      <w:pStyle w:val="ndiceremissivo1"/>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DD24ED5"/>
    <w:multiLevelType w:val="multilevel"/>
    <w:tmpl w:val="6DD24E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nsid w:val="6DD3091D"/>
    <w:multiLevelType w:val="hybridMultilevel"/>
    <w:tmpl w:val="AC7C81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nsid w:val="6EF464CD"/>
    <w:multiLevelType w:val="hybridMultilevel"/>
    <w:tmpl w:val="D2D4BBF4"/>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74">
    <w:nsid w:val="71E65CDE"/>
    <w:multiLevelType w:val="hybridMultilevel"/>
    <w:tmpl w:val="1A4428C4"/>
    <w:lvl w:ilvl="0" w:tplc="54FE1AC6">
      <w:start w:val="1"/>
      <w:numFmt w:val="bullet"/>
      <w:lvlText w:val="o"/>
      <w:lvlJc w:val="left"/>
      <w:pPr>
        <w:ind w:left="1068" w:hanging="360"/>
      </w:pPr>
      <w:rPr>
        <w:rFonts w:ascii="Courier New" w:hAnsi="Courier New" w:cs="Courier New" w:hint="default"/>
      </w:rPr>
    </w:lvl>
    <w:lvl w:ilvl="1" w:tplc="87C2885C">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5">
    <w:nsid w:val="71FA413C"/>
    <w:multiLevelType w:val="hybridMultilevel"/>
    <w:tmpl w:val="C9904604"/>
    <w:lvl w:ilvl="0" w:tplc="104237EC">
      <w:start w:val="1"/>
      <w:numFmt w:val="decimal"/>
      <w:pStyle w:val="ParaWB"/>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735C5323"/>
    <w:multiLevelType w:val="hybridMultilevel"/>
    <w:tmpl w:val="6C1A8464"/>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77">
    <w:nsid w:val="75017C38"/>
    <w:multiLevelType w:val="hybridMultilevel"/>
    <w:tmpl w:val="7DE07E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nsid w:val="779F4DB4"/>
    <w:multiLevelType w:val="hybridMultilevel"/>
    <w:tmpl w:val="77987830"/>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79">
    <w:nsid w:val="77FD7FC5"/>
    <w:multiLevelType w:val="hybridMultilevel"/>
    <w:tmpl w:val="1D68A3FE"/>
    <w:lvl w:ilvl="0" w:tplc="B2A27A1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nsid w:val="785C2868"/>
    <w:multiLevelType w:val="hybridMultilevel"/>
    <w:tmpl w:val="EACE5FD8"/>
    <w:lvl w:ilvl="0" w:tplc="6E96F63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8A81897"/>
    <w:multiLevelType w:val="hybridMultilevel"/>
    <w:tmpl w:val="B9FC72A0"/>
    <w:lvl w:ilvl="0" w:tplc="040C0009">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nsid w:val="79838CB2"/>
    <w:multiLevelType w:val="hybridMultilevel"/>
    <w:tmpl w:val="C71890F0"/>
    <w:lvl w:ilvl="0" w:tplc="CD5253F0">
      <w:start w:val="1"/>
      <w:numFmt w:val="bullet"/>
      <w:lvlText w:val=""/>
      <w:lvlJc w:val="left"/>
    </w:lvl>
    <w:lvl w:ilvl="1" w:tplc="B1C68622">
      <w:numFmt w:val="decimal"/>
      <w:lvlText w:val=""/>
      <w:lvlJc w:val="left"/>
    </w:lvl>
    <w:lvl w:ilvl="2" w:tplc="40FED8C8">
      <w:numFmt w:val="decimal"/>
      <w:lvlText w:val=""/>
      <w:lvlJc w:val="left"/>
    </w:lvl>
    <w:lvl w:ilvl="3" w:tplc="E820A738">
      <w:numFmt w:val="decimal"/>
      <w:lvlText w:val=""/>
      <w:lvlJc w:val="left"/>
    </w:lvl>
    <w:lvl w:ilvl="4" w:tplc="9A60E84E">
      <w:numFmt w:val="decimal"/>
      <w:lvlText w:val=""/>
      <w:lvlJc w:val="left"/>
    </w:lvl>
    <w:lvl w:ilvl="5" w:tplc="8BE44AFC">
      <w:numFmt w:val="decimal"/>
      <w:lvlText w:val=""/>
      <w:lvlJc w:val="left"/>
    </w:lvl>
    <w:lvl w:ilvl="6" w:tplc="099869DC">
      <w:numFmt w:val="decimal"/>
      <w:lvlText w:val=""/>
      <w:lvlJc w:val="left"/>
    </w:lvl>
    <w:lvl w:ilvl="7" w:tplc="A142111A">
      <w:numFmt w:val="decimal"/>
      <w:lvlText w:val=""/>
      <w:lvlJc w:val="left"/>
    </w:lvl>
    <w:lvl w:ilvl="8" w:tplc="655E6828">
      <w:numFmt w:val="decimal"/>
      <w:lvlText w:val=""/>
      <w:lvlJc w:val="left"/>
    </w:lvl>
  </w:abstractNum>
  <w:abstractNum w:abstractNumId="183">
    <w:nsid w:val="79FE49B7"/>
    <w:multiLevelType w:val="hybridMultilevel"/>
    <w:tmpl w:val="66568594"/>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84">
    <w:nsid w:val="7A07376D"/>
    <w:multiLevelType w:val="hybridMultilevel"/>
    <w:tmpl w:val="7EB8E4F0"/>
    <w:lvl w:ilvl="0" w:tplc="BE08C2AA">
      <w:start w:val="1"/>
      <w:numFmt w:val="lowerRoman"/>
      <w:lvlText w:val="%1)"/>
      <w:lvlJc w:val="left"/>
      <w:pPr>
        <w:ind w:left="436" w:hanging="72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85">
    <w:nsid w:val="7DB6768F"/>
    <w:multiLevelType w:val="multilevel"/>
    <w:tmpl w:val="7DB6768F"/>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nsid w:val="7DDD516A"/>
    <w:multiLevelType w:val="hybridMultilevel"/>
    <w:tmpl w:val="51D25D8A"/>
    <w:lvl w:ilvl="0" w:tplc="040C0017">
      <w:start w:val="1"/>
      <w:numFmt w:val="bullet"/>
      <w:lvlText w:val="-"/>
      <w:lvlJc w:val="left"/>
      <w:pPr>
        <w:ind w:left="360" w:hanging="360"/>
      </w:pPr>
      <w:rPr>
        <w:rFonts w:ascii="Calibri" w:hAnsi="Calibri" w:hint="default"/>
      </w:rPr>
    </w:lvl>
    <w:lvl w:ilvl="1" w:tplc="040C0019">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87">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7"/>
  </w:num>
  <w:num w:numId="4">
    <w:abstractNumId w:val="58"/>
  </w:num>
  <w:num w:numId="5">
    <w:abstractNumId w:val="86"/>
  </w:num>
  <w:num w:numId="6">
    <w:abstractNumId w:val="146"/>
  </w:num>
  <w:num w:numId="7">
    <w:abstractNumId w:val="99"/>
  </w:num>
  <w:num w:numId="8">
    <w:abstractNumId w:val="175"/>
  </w:num>
  <w:num w:numId="9">
    <w:abstractNumId w:val="27"/>
  </w:num>
  <w:num w:numId="10">
    <w:abstractNumId w:val="170"/>
  </w:num>
  <w:num w:numId="11">
    <w:abstractNumId w:val="187"/>
  </w:num>
  <w:num w:numId="12">
    <w:abstractNumId w:val="71"/>
  </w:num>
  <w:num w:numId="13">
    <w:abstractNumId w:val="158"/>
  </w:num>
  <w:num w:numId="14">
    <w:abstractNumId w:val="22"/>
  </w:num>
  <w:num w:numId="15">
    <w:abstractNumId w:val="0"/>
  </w:num>
  <w:num w:numId="16">
    <w:abstractNumId w:val="5"/>
  </w:num>
  <w:num w:numId="17">
    <w:abstractNumId w:val="112"/>
  </w:num>
  <w:num w:numId="18">
    <w:abstractNumId w:val="135"/>
  </w:num>
  <w:num w:numId="19">
    <w:abstractNumId w:val="107"/>
  </w:num>
  <w:num w:numId="20">
    <w:abstractNumId w:val="73"/>
  </w:num>
  <w:num w:numId="21">
    <w:abstractNumId w:val="118"/>
  </w:num>
  <w:num w:numId="22">
    <w:abstractNumId w:val="162"/>
  </w:num>
  <w:num w:numId="23">
    <w:abstractNumId w:val="123"/>
  </w:num>
  <w:num w:numId="24">
    <w:abstractNumId w:val="3"/>
  </w:num>
  <w:num w:numId="25">
    <w:abstractNumId w:val="126"/>
  </w:num>
  <w:num w:numId="26">
    <w:abstractNumId w:val="82"/>
  </w:num>
  <w:num w:numId="27">
    <w:abstractNumId w:val="159"/>
  </w:num>
  <w:num w:numId="28">
    <w:abstractNumId w:val="41"/>
  </w:num>
  <w:num w:numId="29">
    <w:abstractNumId w:val="102"/>
  </w:num>
  <w:num w:numId="30">
    <w:abstractNumId w:val="136"/>
  </w:num>
  <w:num w:numId="31">
    <w:abstractNumId w:val="75"/>
  </w:num>
  <w:num w:numId="32">
    <w:abstractNumId w:val="87"/>
  </w:num>
  <w:num w:numId="33">
    <w:abstractNumId w:val="156"/>
  </w:num>
  <w:num w:numId="34">
    <w:abstractNumId w:val="6"/>
  </w:num>
  <w:num w:numId="35">
    <w:abstractNumId w:val="66"/>
  </w:num>
  <w:num w:numId="36">
    <w:abstractNumId w:val="152"/>
  </w:num>
  <w:num w:numId="37">
    <w:abstractNumId w:val="122"/>
  </w:num>
  <w:num w:numId="38">
    <w:abstractNumId w:val="177"/>
  </w:num>
  <w:num w:numId="39">
    <w:abstractNumId w:val="24"/>
  </w:num>
  <w:num w:numId="40">
    <w:abstractNumId w:val="157"/>
  </w:num>
  <w:num w:numId="41">
    <w:abstractNumId w:val="117"/>
  </w:num>
  <w:num w:numId="42">
    <w:abstractNumId w:val="153"/>
  </w:num>
  <w:num w:numId="43">
    <w:abstractNumId w:val="144"/>
  </w:num>
  <w:num w:numId="44">
    <w:abstractNumId w:val="85"/>
  </w:num>
  <w:num w:numId="45">
    <w:abstractNumId w:val="37"/>
  </w:num>
  <w:num w:numId="46">
    <w:abstractNumId w:val="150"/>
  </w:num>
  <w:num w:numId="47">
    <w:abstractNumId w:val="184"/>
  </w:num>
  <w:num w:numId="48">
    <w:abstractNumId w:val="4"/>
  </w:num>
  <w:num w:numId="49">
    <w:abstractNumId w:val="38"/>
  </w:num>
  <w:num w:numId="50">
    <w:abstractNumId w:val="70"/>
  </w:num>
  <w:num w:numId="51">
    <w:abstractNumId w:val="111"/>
  </w:num>
  <w:num w:numId="52">
    <w:abstractNumId w:val="109"/>
  </w:num>
  <w:num w:numId="53">
    <w:abstractNumId w:val="61"/>
  </w:num>
  <w:num w:numId="54">
    <w:abstractNumId w:val="131"/>
  </w:num>
  <w:num w:numId="55">
    <w:abstractNumId w:val="103"/>
  </w:num>
  <w:num w:numId="56">
    <w:abstractNumId w:val="15"/>
  </w:num>
  <w:num w:numId="57">
    <w:abstractNumId w:val="32"/>
  </w:num>
  <w:num w:numId="58">
    <w:abstractNumId w:val="145"/>
  </w:num>
  <w:num w:numId="59">
    <w:abstractNumId w:val="94"/>
  </w:num>
  <w:num w:numId="60">
    <w:abstractNumId w:val="17"/>
  </w:num>
  <w:num w:numId="61">
    <w:abstractNumId w:val="181"/>
  </w:num>
  <w:num w:numId="62">
    <w:abstractNumId w:val="65"/>
  </w:num>
  <w:num w:numId="63">
    <w:abstractNumId w:val="120"/>
  </w:num>
  <w:num w:numId="64">
    <w:abstractNumId w:val="74"/>
  </w:num>
  <w:num w:numId="65">
    <w:abstractNumId w:val="64"/>
  </w:num>
  <w:num w:numId="66">
    <w:abstractNumId w:val="179"/>
  </w:num>
  <w:num w:numId="67">
    <w:abstractNumId w:val="114"/>
  </w:num>
  <w:num w:numId="68">
    <w:abstractNumId w:val="185"/>
  </w:num>
  <w:num w:numId="69">
    <w:abstractNumId w:val="63"/>
  </w:num>
  <w:num w:numId="70">
    <w:abstractNumId w:val="171"/>
  </w:num>
  <w:num w:numId="71">
    <w:abstractNumId w:val="161"/>
  </w:num>
  <w:num w:numId="72">
    <w:abstractNumId w:val="178"/>
  </w:num>
  <w:num w:numId="73">
    <w:abstractNumId w:val="88"/>
  </w:num>
  <w:num w:numId="74">
    <w:abstractNumId w:val="169"/>
  </w:num>
  <w:num w:numId="75">
    <w:abstractNumId w:val="92"/>
  </w:num>
  <w:num w:numId="76">
    <w:abstractNumId w:val="186"/>
  </w:num>
  <w:num w:numId="77">
    <w:abstractNumId w:val="9"/>
  </w:num>
  <w:num w:numId="78">
    <w:abstractNumId w:val="43"/>
  </w:num>
  <w:num w:numId="79">
    <w:abstractNumId w:val="110"/>
  </w:num>
  <w:num w:numId="80">
    <w:abstractNumId w:val="141"/>
  </w:num>
  <w:num w:numId="81">
    <w:abstractNumId w:val="167"/>
  </w:num>
  <w:num w:numId="82">
    <w:abstractNumId w:val="155"/>
  </w:num>
  <w:num w:numId="8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num>
  <w:num w:numId="85">
    <w:abstractNumId w:val="142"/>
  </w:num>
  <w:num w:numId="86">
    <w:abstractNumId w:val="121"/>
  </w:num>
  <w:num w:numId="87">
    <w:abstractNumId w:val="44"/>
  </w:num>
  <w:num w:numId="88">
    <w:abstractNumId w:val="26"/>
  </w:num>
  <w:num w:numId="89">
    <w:abstractNumId w:val="129"/>
  </w:num>
  <w:num w:numId="90">
    <w:abstractNumId w:val="134"/>
  </w:num>
  <w:num w:numId="91">
    <w:abstractNumId w:val="10"/>
  </w:num>
  <w:num w:numId="92">
    <w:abstractNumId w:val="149"/>
  </w:num>
  <w:num w:numId="93">
    <w:abstractNumId w:val="80"/>
  </w:num>
  <w:num w:numId="94">
    <w:abstractNumId w:val="93"/>
  </w:num>
  <w:num w:numId="95">
    <w:abstractNumId w:val="104"/>
  </w:num>
  <w:num w:numId="96">
    <w:abstractNumId w:val="113"/>
  </w:num>
  <w:num w:numId="97">
    <w:abstractNumId w:val="28"/>
  </w:num>
  <w:num w:numId="98">
    <w:abstractNumId w:val="132"/>
  </w:num>
  <w:num w:numId="99">
    <w:abstractNumId w:val="18"/>
  </w:num>
  <w:num w:numId="100">
    <w:abstractNumId w:val="166"/>
  </w:num>
  <w:num w:numId="101">
    <w:abstractNumId w:val="176"/>
  </w:num>
  <w:num w:numId="102">
    <w:abstractNumId w:val="68"/>
  </w:num>
  <w:num w:numId="103">
    <w:abstractNumId w:val="89"/>
  </w:num>
  <w:num w:numId="104">
    <w:abstractNumId w:val="50"/>
  </w:num>
  <w:num w:numId="10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
  </w:num>
  <w:num w:numId="107">
    <w:abstractNumId w:val="115"/>
  </w:num>
  <w:num w:numId="10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8"/>
  </w:num>
  <w:num w:numId="111">
    <w:abstractNumId w:val="11"/>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num>
  <w:num w:numId="114">
    <w:abstractNumId w:val="30"/>
  </w:num>
  <w:num w:numId="115">
    <w:abstractNumId w:val="49"/>
  </w:num>
  <w:num w:numId="116">
    <w:abstractNumId w:val="137"/>
  </w:num>
  <w:num w:numId="117">
    <w:abstractNumId w:val="53"/>
  </w:num>
  <w:num w:numId="118">
    <w:abstractNumId w:val="60"/>
  </w:num>
  <w:num w:numId="119">
    <w:abstractNumId w:val="19"/>
  </w:num>
  <w:num w:numId="120">
    <w:abstractNumId w:val="95"/>
  </w:num>
  <w:num w:numId="121">
    <w:abstractNumId w:val="168"/>
  </w:num>
  <w:num w:numId="122">
    <w:abstractNumId w:val="90"/>
  </w:num>
  <w:num w:numId="123">
    <w:abstractNumId w:val="100"/>
  </w:num>
  <w:num w:numId="124">
    <w:abstractNumId w:val="69"/>
  </w:num>
  <w:num w:numId="125">
    <w:abstractNumId w:val="36"/>
  </w:num>
  <w:num w:numId="126">
    <w:abstractNumId w:val="164"/>
  </w:num>
  <w:num w:numId="127">
    <w:abstractNumId w:val="20"/>
  </w:num>
  <w:num w:numId="128">
    <w:abstractNumId w:val="76"/>
  </w:num>
  <w:num w:numId="129">
    <w:abstractNumId w:val="84"/>
  </w:num>
  <w:num w:numId="130">
    <w:abstractNumId w:val="59"/>
  </w:num>
  <w:num w:numId="131">
    <w:abstractNumId w:val="46"/>
  </w:num>
  <w:num w:numId="132">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3"/>
  </w:num>
  <w:num w:numId="135">
    <w:abstractNumId w:val="108"/>
  </w:num>
  <w:num w:numId="136">
    <w:abstractNumId w:val="23"/>
  </w:num>
  <w:num w:numId="137">
    <w:abstractNumId w:val="140"/>
  </w:num>
  <w:num w:numId="138">
    <w:abstractNumId w:val="48"/>
  </w:num>
  <w:num w:numId="139">
    <w:abstractNumId w:val="40"/>
  </w:num>
  <w:num w:numId="140">
    <w:abstractNumId w:val="33"/>
  </w:num>
  <w:num w:numId="141">
    <w:abstractNumId w:val="151"/>
  </w:num>
  <w:num w:numId="142">
    <w:abstractNumId w:val="133"/>
  </w:num>
  <w:num w:numId="143">
    <w:abstractNumId w:val="83"/>
  </w:num>
  <w:num w:numId="144">
    <w:abstractNumId w:val="127"/>
  </w:num>
  <w:num w:numId="145">
    <w:abstractNumId w:val="45"/>
  </w:num>
  <w:num w:numId="146">
    <w:abstractNumId w:val="78"/>
  </w:num>
  <w:num w:numId="147">
    <w:abstractNumId w:val="14"/>
  </w:num>
  <w:num w:numId="148">
    <w:abstractNumId w:val="182"/>
  </w:num>
  <w:num w:numId="149">
    <w:abstractNumId w:val="98"/>
  </w:num>
  <w:num w:numId="150">
    <w:abstractNumId w:val="35"/>
  </w:num>
  <w:num w:numId="151">
    <w:abstractNumId w:val="130"/>
  </w:num>
  <w:num w:numId="152">
    <w:abstractNumId w:val="13"/>
  </w:num>
  <w:num w:numId="153">
    <w:abstractNumId w:val="81"/>
  </w:num>
  <w:num w:numId="154">
    <w:abstractNumId w:val="55"/>
  </w:num>
  <w:num w:numId="155">
    <w:abstractNumId w:val="67"/>
  </w:num>
  <w:num w:numId="156">
    <w:abstractNumId w:val="138"/>
  </w:num>
  <w:num w:numId="157">
    <w:abstractNumId w:val="125"/>
  </w:num>
  <w:num w:numId="158">
    <w:abstractNumId w:val="77"/>
  </w:num>
  <w:num w:numId="159">
    <w:abstractNumId w:val="51"/>
  </w:num>
  <w:num w:numId="160">
    <w:abstractNumId w:val="52"/>
  </w:num>
  <w:num w:numId="161">
    <w:abstractNumId w:val="173"/>
  </w:num>
  <w:num w:numId="162">
    <w:abstractNumId w:val="16"/>
  </w:num>
  <w:num w:numId="163">
    <w:abstractNumId w:val="25"/>
  </w:num>
  <w:num w:numId="164">
    <w:abstractNumId w:val="96"/>
  </w:num>
  <w:num w:numId="165">
    <w:abstractNumId w:val="116"/>
  </w:num>
  <w:num w:numId="166">
    <w:abstractNumId w:val="119"/>
  </w:num>
  <w:num w:numId="167">
    <w:abstractNumId w:val="91"/>
  </w:num>
  <w:num w:numId="168">
    <w:abstractNumId w:val="62"/>
  </w:num>
  <w:num w:numId="169">
    <w:abstractNumId w:val="29"/>
  </w:num>
  <w:num w:numId="170">
    <w:abstractNumId w:val="139"/>
  </w:num>
  <w:num w:numId="171">
    <w:abstractNumId w:val="163"/>
  </w:num>
  <w:num w:numId="172">
    <w:abstractNumId w:val="97"/>
  </w:num>
  <w:num w:numId="173">
    <w:abstractNumId w:val="79"/>
  </w:num>
  <w:num w:numId="174">
    <w:abstractNumId w:val="172"/>
  </w:num>
  <w:num w:numId="175">
    <w:abstractNumId w:val="57"/>
  </w:num>
  <w:num w:numId="176">
    <w:abstractNumId w:val="34"/>
  </w:num>
  <w:num w:numId="177">
    <w:abstractNumId w:val="154"/>
  </w:num>
  <w:num w:numId="178">
    <w:abstractNumId w:val="128"/>
  </w:num>
  <w:num w:numId="179">
    <w:abstractNumId w:val="174"/>
  </w:num>
  <w:num w:numId="180">
    <w:abstractNumId w:val="72"/>
  </w:num>
  <w:num w:numId="181">
    <w:abstractNumId w:val="180"/>
  </w:num>
  <w:num w:numId="182">
    <w:abstractNumId w:val="124"/>
  </w:num>
  <w:num w:numId="183">
    <w:abstractNumId w:val="143"/>
  </w:num>
  <w:num w:numId="184">
    <w:abstractNumId w:val="165"/>
  </w:num>
  <w:num w:numId="185">
    <w:abstractNumId w:val="42"/>
  </w:num>
  <w:num w:numId="186">
    <w:abstractNumId w:val="147"/>
  </w:num>
  <w:num w:numId="187">
    <w:abstractNumId w:val="21"/>
  </w:num>
  <w:num w:numId="188">
    <w:abstractNumId w:val="160"/>
  </w:num>
  <w:num w:numId="189">
    <w:abstractNumId w:val="101"/>
  </w:num>
  <w:num w:numId="190">
    <w:abstractNumId w:val="8"/>
  </w:num>
  <w:num w:numId="191">
    <w:abstractNumId w:val="105"/>
  </w:num>
  <w:num w:numId="192">
    <w:abstractNumId w:val="123"/>
  </w:num>
  <w:num w:numId="193">
    <w:abstractNumId w:val="123"/>
  </w:num>
  <w:num w:numId="194">
    <w:abstractNumId w:val="123"/>
  </w:num>
  <w:num w:numId="195">
    <w:abstractNumId w:val="123"/>
  </w:num>
  <w:num w:numId="196">
    <w:abstractNumId w:val="123"/>
  </w:num>
  <w:num w:numId="197">
    <w:abstractNumId w:val="123"/>
  </w:num>
  <w:num w:numId="198">
    <w:abstractNumId w:val="56"/>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I3Mra0NDYzNDc2MDJT0lEKTi0uzszPAykwrQUA0bbBTiwAAAA="/>
  </w:docVars>
  <w:rsids>
    <w:rsidRoot w:val="005C2A93"/>
    <w:rsid w:val="0000011D"/>
    <w:rsid w:val="00000223"/>
    <w:rsid w:val="000006FB"/>
    <w:rsid w:val="00001308"/>
    <w:rsid w:val="00001385"/>
    <w:rsid w:val="000014CA"/>
    <w:rsid w:val="0000168A"/>
    <w:rsid w:val="00001994"/>
    <w:rsid w:val="00001DAC"/>
    <w:rsid w:val="00001F02"/>
    <w:rsid w:val="000023D4"/>
    <w:rsid w:val="000024D5"/>
    <w:rsid w:val="00002763"/>
    <w:rsid w:val="00002844"/>
    <w:rsid w:val="000029E0"/>
    <w:rsid w:val="00002E72"/>
    <w:rsid w:val="00002EBF"/>
    <w:rsid w:val="00003032"/>
    <w:rsid w:val="00003447"/>
    <w:rsid w:val="00003562"/>
    <w:rsid w:val="000035A5"/>
    <w:rsid w:val="000037C8"/>
    <w:rsid w:val="00003C35"/>
    <w:rsid w:val="00003D2A"/>
    <w:rsid w:val="00004036"/>
    <w:rsid w:val="000043A9"/>
    <w:rsid w:val="0000442D"/>
    <w:rsid w:val="00004591"/>
    <w:rsid w:val="0000495C"/>
    <w:rsid w:val="00004B11"/>
    <w:rsid w:val="00004F15"/>
    <w:rsid w:val="00005890"/>
    <w:rsid w:val="000058B5"/>
    <w:rsid w:val="00005DD8"/>
    <w:rsid w:val="00006028"/>
    <w:rsid w:val="00006452"/>
    <w:rsid w:val="00006506"/>
    <w:rsid w:val="00006615"/>
    <w:rsid w:val="00006834"/>
    <w:rsid w:val="00007168"/>
    <w:rsid w:val="000072ED"/>
    <w:rsid w:val="00007769"/>
    <w:rsid w:val="00007879"/>
    <w:rsid w:val="00007C07"/>
    <w:rsid w:val="00007C80"/>
    <w:rsid w:val="000106DA"/>
    <w:rsid w:val="0001075F"/>
    <w:rsid w:val="000109BE"/>
    <w:rsid w:val="00010BAB"/>
    <w:rsid w:val="00011497"/>
    <w:rsid w:val="00011616"/>
    <w:rsid w:val="000117CF"/>
    <w:rsid w:val="000117E1"/>
    <w:rsid w:val="00011CE6"/>
    <w:rsid w:val="00011DDD"/>
    <w:rsid w:val="00011FDD"/>
    <w:rsid w:val="0001211A"/>
    <w:rsid w:val="0001239A"/>
    <w:rsid w:val="0001255A"/>
    <w:rsid w:val="000127A1"/>
    <w:rsid w:val="000128D4"/>
    <w:rsid w:val="000129D9"/>
    <w:rsid w:val="00012A26"/>
    <w:rsid w:val="00012D6D"/>
    <w:rsid w:val="00012E40"/>
    <w:rsid w:val="000131C3"/>
    <w:rsid w:val="0001339F"/>
    <w:rsid w:val="00013539"/>
    <w:rsid w:val="000136E3"/>
    <w:rsid w:val="00013844"/>
    <w:rsid w:val="00013E28"/>
    <w:rsid w:val="00013F2B"/>
    <w:rsid w:val="000142F1"/>
    <w:rsid w:val="00014669"/>
    <w:rsid w:val="00014AFD"/>
    <w:rsid w:val="00014F3D"/>
    <w:rsid w:val="00014F7D"/>
    <w:rsid w:val="00015603"/>
    <w:rsid w:val="00015839"/>
    <w:rsid w:val="0001635C"/>
    <w:rsid w:val="0001641A"/>
    <w:rsid w:val="000164B9"/>
    <w:rsid w:val="00016508"/>
    <w:rsid w:val="00016707"/>
    <w:rsid w:val="00016751"/>
    <w:rsid w:val="000167FF"/>
    <w:rsid w:val="00016BAF"/>
    <w:rsid w:val="00016ECF"/>
    <w:rsid w:val="000176EB"/>
    <w:rsid w:val="00017BA9"/>
    <w:rsid w:val="00017EDD"/>
    <w:rsid w:val="0002036C"/>
    <w:rsid w:val="00020C06"/>
    <w:rsid w:val="00020ED1"/>
    <w:rsid w:val="000210C4"/>
    <w:rsid w:val="00021208"/>
    <w:rsid w:val="0002127D"/>
    <w:rsid w:val="000215B2"/>
    <w:rsid w:val="00021796"/>
    <w:rsid w:val="00021B8C"/>
    <w:rsid w:val="00021F00"/>
    <w:rsid w:val="000220E8"/>
    <w:rsid w:val="00022175"/>
    <w:rsid w:val="00022306"/>
    <w:rsid w:val="00022438"/>
    <w:rsid w:val="00022CC3"/>
    <w:rsid w:val="00022E76"/>
    <w:rsid w:val="00022EC6"/>
    <w:rsid w:val="00023148"/>
    <w:rsid w:val="0002355A"/>
    <w:rsid w:val="0002364A"/>
    <w:rsid w:val="00023762"/>
    <w:rsid w:val="0002464E"/>
    <w:rsid w:val="00024B0A"/>
    <w:rsid w:val="00024F31"/>
    <w:rsid w:val="00024F6F"/>
    <w:rsid w:val="00025158"/>
    <w:rsid w:val="00025338"/>
    <w:rsid w:val="00025725"/>
    <w:rsid w:val="00025877"/>
    <w:rsid w:val="000258B4"/>
    <w:rsid w:val="00025AFC"/>
    <w:rsid w:val="000261DD"/>
    <w:rsid w:val="0002647C"/>
    <w:rsid w:val="0002689A"/>
    <w:rsid w:val="00026CF0"/>
    <w:rsid w:val="000270AC"/>
    <w:rsid w:val="000270FB"/>
    <w:rsid w:val="00027D08"/>
    <w:rsid w:val="00027D86"/>
    <w:rsid w:val="00027F32"/>
    <w:rsid w:val="00030566"/>
    <w:rsid w:val="00030642"/>
    <w:rsid w:val="00030894"/>
    <w:rsid w:val="00030AA8"/>
    <w:rsid w:val="000310B1"/>
    <w:rsid w:val="00031172"/>
    <w:rsid w:val="00031C0F"/>
    <w:rsid w:val="000323E8"/>
    <w:rsid w:val="00032589"/>
    <w:rsid w:val="00032B11"/>
    <w:rsid w:val="00032C1E"/>
    <w:rsid w:val="00032D72"/>
    <w:rsid w:val="000336B8"/>
    <w:rsid w:val="000337E7"/>
    <w:rsid w:val="00033840"/>
    <w:rsid w:val="00033F66"/>
    <w:rsid w:val="00033F85"/>
    <w:rsid w:val="00034AF3"/>
    <w:rsid w:val="00034F49"/>
    <w:rsid w:val="0003508D"/>
    <w:rsid w:val="0003546C"/>
    <w:rsid w:val="00035613"/>
    <w:rsid w:val="00035931"/>
    <w:rsid w:val="00035A36"/>
    <w:rsid w:val="00035D2A"/>
    <w:rsid w:val="0003618A"/>
    <w:rsid w:val="000363BA"/>
    <w:rsid w:val="00036601"/>
    <w:rsid w:val="00036914"/>
    <w:rsid w:val="00036D7A"/>
    <w:rsid w:val="00036E3C"/>
    <w:rsid w:val="00036FFD"/>
    <w:rsid w:val="0003793A"/>
    <w:rsid w:val="00037A04"/>
    <w:rsid w:val="00040016"/>
    <w:rsid w:val="00040946"/>
    <w:rsid w:val="00041267"/>
    <w:rsid w:val="0004136C"/>
    <w:rsid w:val="000413B7"/>
    <w:rsid w:val="0004224F"/>
    <w:rsid w:val="00042922"/>
    <w:rsid w:val="00042929"/>
    <w:rsid w:val="00042AC2"/>
    <w:rsid w:val="00042B89"/>
    <w:rsid w:val="00042C78"/>
    <w:rsid w:val="00042D86"/>
    <w:rsid w:val="00042D8D"/>
    <w:rsid w:val="00042FF8"/>
    <w:rsid w:val="000435D3"/>
    <w:rsid w:val="00043989"/>
    <w:rsid w:val="00043B6C"/>
    <w:rsid w:val="00043C00"/>
    <w:rsid w:val="00043F89"/>
    <w:rsid w:val="0004426E"/>
    <w:rsid w:val="000443B2"/>
    <w:rsid w:val="00044658"/>
    <w:rsid w:val="00044EAC"/>
    <w:rsid w:val="000451E4"/>
    <w:rsid w:val="0004523B"/>
    <w:rsid w:val="00045341"/>
    <w:rsid w:val="0004549C"/>
    <w:rsid w:val="000454A7"/>
    <w:rsid w:val="000454B6"/>
    <w:rsid w:val="00045750"/>
    <w:rsid w:val="000458A8"/>
    <w:rsid w:val="000459E9"/>
    <w:rsid w:val="000459F7"/>
    <w:rsid w:val="00045C2B"/>
    <w:rsid w:val="00045EAE"/>
    <w:rsid w:val="000461D6"/>
    <w:rsid w:val="000461D7"/>
    <w:rsid w:val="00046865"/>
    <w:rsid w:val="00046A04"/>
    <w:rsid w:val="00046A91"/>
    <w:rsid w:val="00046ADD"/>
    <w:rsid w:val="00046E8D"/>
    <w:rsid w:val="0004705D"/>
    <w:rsid w:val="00047673"/>
    <w:rsid w:val="00047A66"/>
    <w:rsid w:val="00047BE5"/>
    <w:rsid w:val="00047EF3"/>
    <w:rsid w:val="000500C9"/>
    <w:rsid w:val="00050527"/>
    <w:rsid w:val="00050608"/>
    <w:rsid w:val="0005084E"/>
    <w:rsid w:val="00050932"/>
    <w:rsid w:val="00050A53"/>
    <w:rsid w:val="00050ECB"/>
    <w:rsid w:val="00051203"/>
    <w:rsid w:val="00051436"/>
    <w:rsid w:val="0005158A"/>
    <w:rsid w:val="000516EA"/>
    <w:rsid w:val="00051AD2"/>
    <w:rsid w:val="00051D23"/>
    <w:rsid w:val="00052076"/>
    <w:rsid w:val="0005211D"/>
    <w:rsid w:val="0005332D"/>
    <w:rsid w:val="000533D8"/>
    <w:rsid w:val="0005362C"/>
    <w:rsid w:val="00053854"/>
    <w:rsid w:val="00053C11"/>
    <w:rsid w:val="00053FE6"/>
    <w:rsid w:val="0005403E"/>
    <w:rsid w:val="00054711"/>
    <w:rsid w:val="0005475D"/>
    <w:rsid w:val="00054974"/>
    <w:rsid w:val="00054A4B"/>
    <w:rsid w:val="00054B35"/>
    <w:rsid w:val="00054CA6"/>
    <w:rsid w:val="00054DBD"/>
    <w:rsid w:val="000550A6"/>
    <w:rsid w:val="00055951"/>
    <w:rsid w:val="000559AB"/>
    <w:rsid w:val="000559FA"/>
    <w:rsid w:val="00055C70"/>
    <w:rsid w:val="00055C8C"/>
    <w:rsid w:val="000561BB"/>
    <w:rsid w:val="0005693D"/>
    <w:rsid w:val="00056BAD"/>
    <w:rsid w:val="000577D5"/>
    <w:rsid w:val="0005793E"/>
    <w:rsid w:val="00057A8C"/>
    <w:rsid w:val="00057B88"/>
    <w:rsid w:val="00060475"/>
    <w:rsid w:val="00060745"/>
    <w:rsid w:val="0006074F"/>
    <w:rsid w:val="00060B81"/>
    <w:rsid w:val="00060BE9"/>
    <w:rsid w:val="00060C9D"/>
    <w:rsid w:val="00060D92"/>
    <w:rsid w:val="00060DFC"/>
    <w:rsid w:val="00060E2F"/>
    <w:rsid w:val="00061052"/>
    <w:rsid w:val="00061483"/>
    <w:rsid w:val="000618A9"/>
    <w:rsid w:val="0006190E"/>
    <w:rsid w:val="000620B3"/>
    <w:rsid w:val="0006211A"/>
    <w:rsid w:val="000628F6"/>
    <w:rsid w:val="00062E84"/>
    <w:rsid w:val="0006341D"/>
    <w:rsid w:val="00063AAE"/>
    <w:rsid w:val="00063BEB"/>
    <w:rsid w:val="00063E9E"/>
    <w:rsid w:val="00063F65"/>
    <w:rsid w:val="00064B0F"/>
    <w:rsid w:val="00064C53"/>
    <w:rsid w:val="00064F08"/>
    <w:rsid w:val="000650E1"/>
    <w:rsid w:val="00065BDB"/>
    <w:rsid w:val="00065C2E"/>
    <w:rsid w:val="00065CD2"/>
    <w:rsid w:val="00065E40"/>
    <w:rsid w:val="00065F2F"/>
    <w:rsid w:val="00065F74"/>
    <w:rsid w:val="00065FD3"/>
    <w:rsid w:val="00067506"/>
    <w:rsid w:val="00067A86"/>
    <w:rsid w:val="00070252"/>
    <w:rsid w:val="00070409"/>
    <w:rsid w:val="00070734"/>
    <w:rsid w:val="000708A3"/>
    <w:rsid w:val="000709F7"/>
    <w:rsid w:val="00070A18"/>
    <w:rsid w:val="00070C2A"/>
    <w:rsid w:val="000717D6"/>
    <w:rsid w:val="000719DD"/>
    <w:rsid w:val="00071CAB"/>
    <w:rsid w:val="00071EEA"/>
    <w:rsid w:val="0007219F"/>
    <w:rsid w:val="00072782"/>
    <w:rsid w:val="00073007"/>
    <w:rsid w:val="000731D3"/>
    <w:rsid w:val="000734FA"/>
    <w:rsid w:val="00073578"/>
    <w:rsid w:val="000737E0"/>
    <w:rsid w:val="00074676"/>
    <w:rsid w:val="00074A9B"/>
    <w:rsid w:val="00074BCA"/>
    <w:rsid w:val="00074C5E"/>
    <w:rsid w:val="00075264"/>
    <w:rsid w:val="00075640"/>
    <w:rsid w:val="00075679"/>
    <w:rsid w:val="000756FA"/>
    <w:rsid w:val="00075822"/>
    <w:rsid w:val="00075DCB"/>
    <w:rsid w:val="00076101"/>
    <w:rsid w:val="00076203"/>
    <w:rsid w:val="00076239"/>
    <w:rsid w:val="00076747"/>
    <w:rsid w:val="00076867"/>
    <w:rsid w:val="000768F3"/>
    <w:rsid w:val="00076AA1"/>
    <w:rsid w:val="00076D03"/>
    <w:rsid w:val="00077086"/>
    <w:rsid w:val="00077477"/>
    <w:rsid w:val="00077887"/>
    <w:rsid w:val="00077A78"/>
    <w:rsid w:val="00077D5A"/>
    <w:rsid w:val="00077EB2"/>
    <w:rsid w:val="00077F06"/>
    <w:rsid w:val="00080836"/>
    <w:rsid w:val="00080B97"/>
    <w:rsid w:val="000813B8"/>
    <w:rsid w:val="000816E4"/>
    <w:rsid w:val="00081881"/>
    <w:rsid w:val="00081D6F"/>
    <w:rsid w:val="000823DD"/>
    <w:rsid w:val="0008242F"/>
    <w:rsid w:val="0008247C"/>
    <w:rsid w:val="000825AC"/>
    <w:rsid w:val="000825FA"/>
    <w:rsid w:val="00082F06"/>
    <w:rsid w:val="0008330D"/>
    <w:rsid w:val="000833CB"/>
    <w:rsid w:val="00083AEA"/>
    <w:rsid w:val="00083B7C"/>
    <w:rsid w:val="00083B97"/>
    <w:rsid w:val="00083B9D"/>
    <w:rsid w:val="00083BCF"/>
    <w:rsid w:val="00083CDB"/>
    <w:rsid w:val="00083EF7"/>
    <w:rsid w:val="000844F3"/>
    <w:rsid w:val="0008458B"/>
    <w:rsid w:val="000846F1"/>
    <w:rsid w:val="00084ADA"/>
    <w:rsid w:val="00085071"/>
    <w:rsid w:val="000851B9"/>
    <w:rsid w:val="00085207"/>
    <w:rsid w:val="000853D8"/>
    <w:rsid w:val="000856F6"/>
    <w:rsid w:val="00085822"/>
    <w:rsid w:val="00085BEA"/>
    <w:rsid w:val="00085CD2"/>
    <w:rsid w:val="00085D2A"/>
    <w:rsid w:val="00085F1E"/>
    <w:rsid w:val="00086605"/>
    <w:rsid w:val="00086E20"/>
    <w:rsid w:val="000875EF"/>
    <w:rsid w:val="000878D9"/>
    <w:rsid w:val="00087966"/>
    <w:rsid w:val="00090315"/>
    <w:rsid w:val="00090410"/>
    <w:rsid w:val="00090474"/>
    <w:rsid w:val="000905A9"/>
    <w:rsid w:val="00090A33"/>
    <w:rsid w:val="0009139F"/>
    <w:rsid w:val="00091943"/>
    <w:rsid w:val="00091AE8"/>
    <w:rsid w:val="00091C1A"/>
    <w:rsid w:val="00091D61"/>
    <w:rsid w:val="00091FA0"/>
    <w:rsid w:val="00092061"/>
    <w:rsid w:val="00092363"/>
    <w:rsid w:val="00092794"/>
    <w:rsid w:val="000927DC"/>
    <w:rsid w:val="00092853"/>
    <w:rsid w:val="00092D52"/>
    <w:rsid w:val="000935A7"/>
    <w:rsid w:val="00093782"/>
    <w:rsid w:val="00093A41"/>
    <w:rsid w:val="00093A98"/>
    <w:rsid w:val="00093CBF"/>
    <w:rsid w:val="00094014"/>
    <w:rsid w:val="000944BD"/>
    <w:rsid w:val="00094D54"/>
    <w:rsid w:val="00094F01"/>
    <w:rsid w:val="00095318"/>
    <w:rsid w:val="00095995"/>
    <w:rsid w:val="00095C19"/>
    <w:rsid w:val="00095ED8"/>
    <w:rsid w:val="00095F1B"/>
    <w:rsid w:val="0009648C"/>
    <w:rsid w:val="000971BA"/>
    <w:rsid w:val="00097390"/>
    <w:rsid w:val="00097451"/>
    <w:rsid w:val="000975C9"/>
    <w:rsid w:val="00097A5B"/>
    <w:rsid w:val="000A005E"/>
    <w:rsid w:val="000A0670"/>
    <w:rsid w:val="000A09AC"/>
    <w:rsid w:val="000A0BCE"/>
    <w:rsid w:val="000A0C7D"/>
    <w:rsid w:val="000A0D01"/>
    <w:rsid w:val="000A0D3D"/>
    <w:rsid w:val="000A0D5C"/>
    <w:rsid w:val="000A0DCB"/>
    <w:rsid w:val="000A0E46"/>
    <w:rsid w:val="000A1811"/>
    <w:rsid w:val="000A1940"/>
    <w:rsid w:val="000A1A96"/>
    <w:rsid w:val="000A2AED"/>
    <w:rsid w:val="000A2CEA"/>
    <w:rsid w:val="000A2D2F"/>
    <w:rsid w:val="000A2F6B"/>
    <w:rsid w:val="000A30A1"/>
    <w:rsid w:val="000A33DA"/>
    <w:rsid w:val="000A36CB"/>
    <w:rsid w:val="000A3B9C"/>
    <w:rsid w:val="000A3EC6"/>
    <w:rsid w:val="000A40F2"/>
    <w:rsid w:val="000A432C"/>
    <w:rsid w:val="000A4961"/>
    <w:rsid w:val="000A4C7B"/>
    <w:rsid w:val="000A5576"/>
    <w:rsid w:val="000A55E3"/>
    <w:rsid w:val="000A568F"/>
    <w:rsid w:val="000A5912"/>
    <w:rsid w:val="000A5BA4"/>
    <w:rsid w:val="000A5ECB"/>
    <w:rsid w:val="000A5F38"/>
    <w:rsid w:val="000A61FE"/>
    <w:rsid w:val="000A657D"/>
    <w:rsid w:val="000A6CD5"/>
    <w:rsid w:val="000A6DC8"/>
    <w:rsid w:val="000A6DD5"/>
    <w:rsid w:val="000A7E8B"/>
    <w:rsid w:val="000A7EEF"/>
    <w:rsid w:val="000B04D1"/>
    <w:rsid w:val="000B09D2"/>
    <w:rsid w:val="000B0A3B"/>
    <w:rsid w:val="000B11AB"/>
    <w:rsid w:val="000B11FE"/>
    <w:rsid w:val="000B18DE"/>
    <w:rsid w:val="000B190C"/>
    <w:rsid w:val="000B274C"/>
    <w:rsid w:val="000B2A90"/>
    <w:rsid w:val="000B2DED"/>
    <w:rsid w:val="000B3137"/>
    <w:rsid w:val="000B34BF"/>
    <w:rsid w:val="000B3509"/>
    <w:rsid w:val="000B3891"/>
    <w:rsid w:val="000B392E"/>
    <w:rsid w:val="000B3D79"/>
    <w:rsid w:val="000B3DFC"/>
    <w:rsid w:val="000B3F5B"/>
    <w:rsid w:val="000B4BEC"/>
    <w:rsid w:val="000B4E19"/>
    <w:rsid w:val="000B5009"/>
    <w:rsid w:val="000B504E"/>
    <w:rsid w:val="000B50D5"/>
    <w:rsid w:val="000B5741"/>
    <w:rsid w:val="000B57D2"/>
    <w:rsid w:val="000B57D4"/>
    <w:rsid w:val="000B5A11"/>
    <w:rsid w:val="000B5B9E"/>
    <w:rsid w:val="000B5C1B"/>
    <w:rsid w:val="000B5DE0"/>
    <w:rsid w:val="000B60A2"/>
    <w:rsid w:val="000B62A0"/>
    <w:rsid w:val="000B6338"/>
    <w:rsid w:val="000B646F"/>
    <w:rsid w:val="000B6994"/>
    <w:rsid w:val="000B6D0E"/>
    <w:rsid w:val="000B7139"/>
    <w:rsid w:val="000B7582"/>
    <w:rsid w:val="000B765A"/>
    <w:rsid w:val="000B77BB"/>
    <w:rsid w:val="000B7BFE"/>
    <w:rsid w:val="000C0373"/>
    <w:rsid w:val="000C0868"/>
    <w:rsid w:val="000C0F6A"/>
    <w:rsid w:val="000C1386"/>
    <w:rsid w:val="000C1424"/>
    <w:rsid w:val="000C144F"/>
    <w:rsid w:val="000C15EE"/>
    <w:rsid w:val="000C1B31"/>
    <w:rsid w:val="000C1D95"/>
    <w:rsid w:val="000C1ECE"/>
    <w:rsid w:val="000C20A2"/>
    <w:rsid w:val="000C215F"/>
    <w:rsid w:val="000C224B"/>
    <w:rsid w:val="000C2ACE"/>
    <w:rsid w:val="000C30E3"/>
    <w:rsid w:val="000C3714"/>
    <w:rsid w:val="000C3A0A"/>
    <w:rsid w:val="000C3A71"/>
    <w:rsid w:val="000C3B97"/>
    <w:rsid w:val="000C3C5F"/>
    <w:rsid w:val="000C3D0B"/>
    <w:rsid w:val="000C3E2A"/>
    <w:rsid w:val="000C4663"/>
    <w:rsid w:val="000C4A50"/>
    <w:rsid w:val="000C4B61"/>
    <w:rsid w:val="000C4CE0"/>
    <w:rsid w:val="000C507C"/>
    <w:rsid w:val="000C51BD"/>
    <w:rsid w:val="000C53D8"/>
    <w:rsid w:val="000C5727"/>
    <w:rsid w:val="000C5831"/>
    <w:rsid w:val="000C5C00"/>
    <w:rsid w:val="000C5C6E"/>
    <w:rsid w:val="000C66B5"/>
    <w:rsid w:val="000C6A90"/>
    <w:rsid w:val="000C6B55"/>
    <w:rsid w:val="000C7180"/>
    <w:rsid w:val="000C71B1"/>
    <w:rsid w:val="000C7288"/>
    <w:rsid w:val="000C7C31"/>
    <w:rsid w:val="000C7E7D"/>
    <w:rsid w:val="000D01A9"/>
    <w:rsid w:val="000D0AB0"/>
    <w:rsid w:val="000D0CB2"/>
    <w:rsid w:val="000D154D"/>
    <w:rsid w:val="000D1D09"/>
    <w:rsid w:val="000D237B"/>
    <w:rsid w:val="000D2581"/>
    <w:rsid w:val="000D25B2"/>
    <w:rsid w:val="000D26A5"/>
    <w:rsid w:val="000D2760"/>
    <w:rsid w:val="000D2A58"/>
    <w:rsid w:val="000D2CB8"/>
    <w:rsid w:val="000D3136"/>
    <w:rsid w:val="000D3146"/>
    <w:rsid w:val="000D349B"/>
    <w:rsid w:val="000D366D"/>
    <w:rsid w:val="000D372F"/>
    <w:rsid w:val="000D3EA3"/>
    <w:rsid w:val="000D4425"/>
    <w:rsid w:val="000D4528"/>
    <w:rsid w:val="000D486B"/>
    <w:rsid w:val="000D499C"/>
    <w:rsid w:val="000D5378"/>
    <w:rsid w:val="000D5795"/>
    <w:rsid w:val="000D587E"/>
    <w:rsid w:val="000D58C7"/>
    <w:rsid w:val="000D5D13"/>
    <w:rsid w:val="000D64D7"/>
    <w:rsid w:val="000D652F"/>
    <w:rsid w:val="000D6532"/>
    <w:rsid w:val="000D681C"/>
    <w:rsid w:val="000D6E80"/>
    <w:rsid w:val="000D7027"/>
    <w:rsid w:val="000D775D"/>
    <w:rsid w:val="000D77A2"/>
    <w:rsid w:val="000D78A3"/>
    <w:rsid w:val="000D7A2F"/>
    <w:rsid w:val="000D7BCB"/>
    <w:rsid w:val="000D7C03"/>
    <w:rsid w:val="000D7E88"/>
    <w:rsid w:val="000D7F1C"/>
    <w:rsid w:val="000E0006"/>
    <w:rsid w:val="000E0137"/>
    <w:rsid w:val="000E0170"/>
    <w:rsid w:val="000E055C"/>
    <w:rsid w:val="000E0846"/>
    <w:rsid w:val="000E0C71"/>
    <w:rsid w:val="000E10EA"/>
    <w:rsid w:val="000E117C"/>
    <w:rsid w:val="000E130F"/>
    <w:rsid w:val="000E1A4B"/>
    <w:rsid w:val="000E1D2B"/>
    <w:rsid w:val="000E1D50"/>
    <w:rsid w:val="000E1D86"/>
    <w:rsid w:val="000E2021"/>
    <w:rsid w:val="000E2036"/>
    <w:rsid w:val="000E214D"/>
    <w:rsid w:val="000E2378"/>
    <w:rsid w:val="000E25A1"/>
    <w:rsid w:val="000E281B"/>
    <w:rsid w:val="000E2BB4"/>
    <w:rsid w:val="000E34EF"/>
    <w:rsid w:val="000E359B"/>
    <w:rsid w:val="000E35AF"/>
    <w:rsid w:val="000E3679"/>
    <w:rsid w:val="000E372B"/>
    <w:rsid w:val="000E3948"/>
    <w:rsid w:val="000E420E"/>
    <w:rsid w:val="000E43F8"/>
    <w:rsid w:val="000E44F2"/>
    <w:rsid w:val="000E4607"/>
    <w:rsid w:val="000E4C13"/>
    <w:rsid w:val="000E4D3A"/>
    <w:rsid w:val="000E501C"/>
    <w:rsid w:val="000E55D8"/>
    <w:rsid w:val="000E5F30"/>
    <w:rsid w:val="000E5F80"/>
    <w:rsid w:val="000E66E5"/>
    <w:rsid w:val="000E6DB2"/>
    <w:rsid w:val="000E72B5"/>
    <w:rsid w:val="000E79F3"/>
    <w:rsid w:val="000E7BFF"/>
    <w:rsid w:val="000E7C26"/>
    <w:rsid w:val="000F0349"/>
    <w:rsid w:val="000F0A11"/>
    <w:rsid w:val="000F0A27"/>
    <w:rsid w:val="000F0BF2"/>
    <w:rsid w:val="000F1114"/>
    <w:rsid w:val="000F1302"/>
    <w:rsid w:val="000F1F75"/>
    <w:rsid w:val="000F246E"/>
    <w:rsid w:val="000F2793"/>
    <w:rsid w:val="000F2A48"/>
    <w:rsid w:val="000F32F5"/>
    <w:rsid w:val="000F33F8"/>
    <w:rsid w:val="000F344A"/>
    <w:rsid w:val="000F3C55"/>
    <w:rsid w:val="000F3EB4"/>
    <w:rsid w:val="000F400B"/>
    <w:rsid w:val="000F40E8"/>
    <w:rsid w:val="000F4240"/>
    <w:rsid w:val="000F4659"/>
    <w:rsid w:val="000F4687"/>
    <w:rsid w:val="000F4740"/>
    <w:rsid w:val="000F47B6"/>
    <w:rsid w:val="000F4C19"/>
    <w:rsid w:val="000F4D9E"/>
    <w:rsid w:val="000F5345"/>
    <w:rsid w:val="000F53D2"/>
    <w:rsid w:val="000F5717"/>
    <w:rsid w:val="000F581B"/>
    <w:rsid w:val="000F5902"/>
    <w:rsid w:val="000F618F"/>
    <w:rsid w:val="000F67FA"/>
    <w:rsid w:val="000F693C"/>
    <w:rsid w:val="000F7363"/>
    <w:rsid w:val="000F7675"/>
    <w:rsid w:val="000F7882"/>
    <w:rsid w:val="000F78C6"/>
    <w:rsid w:val="000F7922"/>
    <w:rsid w:val="000F7EB2"/>
    <w:rsid w:val="000F7EE5"/>
    <w:rsid w:val="000F7F0D"/>
    <w:rsid w:val="001002FC"/>
    <w:rsid w:val="00100459"/>
    <w:rsid w:val="001005F5"/>
    <w:rsid w:val="00100803"/>
    <w:rsid w:val="001008AC"/>
    <w:rsid w:val="001009FA"/>
    <w:rsid w:val="00100FB6"/>
    <w:rsid w:val="00101422"/>
    <w:rsid w:val="001018F6"/>
    <w:rsid w:val="0010198E"/>
    <w:rsid w:val="00101F59"/>
    <w:rsid w:val="00102548"/>
    <w:rsid w:val="0010259A"/>
    <w:rsid w:val="001026B9"/>
    <w:rsid w:val="00102858"/>
    <w:rsid w:val="00102936"/>
    <w:rsid w:val="00102AC0"/>
    <w:rsid w:val="00102C6C"/>
    <w:rsid w:val="00102D5A"/>
    <w:rsid w:val="001032AF"/>
    <w:rsid w:val="00103495"/>
    <w:rsid w:val="001039EC"/>
    <w:rsid w:val="001039FE"/>
    <w:rsid w:val="00103A08"/>
    <w:rsid w:val="00103B6A"/>
    <w:rsid w:val="001041D5"/>
    <w:rsid w:val="001044AC"/>
    <w:rsid w:val="0010457E"/>
    <w:rsid w:val="001047CC"/>
    <w:rsid w:val="0010481A"/>
    <w:rsid w:val="001048B8"/>
    <w:rsid w:val="00104A1B"/>
    <w:rsid w:val="00104AF3"/>
    <w:rsid w:val="00104C0C"/>
    <w:rsid w:val="00104D00"/>
    <w:rsid w:val="00104F51"/>
    <w:rsid w:val="00105401"/>
    <w:rsid w:val="00105AE3"/>
    <w:rsid w:val="00105B27"/>
    <w:rsid w:val="00106110"/>
    <w:rsid w:val="0010615A"/>
    <w:rsid w:val="00106186"/>
    <w:rsid w:val="0010628F"/>
    <w:rsid w:val="00106911"/>
    <w:rsid w:val="00106E8E"/>
    <w:rsid w:val="00107111"/>
    <w:rsid w:val="001072DF"/>
    <w:rsid w:val="00107304"/>
    <w:rsid w:val="00107507"/>
    <w:rsid w:val="00107783"/>
    <w:rsid w:val="00107CB7"/>
    <w:rsid w:val="00107E29"/>
    <w:rsid w:val="00110076"/>
    <w:rsid w:val="00110442"/>
    <w:rsid w:val="00110646"/>
    <w:rsid w:val="00110AD7"/>
    <w:rsid w:val="00110AF3"/>
    <w:rsid w:val="00110E2E"/>
    <w:rsid w:val="001116F6"/>
    <w:rsid w:val="00111754"/>
    <w:rsid w:val="001119CE"/>
    <w:rsid w:val="00111AA3"/>
    <w:rsid w:val="00111B0E"/>
    <w:rsid w:val="00111CD2"/>
    <w:rsid w:val="00112213"/>
    <w:rsid w:val="001127CE"/>
    <w:rsid w:val="001127F5"/>
    <w:rsid w:val="00112F37"/>
    <w:rsid w:val="001137E8"/>
    <w:rsid w:val="00113CA4"/>
    <w:rsid w:val="00113EC2"/>
    <w:rsid w:val="00114182"/>
    <w:rsid w:val="00114C4D"/>
    <w:rsid w:val="00114F83"/>
    <w:rsid w:val="00115209"/>
    <w:rsid w:val="001153DB"/>
    <w:rsid w:val="00115509"/>
    <w:rsid w:val="00115570"/>
    <w:rsid w:val="00115722"/>
    <w:rsid w:val="0011596B"/>
    <w:rsid w:val="00115B82"/>
    <w:rsid w:val="00115BCA"/>
    <w:rsid w:val="00115D23"/>
    <w:rsid w:val="00115E02"/>
    <w:rsid w:val="001160AC"/>
    <w:rsid w:val="001160DE"/>
    <w:rsid w:val="00116242"/>
    <w:rsid w:val="001162C3"/>
    <w:rsid w:val="00116663"/>
    <w:rsid w:val="00116912"/>
    <w:rsid w:val="00116B85"/>
    <w:rsid w:val="00117025"/>
    <w:rsid w:val="0011710D"/>
    <w:rsid w:val="00117576"/>
    <w:rsid w:val="0011779A"/>
    <w:rsid w:val="00117E42"/>
    <w:rsid w:val="0012015A"/>
    <w:rsid w:val="001201BC"/>
    <w:rsid w:val="00120435"/>
    <w:rsid w:val="0012067B"/>
    <w:rsid w:val="00120B46"/>
    <w:rsid w:val="00120DD7"/>
    <w:rsid w:val="00121023"/>
    <w:rsid w:val="00121164"/>
    <w:rsid w:val="0012171C"/>
    <w:rsid w:val="00121744"/>
    <w:rsid w:val="0012211C"/>
    <w:rsid w:val="001222A6"/>
    <w:rsid w:val="001223F2"/>
    <w:rsid w:val="0012256D"/>
    <w:rsid w:val="00122775"/>
    <w:rsid w:val="00122926"/>
    <w:rsid w:val="00122A6F"/>
    <w:rsid w:val="00122E6E"/>
    <w:rsid w:val="00122E9F"/>
    <w:rsid w:val="001232CF"/>
    <w:rsid w:val="00123468"/>
    <w:rsid w:val="00123640"/>
    <w:rsid w:val="001241F3"/>
    <w:rsid w:val="0012483E"/>
    <w:rsid w:val="001248D1"/>
    <w:rsid w:val="00124CEB"/>
    <w:rsid w:val="00124F08"/>
    <w:rsid w:val="00124FBD"/>
    <w:rsid w:val="001253E3"/>
    <w:rsid w:val="00125C75"/>
    <w:rsid w:val="001260B6"/>
    <w:rsid w:val="00126534"/>
    <w:rsid w:val="00126657"/>
    <w:rsid w:val="0012668C"/>
    <w:rsid w:val="00126E6A"/>
    <w:rsid w:val="00126F50"/>
    <w:rsid w:val="00126FE8"/>
    <w:rsid w:val="00127016"/>
    <w:rsid w:val="00127181"/>
    <w:rsid w:val="00127421"/>
    <w:rsid w:val="00127865"/>
    <w:rsid w:val="00127A17"/>
    <w:rsid w:val="00127DFB"/>
    <w:rsid w:val="00127E91"/>
    <w:rsid w:val="00127ECB"/>
    <w:rsid w:val="0013028F"/>
    <w:rsid w:val="00130B46"/>
    <w:rsid w:val="00130D05"/>
    <w:rsid w:val="00130D86"/>
    <w:rsid w:val="00130DEB"/>
    <w:rsid w:val="00130F20"/>
    <w:rsid w:val="0013131B"/>
    <w:rsid w:val="001319F5"/>
    <w:rsid w:val="00131AA7"/>
    <w:rsid w:val="00131CEE"/>
    <w:rsid w:val="00131F44"/>
    <w:rsid w:val="001321FB"/>
    <w:rsid w:val="0013243E"/>
    <w:rsid w:val="001324AF"/>
    <w:rsid w:val="001325C5"/>
    <w:rsid w:val="00132D9D"/>
    <w:rsid w:val="0013316E"/>
    <w:rsid w:val="00133533"/>
    <w:rsid w:val="001336D9"/>
    <w:rsid w:val="00133AF0"/>
    <w:rsid w:val="00134174"/>
    <w:rsid w:val="00134290"/>
    <w:rsid w:val="00134622"/>
    <w:rsid w:val="0013472B"/>
    <w:rsid w:val="0013518D"/>
    <w:rsid w:val="001352D6"/>
    <w:rsid w:val="0013539B"/>
    <w:rsid w:val="0013562A"/>
    <w:rsid w:val="0013577C"/>
    <w:rsid w:val="001358D8"/>
    <w:rsid w:val="00135C9A"/>
    <w:rsid w:val="00135EFA"/>
    <w:rsid w:val="0013605A"/>
    <w:rsid w:val="001361D0"/>
    <w:rsid w:val="001363CE"/>
    <w:rsid w:val="00136B79"/>
    <w:rsid w:val="0013707A"/>
    <w:rsid w:val="0013728E"/>
    <w:rsid w:val="0013744D"/>
    <w:rsid w:val="0013756F"/>
    <w:rsid w:val="00137965"/>
    <w:rsid w:val="00137E23"/>
    <w:rsid w:val="00140790"/>
    <w:rsid w:val="001409DB"/>
    <w:rsid w:val="00140F7A"/>
    <w:rsid w:val="0014103C"/>
    <w:rsid w:val="00141132"/>
    <w:rsid w:val="001412E1"/>
    <w:rsid w:val="0014217F"/>
    <w:rsid w:val="0014268A"/>
    <w:rsid w:val="00142994"/>
    <w:rsid w:val="00142CDD"/>
    <w:rsid w:val="00142E1F"/>
    <w:rsid w:val="001436DA"/>
    <w:rsid w:val="0014373D"/>
    <w:rsid w:val="00143819"/>
    <w:rsid w:val="0014394F"/>
    <w:rsid w:val="00143E0C"/>
    <w:rsid w:val="00143F08"/>
    <w:rsid w:val="00144130"/>
    <w:rsid w:val="001444EF"/>
    <w:rsid w:val="00145298"/>
    <w:rsid w:val="001452B6"/>
    <w:rsid w:val="001453B5"/>
    <w:rsid w:val="001456A6"/>
    <w:rsid w:val="001457F1"/>
    <w:rsid w:val="00145908"/>
    <w:rsid w:val="0014590C"/>
    <w:rsid w:val="00145ED1"/>
    <w:rsid w:val="00145F63"/>
    <w:rsid w:val="001466A7"/>
    <w:rsid w:val="00146A06"/>
    <w:rsid w:val="00146A86"/>
    <w:rsid w:val="00146D15"/>
    <w:rsid w:val="00146DA6"/>
    <w:rsid w:val="00146E9A"/>
    <w:rsid w:val="00147096"/>
    <w:rsid w:val="001471C9"/>
    <w:rsid w:val="0014730B"/>
    <w:rsid w:val="0014744C"/>
    <w:rsid w:val="001477C2"/>
    <w:rsid w:val="001479DE"/>
    <w:rsid w:val="00147A7B"/>
    <w:rsid w:val="00147ACA"/>
    <w:rsid w:val="00147F22"/>
    <w:rsid w:val="00150358"/>
    <w:rsid w:val="00150A43"/>
    <w:rsid w:val="00150C29"/>
    <w:rsid w:val="00150C57"/>
    <w:rsid w:val="00150D63"/>
    <w:rsid w:val="00150D85"/>
    <w:rsid w:val="00150E10"/>
    <w:rsid w:val="00150F91"/>
    <w:rsid w:val="00150FD2"/>
    <w:rsid w:val="00151077"/>
    <w:rsid w:val="00151474"/>
    <w:rsid w:val="001517C5"/>
    <w:rsid w:val="001517F1"/>
    <w:rsid w:val="0015196C"/>
    <w:rsid w:val="001520EB"/>
    <w:rsid w:val="00152136"/>
    <w:rsid w:val="0015246E"/>
    <w:rsid w:val="001526A5"/>
    <w:rsid w:val="00152761"/>
    <w:rsid w:val="001528AC"/>
    <w:rsid w:val="00152D1D"/>
    <w:rsid w:val="00153049"/>
    <w:rsid w:val="00153538"/>
    <w:rsid w:val="001537A8"/>
    <w:rsid w:val="00154AE8"/>
    <w:rsid w:val="00154F1C"/>
    <w:rsid w:val="00155020"/>
    <w:rsid w:val="001550EE"/>
    <w:rsid w:val="0015572E"/>
    <w:rsid w:val="00155833"/>
    <w:rsid w:val="00155894"/>
    <w:rsid w:val="00155A40"/>
    <w:rsid w:val="00155F42"/>
    <w:rsid w:val="0015618B"/>
    <w:rsid w:val="00156865"/>
    <w:rsid w:val="00156D9F"/>
    <w:rsid w:val="00157035"/>
    <w:rsid w:val="00157064"/>
    <w:rsid w:val="00157446"/>
    <w:rsid w:val="00157534"/>
    <w:rsid w:val="00157590"/>
    <w:rsid w:val="0015765A"/>
    <w:rsid w:val="0015786E"/>
    <w:rsid w:val="00157952"/>
    <w:rsid w:val="00157ACF"/>
    <w:rsid w:val="00157C5D"/>
    <w:rsid w:val="00157DF9"/>
    <w:rsid w:val="00157E65"/>
    <w:rsid w:val="00160129"/>
    <w:rsid w:val="00160344"/>
    <w:rsid w:val="00160E81"/>
    <w:rsid w:val="00161273"/>
    <w:rsid w:val="001613DB"/>
    <w:rsid w:val="001615CA"/>
    <w:rsid w:val="00161601"/>
    <w:rsid w:val="00161892"/>
    <w:rsid w:val="00161AEF"/>
    <w:rsid w:val="00161C86"/>
    <w:rsid w:val="00162653"/>
    <w:rsid w:val="00162670"/>
    <w:rsid w:val="001629C3"/>
    <w:rsid w:val="00162B31"/>
    <w:rsid w:val="00162C75"/>
    <w:rsid w:val="00162E89"/>
    <w:rsid w:val="001632F1"/>
    <w:rsid w:val="0016371A"/>
    <w:rsid w:val="001641C5"/>
    <w:rsid w:val="00164320"/>
    <w:rsid w:val="00164433"/>
    <w:rsid w:val="00164909"/>
    <w:rsid w:val="00164A82"/>
    <w:rsid w:val="00164B52"/>
    <w:rsid w:val="00164EF5"/>
    <w:rsid w:val="00164F7A"/>
    <w:rsid w:val="001652C0"/>
    <w:rsid w:val="0016530F"/>
    <w:rsid w:val="001654E3"/>
    <w:rsid w:val="00165F19"/>
    <w:rsid w:val="00166088"/>
    <w:rsid w:val="0016609E"/>
    <w:rsid w:val="001661FE"/>
    <w:rsid w:val="001664BB"/>
    <w:rsid w:val="00166E8F"/>
    <w:rsid w:val="00167107"/>
    <w:rsid w:val="001671A6"/>
    <w:rsid w:val="0016730F"/>
    <w:rsid w:val="001674CB"/>
    <w:rsid w:val="00167902"/>
    <w:rsid w:val="00167F2A"/>
    <w:rsid w:val="00170036"/>
    <w:rsid w:val="001700E8"/>
    <w:rsid w:val="001701C5"/>
    <w:rsid w:val="001702DB"/>
    <w:rsid w:val="00170432"/>
    <w:rsid w:val="00170447"/>
    <w:rsid w:val="0017094B"/>
    <w:rsid w:val="00170DA0"/>
    <w:rsid w:val="001712E7"/>
    <w:rsid w:val="001713E0"/>
    <w:rsid w:val="00171DED"/>
    <w:rsid w:val="00171FC5"/>
    <w:rsid w:val="00172163"/>
    <w:rsid w:val="00172A02"/>
    <w:rsid w:val="00172F56"/>
    <w:rsid w:val="00173136"/>
    <w:rsid w:val="00173557"/>
    <w:rsid w:val="00173CA9"/>
    <w:rsid w:val="00173E74"/>
    <w:rsid w:val="00174012"/>
    <w:rsid w:val="001742DD"/>
    <w:rsid w:val="001744C6"/>
    <w:rsid w:val="0017476A"/>
    <w:rsid w:val="00174C4B"/>
    <w:rsid w:val="00174FE4"/>
    <w:rsid w:val="001750A4"/>
    <w:rsid w:val="00175139"/>
    <w:rsid w:val="001756F8"/>
    <w:rsid w:val="0017579A"/>
    <w:rsid w:val="001757B5"/>
    <w:rsid w:val="00176222"/>
    <w:rsid w:val="001763DB"/>
    <w:rsid w:val="001765A2"/>
    <w:rsid w:val="00176B04"/>
    <w:rsid w:val="001772AA"/>
    <w:rsid w:val="0017749A"/>
    <w:rsid w:val="0017764C"/>
    <w:rsid w:val="001777A4"/>
    <w:rsid w:val="00177E0B"/>
    <w:rsid w:val="0018036F"/>
    <w:rsid w:val="00180379"/>
    <w:rsid w:val="00180791"/>
    <w:rsid w:val="001807F9"/>
    <w:rsid w:val="00180905"/>
    <w:rsid w:val="00180DE6"/>
    <w:rsid w:val="00180E7B"/>
    <w:rsid w:val="00181173"/>
    <w:rsid w:val="00181E4B"/>
    <w:rsid w:val="001826EF"/>
    <w:rsid w:val="0018291C"/>
    <w:rsid w:val="00182B08"/>
    <w:rsid w:val="00183230"/>
    <w:rsid w:val="00183476"/>
    <w:rsid w:val="00183675"/>
    <w:rsid w:val="001837C3"/>
    <w:rsid w:val="00183B93"/>
    <w:rsid w:val="00183C93"/>
    <w:rsid w:val="00184B58"/>
    <w:rsid w:val="00184E09"/>
    <w:rsid w:val="00185041"/>
    <w:rsid w:val="0018510D"/>
    <w:rsid w:val="001851C0"/>
    <w:rsid w:val="0018520F"/>
    <w:rsid w:val="001856F5"/>
    <w:rsid w:val="001858FD"/>
    <w:rsid w:val="0018594F"/>
    <w:rsid w:val="00185F8E"/>
    <w:rsid w:val="00186233"/>
    <w:rsid w:val="00186ABF"/>
    <w:rsid w:val="00186AFD"/>
    <w:rsid w:val="00186ED5"/>
    <w:rsid w:val="001875E6"/>
    <w:rsid w:val="00187856"/>
    <w:rsid w:val="00187EBE"/>
    <w:rsid w:val="00187EEC"/>
    <w:rsid w:val="00187F69"/>
    <w:rsid w:val="00187F91"/>
    <w:rsid w:val="00187FE0"/>
    <w:rsid w:val="00187FE5"/>
    <w:rsid w:val="00190076"/>
    <w:rsid w:val="001909FD"/>
    <w:rsid w:val="00190B08"/>
    <w:rsid w:val="00191447"/>
    <w:rsid w:val="0019172C"/>
    <w:rsid w:val="00191DAF"/>
    <w:rsid w:val="00191DF9"/>
    <w:rsid w:val="0019240A"/>
    <w:rsid w:val="0019246D"/>
    <w:rsid w:val="00193065"/>
    <w:rsid w:val="001931FF"/>
    <w:rsid w:val="00193BB3"/>
    <w:rsid w:val="00194041"/>
    <w:rsid w:val="0019410E"/>
    <w:rsid w:val="00194A74"/>
    <w:rsid w:val="00194BA9"/>
    <w:rsid w:val="0019528C"/>
    <w:rsid w:val="0019599D"/>
    <w:rsid w:val="00195C54"/>
    <w:rsid w:val="00195D40"/>
    <w:rsid w:val="00196838"/>
    <w:rsid w:val="0019687F"/>
    <w:rsid w:val="00196A07"/>
    <w:rsid w:val="00196CB3"/>
    <w:rsid w:val="00196F90"/>
    <w:rsid w:val="00196F91"/>
    <w:rsid w:val="00197332"/>
    <w:rsid w:val="00197D48"/>
    <w:rsid w:val="001A028C"/>
    <w:rsid w:val="001A0C76"/>
    <w:rsid w:val="001A0D27"/>
    <w:rsid w:val="001A11AF"/>
    <w:rsid w:val="001A11C6"/>
    <w:rsid w:val="001A126F"/>
    <w:rsid w:val="001A1635"/>
    <w:rsid w:val="001A18ED"/>
    <w:rsid w:val="001A1C39"/>
    <w:rsid w:val="001A1DA7"/>
    <w:rsid w:val="001A1DEC"/>
    <w:rsid w:val="001A1F7F"/>
    <w:rsid w:val="001A1FAA"/>
    <w:rsid w:val="001A200E"/>
    <w:rsid w:val="001A20B8"/>
    <w:rsid w:val="001A24BB"/>
    <w:rsid w:val="001A2584"/>
    <w:rsid w:val="001A2678"/>
    <w:rsid w:val="001A2C5C"/>
    <w:rsid w:val="001A2DB9"/>
    <w:rsid w:val="001A2E48"/>
    <w:rsid w:val="001A2F6D"/>
    <w:rsid w:val="001A35F6"/>
    <w:rsid w:val="001A3951"/>
    <w:rsid w:val="001A3C21"/>
    <w:rsid w:val="001A41C8"/>
    <w:rsid w:val="001A44D9"/>
    <w:rsid w:val="001A465D"/>
    <w:rsid w:val="001A4A7D"/>
    <w:rsid w:val="001A4B0E"/>
    <w:rsid w:val="001A5BB0"/>
    <w:rsid w:val="001A5C11"/>
    <w:rsid w:val="001A5CAB"/>
    <w:rsid w:val="001A5CF8"/>
    <w:rsid w:val="001A5F12"/>
    <w:rsid w:val="001A60CE"/>
    <w:rsid w:val="001A622F"/>
    <w:rsid w:val="001A64DF"/>
    <w:rsid w:val="001A68F3"/>
    <w:rsid w:val="001A6B55"/>
    <w:rsid w:val="001A6F10"/>
    <w:rsid w:val="001A72CD"/>
    <w:rsid w:val="001A76FD"/>
    <w:rsid w:val="001B09D2"/>
    <w:rsid w:val="001B0BE3"/>
    <w:rsid w:val="001B0E3A"/>
    <w:rsid w:val="001B1EAC"/>
    <w:rsid w:val="001B21FB"/>
    <w:rsid w:val="001B2266"/>
    <w:rsid w:val="001B22B7"/>
    <w:rsid w:val="001B2A58"/>
    <w:rsid w:val="001B2D59"/>
    <w:rsid w:val="001B30F7"/>
    <w:rsid w:val="001B332D"/>
    <w:rsid w:val="001B3CBD"/>
    <w:rsid w:val="001B3F3C"/>
    <w:rsid w:val="001B3F7F"/>
    <w:rsid w:val="001B47B9"/>
    <w:rsid w:val="001B4939"/>
    <w:rsid w:val="001B4DC1"/>
    <w:rsid w:val="001B5040"/>
    <w:rsid w:val="001B542A"/>
    <w:rsid w:val="001B552C"/>
    <w:rsid w:val="001B5F61"/>
    <w:rsid w:val="001B6A4E"/>
    <w:rsid w:val="001B6BD8"/>
    <w:rsid w:val="001B6F65"/>
    <w:rsid w:val="001B72FB"/>
    <w:rsid w:val="001B7663"/>
    <w:rsid w:val="001B76CB"/>
    <w:rsid w:val="001B77D2"/>
    <w:rsid w:val="001B782A"/>
    <w:rsid w:val="001B7D95"/>
    <w:rsid w:val="001B7DE5"/>
    <w:rsid w:val="001C0293"/>
    <w:rsid w:val="001C048E"/>
    <w:rsid w:val="001C0511"/>
    <w:rsid w:val="001C05A3"/>
    <w:rsid w:val="001C0767"/>
    <w:rsid w:val="001C08C8"/>
    <w:rsid w:val="001C0A8A"/>
    <w:rsid w:val="001C1213"/>
    <w:rsid w:val="001C14F7"/>
    <w:rsid w:val="001C15AC"/>
    <w:rsid w:val="001C16FA"/>
    <w:rsid w:val="001C1A34"/>
    <w:rsid w:val="001C1A92"/>
    <w:rsid w:val="001C1CF3"/>
    <w:rsid w:val="001C1E47"/>
    <w:rsid w:val="001C1F3B"/>
    <w:rsid w:val="001C21D3"/>
    <w:rsid w:val="001C23CF"/>
    <w:rsid w:val="001C272A"/>
    <w:rsid w:val="001C2C33"/>
    <w:rsid w:val="001C2DDC"/>
    <w:rsid w:val="001C2E51"/>
    <w:rsid w:val="001C2EC8"/>
    <w:rsid w:val="001C3070"/>
    <w:rsid w:val="001C30E0"/>
    <w:rsid w:val="001C314C"/>
    <w:rsid w:val="001C3223"/>
    <w:rsid w:val="001C3338"/>
    <w:rsid w:val="001C3511"/>
    <w:rsid w:val="001C3933"/>
    <w:rsid w:val="001C395D"/>
    <w:rsid w:val="001C3B38"/>
    <w:rsid w:val="001C3DB3"/>
    <w:rsid w:val="001C4071"/>
    <w:rsid w:val="001C4270"/>
    <w:rsid w:val="001C436F"/>
    <w:rsid w:val="001C455E"/>
    <w:rsid w:val="001C46EE"/>
    <w:rsid w:val="001C471F"/>
    <w:rsid w:val="001C4932"/>
    <w:rsid w:val="001C4D42"/>
    <w:rsid w:val="001C4D4F"/>
    <w:rsid w:val="001C4E2F"/>
    <w:rsid w:val="001C5437"/>
    <w:rsid w:val="001C5486"/>
    <w:rsid w:val="001C5593"/>
    <w:rsid w:val="001C599E"/>
    <w:rsid w:val="001C5C18"/>
    <w:rsid w:val="001C6647"/>
    <w:rsid w:val="001C6A9A"/>
    <w:rsid w:val="001C6FB6"/>
    <w:rsid w:val="001C7113"/>
    <w:rsid w:val="001C74F1"/>
    <w:rsid w:val="001C760D"/>
    <w:rsid w:val="001C798E"/>
    <w:rsid w:val="001C7B03"/>
    <w:rsid w:val="001C7B92"/>
    <w:rsid w:val="001C7D91"/>
    <w:rsid w:val="001C7FEA"/>
    <w:rsid w:val="001D0045"/>
    <w:rsid w:val="001D02E7"/>
    <w:rsid w:val="001D07D0"/>
    <w:rsid w:val="001D0D92"/>
    <w:rsid w:val="001D0E10"/>
    <w:rsid w:val="001D1D78"/>
    <w:rsid w:val="001D1E0B"/>
    <w:rsid w:val="001D28EC"/>
    <w:rsid w:val="001D2E91"/>
    <w:rsid w:val="001D3373"/>
    <w:rsid w:val="001D3523"/>
    <w:rsid w:val="001D37D9"/>
    <w:rsid w:val="001D3A98"/>
    <w:rsid w:val="001D3F83"/>
    <w:rsid w:val="001D4003"/>
    <w:rsid w:val="001D4267"/>
    <w:rsid w:val="001D427B"/>
    <w:rsid w:val="001D4337"/>
    <w:rsid w:val="001D477B"/>
    <w:rsid w:val="001D479D"/>
    <w:rsid w:val="001D4EC5"/>
    <w:rsid w:val="001D5734"/>
    <w:rsid w:val="001D5AC3"/>
    <w:rsid w:val="001D5AF5"/>
    <w:rsid w:val="001D5C39"/>
    <w:rsid w:val="001D607E"/>
    <w:rsid w:val="001D6614"/>
    <w:rsid w:val="001D67C3"/>
    <w:rsid w:val="001D6907"/>
    <w:rsid w:val="001D6E6B"/>
    <w:rsid w:val="001D6E6D"/>
    <w:rsid w:val="001D7106"/>
    <w:rsid w:val="001D75BF"/>
    <w:rsid w:val="001D7F0D"/>
    <w:rsid w:val="001E006E"/>
    <w:rsid w:val="001E0084"/>
    <w:rsid w:val="001E0217"/>
    <w:rsid w:val="001E022C"/>
    <w:rsid w:val="001E04C4"/>
    <w:rsid w:val="001E05FA"/>
    <w:rsid w:val="001E07DC"/>
    <w:rsid w:val="001E0C6B"/>
    <w:rsid w:val="001E0DE2"/>
    <w:rsid w:val="001E1262"/>
    <w:rsid w:val="001E129D"/>
    <w:rsid w:val="001E13C0"/>
    <w:rsid w:val="001E16E1"/>
    <w:rsid w:val="001E2008"/>
    <w:rsid w:val="001E22B2"/>
    <w:rsid w:val="001E234C"/>
    <w:rsid w:val="001E249C"/>
    <w:rsid w:val="001E2677"/>
    <w:rsid w:val="001E3166"/>
    <w:rsid w:val="001E321E"/>
    <w:rsid w:val="001E32D8"/>
    <w:rsid w:val="001E350A"/>
    <w:rsid w:val="001E35C4"/>
    <w:rsid w:val="001E4223"/>
    <w:rsid w:val="001E4592"/>
    <w:rsid w:val="001E4596"/>
    <w:rsid w:val="001E516B"/>
    <w:rsid w:val="001E565B"/>
    <w:rsid w:val="001E5CFB"/>
    <w:rsid w:val="001E5D99"/>
    <w:rsid w:val="001E5ED0"/>
    <w:rsid w:val="001E5ED4"/>
    <w:rsid w:val="001E5FBD"/>
    <w:rsid w:val="001E6135"/>
    <w:rsid w:val="001E6141"/>
    <w:rsid w:val="001E62AF"/>
    <w:rsid w:val="001E62BC"/>
    <w:rsid w:val="001E6312"/>
    <w:rsid w:val="001E66CD"/>
    <w:rsid w:val="001E6CDD"/>
    <w:rsid w:val="001E6D70"/>
    <w:rsid w:val="001E70DE"/>
    <w:rsid w:val="001E74C1"/>
    <w:rsid w:val="001E7844"/>
    <w:rsid w:val="001E7A58"/>
    <w:rsid w:val="001E7E5F"/>
    <w:rsid w:val="001F0242"/>
    <w:rsid w:val="001F03AA"/>
    <w:rsid w:val="001F03FE"/>
    <w:rsid w:val="001F0779"/>
    <w:rsid w:val="001F0852"/>
    <w:rsid w:val="001F0BF3"/>
    <w:rsid w:val="001F0C6C"/>
    <w:rsid w:val="001F0D40"/>
    <w:rsid w:val="001F0D60"/>
    <w:rsid w:val="001F0E80"/>
    <w:rsid w:val="001F166C"/>
    <w:rsid w:val="001F16AF"/>
    <w:rsid w:val="001F1B71"/>
    <w:rsid w:val="001F1D7B"/>
    <w:rsid w:val="001F1F65"/>
    <w:rsid w:val="001F2267"/>
    <w:rsid w:val="001F2598"/>
    <w:rsid w:val="001F261E"/>
    <w:rsid w:val="001F2701"/>
    <w:rsid w:val="001F2727"/>
    <w:rsid w:val="001F2864"/>
    <w:rsid w:val="001F2B99"/>
    <w:rsid w:val="001F324E"/>
    <w:rsid w:val="001F356A"/>
    <w:rsid w:val="001F35D2"/>
    <w:rsid w:val="001F3684"/>
    <w:rsid w:val="001F3754"/>
    <w:rsid w:val="001F3804"/>
    <w:rsid w:val="001F3A5C"/>
    <w:rsid w:val="001F3DDC"/>
    <w:rsid w:val="001F4660"/>
    <w:rsid w:val="001F5335"/>
    <w:rsid w:val="001F55E8"/>
    <w:rsid w:val="001F59AC"/>
    <w:rsid w:val="001F59B5"/>
    <w:rsid w:val="001F5BDA"/>
    <w:rsid w:val="001F5CCB"/>
    <w:rsid w:val="001F604F"/>
    <w:rsid w:val="001F6328"/>
    <w:rsid w:val="001F6511"/>
    <w:rsid w:val="001F670D"/>
    <w:rsid w:val="001F6724"/>
    <w:rsid w:val="001F6CDF"/>
    <w:rsid w:val="001F724D"/>
    <w:rsid w:val="001F78A4"/>
    <w:rsid w:val="001F7C37"/>
    <w:rsid w:val="00200042"/>
    <w:rsid w:val="0020076E"/>
    <w:rsid w:val="00200AB2"/>
    <w:rsid w:val="00201408"/>
    <w:rsid w:val="002018FC"/>
    <w:rsid w:val="00201A42"/>
    <w:rsid w:val="00201A7A"/>
    <w:rsid w:val="00201B0C"/>
    <w:rsid w:val="00201D12"/>
    <w:rsid w:val="00202318"/>
    <w:rsid w:val="00202474"/>
    <w:rsid w:val="0020255A"/>
    <w:rsid w:val="002026CE"/>
    <w:rsid w:val="00202788"/>
    <w:rsid w:val="00202796"/>
    <w:rsid w:val="0020294E"/>
    <w:rsid w:val="00202FE4"/>
    <w:rsid w:val="00203118"/>
    <w:rsid w:val="002036A0"/>
    <w:rsid w:val="00203C94"/>
    <w:rsid w:val="00203F08"/>
    <w:rsid w:val="002043B5"/>
    <w:rsid w:val="002049D7"/>
    <w:rsid w:val="00204B63"/>
    <w:rsid w:val="0020525F"/>
    <w:rsid w:val="00205564"/>
    <w:rsid w:val="00205629"/>
    <w:rsid w:val="00205985"/>
    <w:rsid w:val="00205B6B"/>
    <w:rsid w:val="00205C89"/>
    <w:rsid w:val="00205D9D"/>
    <w:rsid w:val="00205DC0"/>
    <w:rsid w:val="00205FB4"/>
    <w:rsid w:val="00206204"/>
    <w:rsid w:val="00206475"/>
    <w:rsid w:val="00206621"/>
    <w:rsid w:val="0020666F"/>
    <w:rsid w:val="0020669A"/>
    <w:rsid w:val="00206966"/>
    <w:rsid w:val="00206A94"/>
    <w:rsid w:val="00206E2C"/>
    <w:rsid w:val="00206ECB"/>
    <w:rsid w:val="002071C5"/>
    <w:rsid w:val="00207376"/>
    <w:rsid w:val="002078CA"/>
    <w:rsid w:val="0021014A"/>
    <w:rsid w:val="00210976"/>
    <w:rsid w:val="002109A0"/>
    <w:rsid w:val="00210A56"/>
    <w:rsid w:val="00210BAD"/>
    <w:rsid w:val="00210FA1"/>
    <w:rsid w:val="00211041"/>
    <w:rsid w:val="002110A3"/>
    <w:rsid w:val="002113A3"/>
    <w:rsid w:val="00211435"/>
    <w:rsid w:val="00211544"/>
    <w:rsid w:val="00211984"/>
    <w:rsid w:val="002119E2"/>
    <w:rsid w:val="00211CC9"/>
    <w:rsid w:val="00211E1C"/>
    <w:rsid w:val="002122FB"/>
    <w:rsid w:val="00212617"/>
    <w:rsid w:val="00212D92"/>
    <w:rsid w:val="002130BA"/>
    <w:rsid w:val="0021317C"/>
    <w:rsid w:val="002132F6"/>
    <w:rsid w:val="00213367"/>
    <w:rsid w:val="0021353F"/>
    <w:rsid w:val="002137F5"/>
    <w:rsid w:val="00213A32"/>
    <w:rsid w:val="00213AA2"/>
    <w:rsid w:val="00213BB1"/>
    <w:rsid w:val="00213BC4"/>
    <w:rsid w:val="002141E0"/>
    <w:rsid w:val="002145A3"/>
    <w:rsid w:val="00214AAC"/>
    <w:rsid w:val="00214FE7"/>
    <w:rsid w:val="002154AF"/>
    <w:rsid w:val="002155D9"/>
    <w:rsid w:val="002155E7"/>
    <w:rsid w:val="002157CE"/>
    <w:rsid w:val="002158D2"/>
    <w:rsid w:val="002158E2"/>
    <w:rsid w:val="002158EF"/>
    <w:rsid w:val="00215F84"/>
    <w:rsid w:val="00216056"/>
    <w:rsid w:val="0021646A"/>
    <w:rsid w:val="00216D2F"/>
    <w:rsid w:val="00216E5B"/>
    <w:rsid w:val="002173AF"/>
    <w:rsid w:val="00217570"/>
    <w:rsid w:val="002175BC"/>
    <w:rsid w:val="002175E0"/>
    <w:rsid w:val="002179E0"/>
    <w:rsid w:val="00217C68"/>
    <w:rsid w:val="002204CA"/>
    <w:rsid w:val="00220C00"/>
    <w:rsid w:val="0022119E"/>
    <w:rsid w:val="00221272"/>
    <w:rsid w:val="0022146A"/>
    <w:rsid w:val="00221609"/>
    <w:rsid w:val="002218A2"/>
    <w:rsid w:val="00221F48"/>
    <w:rsid w:val="002222DD"/>
    <w:rsid w:val="0022238E"/>
    <w:rsid w:val="00222472"/>
    <w:rsid w:val="002226C4"/>
    <w:rsid w:val="0022298F"/>
    <w:rsid w:val="00222A91"/>
    <w:rsid w:val="00222EA2"/>
    <w:rsid w:val="00223198"/>
    <w:rsid w:val="00223725"/>
    <w:rsid w:val="00223AE3"/>
    <w:rsid w:val="00223C38"/>
    <w:rsid w:val="002240AC"/>
    <w:rsid w:val="0022420B"/>
    <w:rsid w:val="00224265"/>
    <w:rsid w:val="0022427B"/>
    <w:rsid w:val="0022431B"/>
    <w:rsid w:val="002244C9"/>
    <w:rsid w:val="00224B2F"/>
    <w:rsid w:val="00224BC6"/>
    <w:rsid w:val="00224C12"/>
    <w:rsid w:val="0022527F"/>
    <w:rsid w:val="00225741"/>
    <w:rsid w:val="00225A21"/>
    <w:rsid w:val="0022658B"/>
    <w:rsid w:val="002265B4"/>
    <w:rsid w:val="00226698"/>
    <w:rsid w:val="00227227"/>
    <w:rsid w:val="002279DE"/>
    <w:rsid w:val="00227D89"/>
    <w:rsid w:val="00227E7F"/>
    <w:rsid w:val="002300FF"/>
    <w:rsid w:val="00230835"/>
    <w:rsid w:val="00230D7E"/>
    <w:rsid w:val="00230F38"/>
    <w:rsid w:val="002314FE"/>
    <w:rsid w:val="00231722"/>
    <w:rsid w:val="002317CF"/>
    <w:rsid w:val="00231E05"/>
    <w:rsid w:val="00232076"/>
    <w:rsid w:val="002324E4"/>
    <w:rsid w:val="0023253E"/>
    <w:rsid w:val="00232720"/>
    <w:rsid w:val="00232870"/>
    <w:rsid w:val="0023298B"/>
    <w:rsid w:val="00232AAD"/>
    <w:rsid w:val="00233D1D"/>
    <w:rsid w:val="002345CB"/>
    <w:rsid w:val="00235050"/>
    <w:rsid w:val="002352F0"/>
    <w:rsid w:val="00235703"/>
    <w:rsid w:val="002357D0"/>
    <w:rsid w:val="00235BBA"/>
    <w:rsid w:val="00235DCE"/>
    <w:rsid w:val="00236848"/>
    <w:rsid w:val="00236B5B"/>
    <w:rsid w:val="00236CD3"/>
    <w:rsid w:val="0023771B"/>
    <w:rsid w:val="00237774"/>
    <w:rsid w:val="002379F2"/>
    <w:rsid w:val="00237A44"/>
    <w:rsid w:val="00237B6D"/>
    <w:rsid w:val="00237E86"/>
    <w:rsid w:val="00237F48"/>
    <w:rsid w:val="0024052C"/>
    <w:rsid w:val="00240C52"/>
    <w:rsid w:val="002410CA"/>
    <w:rsid w:val="00241975"/>
    <w:rsid w:val="00242039"/>
    <w:rsid w:val="0024211C"/>
    <w:rsid w:val="00242572"/>
    <w:rsid w:val="00242657"/>
    <w:rsid w:val="0024269A"/>
    <w:rsid w:val="0024277E"/>
    <w:rsid w:val="002427B3"/>
    <w:rsid w:val="00242805"/>
    <w:rsid w:val="00242A27"/>
    <w:rsid w:val="00242A77"/>
    <w:rsid w:val="00242C0D"/>
    <w:rsid w:val="00243B26"/>
    <w:rsid w:val="00243F3E"/>
    <w:rsid w:val="002440B3"/>
    <w:rsid w:val="00244258"/>
    <w:rsid w:val="002442FE"/>
    <w:rsid w:val="0024481E"/>
    <w:rsid w:val="0024487D"/>
    <w:rsid w:val="00244A7B"/>
    <w:rsid w:val="00244B23"/>
    <w:rsid w:val="00244E15"/>
    <w:rsid w:val="00245171"/>
    <w:rsid w:val="00245445"/>
    <w:rsid w:val="00245B3D"/>
    <w:rsid w:val="00245BD2"/>
    <w:rsid w:val="00245C90"/>
    <w:rsid w:val="00245FB4"/>
    <w:rsid w:val="0024623F"/>
    <w:rsid w:val="002462F8"/>
    <w:rsid w:val="00246370"/>
    <w:rsid w:val="002465A6"/>
    <w:rsid w:val="002465AF"/>
    <w:rsid w:val="002467B9"/>
    <w:rsid w:val="002467C8"/>
    <w:rsid w:val="0024680E"/>
    <w:rsid w:val="00246D14"/>
    <w:rsid w:val="00246DB5"/>
    <w:rsid w:val="0024796B"/>
    <w:rsid w:val="00247CB8"/>
    <w:rsid w:val="002504EC"/>
    <w:rsid w:val="00250931"/>
    <w:rsid w:val="00250BC8"/>
    <w:rsid w:val="00250DA0"/>
    <w:rsid w:val="00250E8F"/>
    <w:rsid w:val="00251EE4"/>
    <w:rsid w:val="00251EEB"/>
    <w:rsid w:val="00252348"/>
    <w:rsid w:val="00252F4A"/>
    <w:rsid w:val="00252F5A"/>
    <w:rsid w:val="002531FD"/>
    <w:rsid w:val="0025321C"/>
    <w:rsid w:val="0025339D"/>
    <w:rsid w:val="00253439"/>
    <w:rsid w:val="00253546"/>
    <w:rsid w:val="00253A94"/>
    <w:rsid w:val="00253AAC"/>
    <w:rsid w:val="00253CAF"/>
    <w:rsid w:val="002540F2"/>
    <w:rsid w:val="00254359"/>
    <w:rsid w:val="00254800"/>
    <w:rsid w:val="00255162"/>
    <w:rsid w:val="002552DA"/>
    <w:rsid w:val="002555BB"/>
    <w:rsid w:val="00255945"/>
    <w:rsid w:val="0025689C"/>
    <w:rsid w:val="002568D8"/>
    <w:rsid w:val="00256D5C"/>
    <w:rsid w:val="0025747A"/>
    <w:rsid w:val="00257588"/>
    <w:rsid w:val="00257785"/>
    <w:rsid w:val="00260567"/>
    <w:rsid w:val="002607F2"/>
    <w:rsid w:val="002609AE"/>
    <w:rsid w:val="002609FC"/>
    <w:rsid w:val="00260B47"/>
    <w:rsid w:val="00260E36"/>
    <w:rsid w:val="00260EC4"/>
    <w:rsid w:val="00260F28"/>
    <w:rsid w:val="00260F79"/>
    <w:rsid w:val="00261720"/>
    <w:rsid w:val="00261F38"/>
    <w:rsid w:val="0026243C"/>
    <w:rsid w:val="00263856"/>
    <w:rsid w:val="00263B20"/>
    <w:rsid w:val="00263B91"/>
    <w:rsid w:val="00263C36"/>
    <w:rsid w:val="00263EF6"/>
    <w:rsid w:val="00264355"/>
    <w:rsid w:val="00264468"/>
    <w:rsid w:val="00264783"/>
    <w:rsid w:val="0026482A"/>
    <w:rsid w:val="00264C0E"/>
    <w:rsid w:val="002650E5"/>
    <w:rsid w:val="002657DB"/>
    <w:rsid w:val="00265954"/>
    <w:rsid w:val="002664E1"/>
    <w:rsid w:val="0026665E"/>
    <w:rsid w:val="00266C22"/>
    <w:rsid w:val="00266CCF"/>
    <w:rsid w:val="00266D52"/>
    <w:rsid w:val="00267097"/>
    <w:rsid w:val="00267746"/>
    <w:rsid w:val="00267825"/>
    <w:rsid w:val="00267C07"/>
    <w:rsid w:val="00267D0E"/>
    <w:rsid w:val="0027003D"/>
    <w:rsid w:val="002707BB"/>
    <w:rsid w:val="00270B17"/>
    <w:rsid w:val="00270B37"/>
    <w:rsid w:val="0027102D"/>
    <w:rsid w:val="002712BB"/>
    <w:rsid w:val="00271598"/>
    <w:rsid w:val="00271EDB"/>
    <w:rsid w:val="00272263"/>
    <w:rsid w:val="0027229F"/>
    <w:rsid w:val="002728EA"/>
    <w:rsid w:val="00272992"/>
    <w:rsid w:val="00272D2A"/>
    <w:rsid w:val="00272D40"/>
    <w:rsid w:val="00272D94"/>
    <w:rsid w:val="00272ECC"/>
    <w:rsid w:val="002733A5"/>
    <w:rsid w:val="00273575"/>
    <w:rsid w:val="00273939"/>
    <w:rsid w:val="00273B04"/>
    <w:rsid w:val="00273C63"/>
    <w:rsid w:val="00274112"/>
    <w:rsid w:val="0027418C"/>
    <w:rsid w:val="002748EB"/>
    <w:rsid w:val="00274B8B"/>
    <w:rsid w:val="00274FB3"/>
    <w:rsid w:val="0027518F"/>
    <w:rsid w:val="002753BF"/>
    <w:rsid w:val="002755B4"/>
    <w:rsid w:val="0027617E"/>
    <w:rsid w:val="00276190"/>
    <w:rsid w:val="00276298"/>
    <w:rsid w:val="002764B5"/>
    <w:rsid w:val="0027650D"/>
    <w:rsid w:val="00276859"/>
    <w:rsid w:val="00276D21"/>
    <w:rsid w:val="00277292"/>
    <w:rsid w:val="0027752D"/>
    <w:rsid w:val="00280074"/>
    <w:rsid w:val="00280089"/>
    <w:rsid w:val="00280201"/>
    <w:rsid w:val="00280807"/>
    <w:rsid w:val="0028082E"/>
    <w:rsid w:val="00280F6B"/>
    <w:rsid w:val="002810BB"/>
    <w:rsid w:val="002814A4"/>
    <w:rsid w:val="00281878"/>
    <w:rsid w:val="00281B9D"/>
    <w:rsid w:val="00281D8E"/>
    <w:rsid w:val="00281DA2"/>
    <w:rsid w:val="00281EED"/>
    <w:rsid w:val="002822F4"/>
    <w:rsid w:val="00282568"/>
    <w:rsid w:val="00282A4B"/>
    <w:rsid w:val="00282A9E"/>
    <w:rsid w:val="00283252"/>
    <w:rsid w:val="00283500"/>
    <w:rsid w:val="002840E5"/>
    <w:rsid w:val="002840FF"/>
    <w:rsid w:val="0028427C"/>
    <w:rsid w:val="002848D8"/>
    <w:rsid w:val="002853E5"/>
    <w:rsid w:val="00285890"/>
    <w:rsid w:val="002861C8"/>
    <w:rsid w:val="0028649C"/>
    <w:rsid w:val="0028657B"/>
    <w:rsid w:val="002865FD"/>
    <w:rsid w:val="0028673D"/>
    <w:rsid w:val="00286B6C"/>
    <w:rsid w:val="00286CC1"/>
    <w:rsid w:val="00286E36"/>
    <w:rsid w:val="00286FD0"/>
    <w:rsid w:val="00286FFB"/>
    <w:rsid w:val="00287091"/>
    <w:rsid w:val="0028731C"/>
    <w:rsid w:val="002879C4"/>
    <w:rsid w:val="00287D02"/>
    <w:rsid w:val="00290133"/>
    <w:rsid w:val="0029022A"/>
    <w:rsid w:val="0029060D"/>
    <w:rsid w:val="00290ECA"/>
    <w:rsid w:val="0029106D"/>
    <w:rsid w:val="0029110F"/>
    <w:rsid w:val="002915D8"/>
    <w:rsid w:val="00291626"/>
    <w:rsid w:val="002918EF"/>
    <w:rsid w:val="00291945"/>
    <w:rsid w:val="00291DC0"/>
    <w:rsid w:val="00291FAC"/>
    <w:rsid w:val="002922A5"/>
    <w:rsid w:val="002927D4"/>
    <w:rsid w:val="00292989"/>
    <w:rsid w:val="00292EEA"/>
    <w:rsid w:val="00292F6E"/>
    <w:rsid w:val="00293242"/>
    <w:rsid w:val="002932E2"/>
    <w:rsid w:val="0029395A"/>
    <w:rsid w:val="0029398E"/>
    <w:rsid w:val="002939D7"/>
    <w:rsid w:val="00293A0D"/>
    <w:rsid w:val="00293FF0"/>
    <w:rsid w:val="00294195"/>
    <w:rsid w:val="00294483"/>
    <w:rsid w:val="002944E3"/>
    <w:rsid w:val="00294560"/>
    <w:rsid w:val="0029464F"/>
    <w:rsid w:val="0029472E"/>
    <w:rsid w:val="00294CED"/>
    <w:rsid w:val="00294EC1"/>
    <w:rsid w:val="00294F50"/>
    <w:rsid w:val="0029517F"/>
    <w:rsid w:val="0029529F"/>
    <w:rsid w:val="00295744"/>
    <w:rsid w:val="00296231"/>
    <w:rsid w:val="0029666A"/>
    <w:rsid w:val="002966DA"/>
    <w:rsid w:val="00296B11"/>
    <w:rsid w:val="00296C4E"/>
    <w:rsid w:val="00296FB0"/>
    <w:rsid w:val="00297160"/>
    <w:rsid w:val="002972DB"/>
    <w:rsid w:val="002975B0"/>
    <w:rsid w:val="00297B2B"/>
    <w:rsid w:val="00297D08"/>
    <w:rsid w:val="002A00DC"/>
    <w:rsid w:val="002A00EA"/>
    <w:rsid w:val="002A03AB"/>
    <w:rsid w:val="002A054A"/>
    <w:rsid w:val="002A0EAD"/>
    <w:rsid w:val="002A1016"/>
    <w:rsid w:val="002A118A"/>
    <w:rsid w:val="002A11C2"/>
    <w:rsid w:val="002A1235"/>
    <w:rsid w:val="002A1681"/>
    <w:rsid w:val="002A19C1"/>
    <w:rsid w:val="002A1F5E"/>
    <w:rsid w:val="002A1FDF"/>
    <w:rsid w:val="002A20A6"/>
    <w:rsid w:val="002A21BD"/>
    <w:rsid w:val="002A21EE"/>
    <w:rsid w:val="002A21F5"/>
    <w:rsid w:val="002A2E50"/>
    <w:rsid w:val="002A2F51"/>
    <w:rsid w:val="002A350F"/>
    <w:rsid w:val="002A3617"/>
    <w:rsid w:val="002A378C"/>
    <w:rsid w:val="002A3AA9"/>
    <w:rsid w:val="002A410A"/>
    <w:rsid w:val="002A416A"/>
    <w:rsid w:val="002A4633"/>
    <w:rsid w:val="002A4683"/>
    <w:rsid w:val="002A470E"/>
    <w:rsid w:val="002A4909"/>
    <w:rsid w:val="002A4F28"/>
    <w:rsid w:val="002A52ED"/>
    <w:rsid w:val="002A5FBC"/>
    <w:rsid w:val="002A6174"/>
    <w:rsid w:val="002A64F9"/>
    <w:rsid w:val="002A653D"/>
    <w:rsid w:val="002A6573"/>
    <w:rsid w:val="002A65DE"/>
    <w:rsid w:val="002A67B1"/>
    <w:rsid w:val="002A6B4B"/>
    <w:rsid w:val="002A7294"/>
    <w:rsid w:val="002A7624"/>
    <w:rsid w:val="002A79A3"/>
    <w:rsid w:val="002A7DA6"/>
    <w:rsid w:val="002A7FB9"/>
    <w:rsid w:val="002B01DD"/>
    <w:rsid w:val="002B0273"/>
    <w:rsid w:val="002B0733"/>
    <w:rsid w:val="002B0790"/>
    <w:rsid w:val="002B0CAA"/>
    <w:rsid w:val="002B0DD6"/>
    <w:rsid w:val="002B0F61"/>
    <w:rsid w:val="002B1041"/>
    <w:rsid w:val="002B1101"/>
    <w:rsid w:val="002B11DC"/>
    <w:rsid w:val="002B1363"/>
    <w:rsid w:val="002B1470"/>
    <w:rsid w:val="002B1522"/>
    <w:rsid w:val="002B1B29"/>
    <w:rsid w:val="002B1E1A"/>
    <w:rsid w:val="002B1F3E"/>
    <w:rsid w:val="002B2236"/>
    <w:rsid w:val="002B22A5"/>
    <w:rsid w:val="002B2401"/>
    <w:rsid w:val="002B26A5"/>
    <w:rsid w:val="002B277D"/>
    <w:rsid w:val="002B2F7A"/>
    <w:rsid w:val="002B30DB"/>
    <w:rsid w:val="002B330B"/>
    <w:rsid w:val="002B3313"/>
    <w:rsid w:val="002B365C"/>
    <w:rsid w:val="002B3A7C"/>
    <w:rsid w:val="002B3D79"/>
    <w:rsid w:val="002B3F84"/>
    <w:rsid w:val="002B42AB"/>
    <w:rsid w:val="002B42E3"/>
    <w:rsid w:val="002B45D7"/>
    <w:rsid w:val="002B4813"/>
    <w:rsid w:val="002B4E20"/>
    <w:rsid w:val="002B512D"/>
    <w:rsid w:val="002B51E1"/>
    <w:rsid w:val="002B538F"/>
    <w:rsid w:val="002B54CC"/>
    <w:rsid w:val="002B59CE"/>
    <w:rsid w:val="002B5A5D"/>
    <w:rsid w:val="002B5BD1"/>
    <w:rsid w:val="002B5F73"/>
    <w:rsid w:val="002B6160"/>
    <w:rsid w:val="002B6283"/>
    <w:rsid w:val="002B67F0"/>
    <w:rsid w:val="002B6801"/>
    <w:rsid w:val="002B6A1A"/>
    <w:rsid w:val="002B747A"/>
    <w:rsid w:val="002B794A"/>
    <w:rsid w:val="002B7A4C"/>
    <w:rsid w:val="002B7AAB"/>
    <w:rsid w:val="002B7ACD"/>
    <w:rsid w:val="002B7EF9"/>
    <w:rsid w:val="002C0162"/>
    <w:rsid w:val="002C026D"/>
    <w:rsid w:val="002C07F9"/>
    <w:rsid w:val="002C0C84"/>
    <w:rsid w:val="002C0F92"/>
    <w:rsid w:val="002C0FB8"/>
    <w:rsid w:val="002C11FA"/>
    <w:rsid w:val="002C1454"/>
    <w:rsid w:val="002C17F0"/>
    <w:rsid w:val="002C1C8B"/>
    <w:rsid w:val="002C2C55"/>
    <w:rsid w:val="002C2DA9"/>
    <w:rsid w:val="002C30DE"/>
    <w:rsid w:val="002C3682"/>
    <w:rsid w:val="002C371E"/>
    <w:rsid w:val="002C42EF"/>
    <w:rsid w:val="002C4B7E"/>
    <w:rsid w:val="002C5B88"/>
    <w:rsid w:val="002C6200"/>
    <w:rsid w:val="002C622D"/>
    <w:rsid w:val="002C6424"/>
    <w:rsid w:val="002C64DD"/>
    <w:rsid w:val="002C6852"/>
    <w:rsid w:val="002C6CEB"/>
    <w:rsid w:val="002C6F65"/>
    <w:rsid w:val="002C728F"/>
    <w:rsid w:val="002C7454"/>
    <w:rsid w:val="002C78FF"/>
    <w:rsid w:val="002C79A5"/>
    <w:rsid w:val="002C7AD8"/>
    <w:rsid w:val="002D009A"/>
    <w:rsid w:val="002D0348"/>
    <w:rsid w:val="002D0C0F"/>
    <w:rsid w:val="002D1062"/>
    <w:rsid w:val="002D1512"/>
    <w:rsid w:val="002D1E4A"/>
    <w:rsid w:val="002D1F00"/>
    <w:rsid w:val="002D25BB"/>
    <w:rsid w:val="002D26DF"/>
    <w:rsid w:val="002D28F6"/>
    <w:rsid w:val="002D2D98"/>
    <w:rsid w:val="002D30D0"/>
    <w:rsid w:val="002D33F1"/>
    <w:rsid w:val="002D49B6"/>
    <w:rsid w:val="002D4CF6"/>
    <w:rsid w:val="002D4E2D"/>
    <w:rsid w:val="002D52F2"/>
    <w:rsid w:val="002D5499"/>
    <w:rsid w:val="002D60C4"/>
    <w:rsid w:val="002D6354"/>
    <w:rsid w:val="002D6602"/>
    <w:rsid w:val="002D66E0"/>
    <w:rsid w:val="002D6C4A"/>
    <w:rsid w:val="002D6FFF"/>
    <w:rsid w:val="002D7038"/>
    <w:rsid w:val="002D7317"/>
    <w:rsid w:val="002D78EB"/>
    <w:rsid w:val="002D7998"/>
    <w:rsid w:val="002D7D83"/>
    <w:rsid w:val="002D7D99"/>
    <w:rsid w:val="002D7FF7"/>
    <w:rsid w:val="002E0064"/>
    <w:rsid w:val="002E009A"/>
    <w:rsid w:val="002E0203"/>
    <w:rsid w:val="002E0621"/>
    <w:rsid w:val="002E0709"/>
    <w:rsid w:val="002E0A25"/>
    <w:rsid w:val="002E0D2D"/>
    <w:rsid w:val="002E0EEA"/>
    <w:rsid w:val="002E1535"/>
    <w:rsid w:val="002E170E"/>
    <w:rsid w:val="002E1B8B"/>
    <w:rsid w:val="002E1C04"/>
    <w:rsid w:val="002E20B0"/>
    <w:rsid w:val="002E2294"/>
    <w:rsid w:val="002E23AB"/>
    <w:rsid w:val="002E23AF"/>
    <w:rsid w:val="002E2512"/>
    <w:rsid w:val="002E26B2"/>
    <w:rsid w:val="002E2959"/>
    <w:rsid w:val="002E2A3B"/>
    <w:rsid w:val="002E2C37"/>
    <w:rsid w:val="002E2F0F"/>
    <w:rsid w:val="002E36B7"/>
    <w:rsid w:val="002E372A"/>
    <w:rsid w:val="002E3B6C"/>
    <w:rsid w:val="002E3BB4"/>
    <w:rsid w:val="002E3C1B"/>
    <w:rsid w:val="002E3D3C"/>
    <w:rsid w:val="002E4022"/>
    <w:rsid w:val="002E4030"/>
    <w:rsid w:val="002E421A"/>
    <w:rsid w:val="002E42DB"/>
    <w:rsid w:val="002E43B7"/>
    <w:rsid w:val="002E4491"/>
    <w:rsid w:val="002E45A5"/>
    <w:rsid w:val="002E49EB"/>
    <w:rsid w:val="002E4A51"/>
    <w:rsid w:val="002E4D4B"/>
    <w:rsid w:val="002E548A"/>
    <w:rsid w:val="002E54DF"/>
    <w:rsid w:val="002E5758"/>
    <w:rsid w:val="002E5B14"/>
    <w:rsid w:val="002E5CB0"/>
    <w:rsid w:val="002E6345"/>
    <w:rsid w:val="002E6ADD"/>
    <w:rsid w:val="002E6E1C"/>
    <w:rsid w:val="002E7358"/>
    <w:rsid w:val="002E77FE"/>
    <w:rsid w:val="002E7983"/>
    <w:rsid w:val="002E7DDF"/>
    <w:rsid w:val="002F038F"/>
    <w:rsid w:val="002F083E"/>
    <w:rsid w:val="002F095C"/>
    <w:rsid w:val="002F0D6B"/>
    <w:rsid w:val="002F10AC"/>
    <w:rsid w:val="002F10CC"/>
    <w:rsid w:val="002F158D"/>
    <w:rsid w:val="002F16BF"/>
    <w:rsid w:val="002F17D6"/>
    <w:rsid w:val="002F1C5D"/>
    <w:rsid w:val="002F263E"/>
    <w:rsid w:val="002F27F6"/>
    <w:rsid w:val="002F2898"/>
    <w:rsid w:val="002F3507"/>
    <w:rsid w:val="002F367A"/>
    <w:rsid w:val="002F3792"/>
    <w:rsid w:val="002F3C37"/>
    <w:rsid w:val="002F3DC8"/>
    <w:rsid w:val="002F42B7"/>
    <w:rsid w:val="002F431A"/>
    <w:rsid w:val="002F4498"/>
    <w:rsid w:val="002F468D"/>
    <w:rsid w:val="002F469E"/>
    <w:rsid w:val="002F4A81"/>
    <w:rsid w:val="002F4DA9"/>
    <w:rsid w:val="002F5402"/>
    <w:rsid w:val="002F5450"/>
    <w:rsid w:val="002F57B4"/>
    <w:rsid w:val="002F5886"/>
    <w:rsid w:val="002F58BC"/>
    <w:rsid w:val="002F59DD"/>
    <w:rsid w:val="002F5C17"/>
    <w:rsid w:val="002F5D4A"/>
    <w:rsid w:val="002F612B"/>
    <w:rsid w:val="002F61C4"/>
    <w:rsid w:val="002F6263"/>
    <w:rsid w:val="002F6277"/>
    <w:rsid w:val="002F6465"/>
    <w:rsid w:val="002F649C"/>
    <w:rsid w:val="002F64E8"/>
    <w:rsid w:val="002F65F1"/>
    <w:rsid w:val="002F6C6A"/>
    <w:rsid w:val="002F6FF1"/>
    <w:rsid w:val="002F713C"/>
    <w:rsid w:val="002F7168"/>
    <w:rsid w:val="002F763A"/>
    <w:rsid w:val="002F783C"/>
    <w:rsid w:val="002F7E66"/>
    <w:rsid w:val="002F7F35"/>
    <w:rsid w:val="00300310"/>
    <w:rsid w:val="00300349"/>
    <w:rsid w:val="00300617"/>
    <w:rsid w:val="00300681"/>
    <w:rsid w:val="003007FD"/>
    <w:rsid w:val="00300A9B"/>
    <w:rsid w:val="00301009"/>
    <w:rsid w:val="003011D9"/>
    <w:rsid w:val="00301333"/>
    <w:rsid w:val="003017F4"/>
    <w:rsid w:val="00301967"/>
    <w:rsid w:val="0030199C"/>
    <w:rsid w:val="00301AB0"/>
    <w:rsid w:val="00301C33"/>
    <w:rsid w:val="00301E3E"/>
    <w:rsid w:val="00301F17"/>
    <w:rsid w:val="003034B3"/>
    <w:rsid w:val="00303CDA"/>
    <w:rsid w:val="00303E4F"/>
    <w:rsid w:val="00304057"/>
    <w:rsid w:val="0030414A"/>
    <w:rsid w:val="00304645"/>
    <w:rsid w:val="00304693"/>
    <w:rsid w:val="00304A49"/>
    <w:rsid w:val="00304FDF"/>
    <w:rsid w:val="003057C6"/>
    <w:rsid w:val="00305B6D"/>
    <w:rsid w:val="00305BC5"/>
    <w:rsid w:val="00305BD1"/>
    <w:rsid w:val="00305BD7"/>
    <w:rsid w:val="00306359"/>
    <w:rsid w:val="003063CC"/>
    <w:rsid w:val="003065A1"/>
    <w:rsid w:val="00307584"/>
    <w:rsid w:val="003079B6"/>
    <w:rsid w:val="003102AC"/>
    <w:rsid w:val="00310784"/>
    <w:rsid w:val="00310CB8"/>
    <w:rsid w:val="00310F72"/>
    <w:rsid w:val="00310FE4"/>
    <w:rsid w:val="003110B1"/>
    <w:rsid w:val="00311C8C"/>
    <w:rsid w:val="00311D94"/>
    <w:rsid w:val="00311F30"/>
    <w:rsid w:val="00312285"/>
    <w:rsid w:val="003129E3"/>
    <w:rsid w:val="00312B50"/>
    <w:rsid w:val="00312E34"/>
    <w:rsid w:val="00312E68"/>
    <w:rsid w:val="0031307B"/>
    <w:rsid w:val="0031429E"/>
    <w:rsid w:val="0031494B"/>
    <w:rsid w:val="00315143"/>
    <w:rsid w:val="003154D7"/>
    <w:rsid w:val="00315DD5"/>
    <w:rsid w:val="00315E4D"/>
    <w:rsid w:val="00315F50"/>
    <w:rsid w:val="00316304"/>
    <w:rsid w:val="003169E1"/>
    <w:rsid w:val="0031700A"/>
    <w:rsid w:val="003171CD"/>
    <w:rsid w:val="003171E1"/>
    <w:rsid w:val="0031740E"/>
    <w:rsid w:val="003177ED"/>
    <w:rsid w:val="00317E5F"/>
    <w:rsid w:val="003204A0"/>
    <w:rsid w:val="0032056D"/>
    <w:rsid w:val="00320641"/>
    <w:rsid w:val="0032067A"/>
    <w:rsid w:val="003209FE"/>
    <w:rsid w:val="00320D78"/>
    <w:rsid w:val="0032142D"/>
    <w:rsid w:val="003216E4"/>
    <w:rsid w:val="00321717"/>
    <w:rsid w:val="0032195C"/>
    <w:rsid w:val="003219C5"/>
    <w:rsid w:val="00321C8C"/>
    <w:rsid w:val="00321F80"/>
    <w:rsid w:val="003220AB"/>
    <w:rsid w:val="0032261C"/>
    <w:rsid w:val="0032291D"/>
    <w:rsid w:val="00322F10"/>
    <w:rsid w:val="00322F90"/>
    <w:rsid w:val="00323445"/>
    <w:rsid w:val="003237A7"/>
    <w:rsid w:val="00323A11"/>
    <w:rsid w:val="00323ED5"/>
    <w:rsid w:val="003240BE"/>
    <w:rsid w:val="0032430B"/>
    <w:rsid w:val="003244A1"/>
    <w:rsid w:val="00324581"/>
    <w:rsid w:val="00324663"/>
    <w:rsid w:val="00324A24"/>
    <w:rsid w:val="00324A64"/>
    <w:rsid w:val="00324AB3"/>
    <w:rsid w:val="00325020"/>
    <w:rsid w:val="00325893"/>
    <w:rsid w:val="00325EAE"/>
    <w:rsid w:val="00325F20"/>
    <w:rsid w:val="00325FAB"/>
    <w:rsid w:val="0032652B"/>
    <w:rsid w:val="00326542"/>
    <w:rsid w:val="00326921"/>
    <w:rsid w:val="00326B13"/>
    <w:rsid w:val="00326ED8"/>
    <w:rsid w:val="00327103"/>
    <w:rsid w:val="00327282"/>
    <w:rsid w:val="003272E2"/>
    <w:rsid w:val="00327348"/>
    <w:rsid w:val="0032752A"/>
    <w:rsid w:val="003276A5"/>
    <w:rsid w:val="0032795B"/>
    <w:rsid w:val="00327A21"/>
    <w:rsid w:val="00327CB6"/>
    <w:rsid w:val="00327D78"/>
    <w:rsid w:val="00327DCA"/>
    <w:rsid w:val="00327EFF"/>
    <w:rsid w:val="0033013B"/>
    <w:rsid w:val="003302B1"/>
    <w:rsid w:val="0033038F"/>
    <w:rsid w:val="00331462"/>
    <w:rsid w:val="00331AAC"/>
    <w:rsid w:val="00331AB4"/>
    <w:rsid w:val="003321CC"/>
    <w:rsid w:val="003330BD"/>
    <w:rsid w:val="003333D3"/>
    <w:rsid w:val="003334D9"/>
    <w:rsid w:val="00333B95"/>
    <w:rsid w:val="00333F63"/>
    <w:rsid w:val="00334061"/>
    <w:rsid w:val="00334587"/>
    <w:rsid w:val="00334A6B"/>
    <w:rsid w:val="00334B18"/>
    <w:rsid w:val="00334DC6"/>
    <w:rsid w:val="00334E28"/>
    <w:rsid w:val="00334F1B"/>
    <w:rsid w:val="00335312"/>
    <w:rsid w:val="00335734"/>
    <w:rsid w:val="00335903"/>
    <w:rsid w:val="0033616E"/>
    <w:rsid w:val="0033651F"/>
    <w:rsid w:val="00337125"/>
    <w:rsid w:val="0034097F"/>
    <w:rsid w:val="00340D18"/>
    <w:rsid w:val="00340EB4"/>
    <w:rsid w:val="0034122C"/>
    <w:rsid w:val="003412C7"/>
    <w:rsid w:val="00341AC8"/>
    <w:rsid w:val="00341CE1"/>
    <w:rsid w:val="00341E34"/>
    <w:rsid w:val="00341E3A"/>
    <w:rsid w:val="003428AB"/>
    <w:rsid w:val="00342916"/>
    <w:rsid w:val="00342F5E"/>
    <w:rsid w:val="0034341B"/>
    <w:rsid w:val="00343468"/>
    <w:rsid w:val="003436E5"/>
    <w:rsid w:val="00343820"/>
    <w:rsid w:val="00343C6E"/>
    <w:rsid w:val="003444C1"/>
    <w:rsid w:val="0034467C"/>
    <w:rsid w:val="003447F9"/>
    <w:rsid w:val="00344C3A"/>
    <w:rsid w:val="00344C59"/>
    <w:rsid w:val="00344DAA"/>
    <w:rsid w:val="0034580D"/>
    <w:rsid w:val="00345951"/>
    <w:rsid w:val="00346B45"/>
    <w:rsid w:val="00347074"/>
    <w:rsid w:val="003471CF"/>
    <w:rsid w:val="003476FE"/>
    <w:rsid w:val="00350633"/>
    <w:rsid w:val="00350777"/>
    <w:rsid w:val="003509B4"/>
    <w:rsid w:val="00350F66"/>
    <w:rsid w:val="00351032"/>
    <w:rsid w:val="003513E8"/>
    <w:rsid w:val="0035144E"/>
    <w:rsid w:val="00351C5B"/>
    <w:rsid w:val="00351DD2"/>
    <w:rsid w:val="00351FAB"/>
    <w:rsid w:val="00352384"/>
    <w:rsid w:val="003523E9"/>
    <w:rsid w:val="00352480"/>
    <w:rsid w:val="00352823"/>
    <w:rsid w:val="00352908"/>
    <w:rsid w:val="00352A96"/>
    <w:rsid w:val="00352C07"/>
    <w:rsid w:val="00352EC7"/>
    <w:rsid w:val="003531BE"/>
    <w:rsid w:val="003532A9"/>
    <w:rsid w:val="00353450"/>
    <w:rsid w:val="00353598"/>
    <w:rsid w:val="00353702"/>
    <w:rsid w:val="0035392B"/>
    <w:rsid w:val="00353B5D"/>
    <w:rsid w:val="003552D5"/>
    <w:rsid w:val="003554B4"/>
    <w:rsid w:val="00355967"/>
    <w:rsid w:val="00355CC9"/>
    <w:rsid w:val="00355E00"/>
    <w:rsid w:val="00355F7B"/>
    <w:rsid w:val="00355F7D"/>
    <w:rsid w:val="00355F7F"/>
    <w:rsid w:val="00355FC5"/>
    <w:rsid w:val="00356B81"/>
    <w:rsid w:val="00356F9C"/>
    <w:rsid w:val="0035739B"/>
    <w:rsid w:val="003576A0"/>
    <w:rsid w:val="003578CB"/>
    <w:rsid w:val="00357CE1"/>
    <w:rsid w:val="00357E1B"/>
    <w:rsid w:val="00357FAB"/>
    <w:rsid w:val="00360317"/>
    <w:rsid w:val="00360426"/>
    <w:rsid w:val="0036057A"/>
    <w:rsid w:val="00360CDC"/>
    <w:rsid w:val="00360F1C"/>
    <w:rsid w:val="00361154"/>
    <w:rsid w:val="0036169C"/>
    <w:rsid w:val="00361706"/>
    <w:rsid w:val="00361A02"/>
    <w:rsid w:val="00361E11"/>
    <w:rsid w:val="00361F2F"/>
    <w:rsid w:val="00362352"/>
    <w:rsid w:val="0036281E"/>
    <w:rsid w:val="00362B2D"/>
    <w:rsid w:val="00362E8C"/>
    <w:rsid w:val="00362FC3"/>
    <w:rsid w:val="00363D77"/>
    <w:rsid w:val="00364223"/>
    <w:rsid w:val="00364248"/>
    <w:rsid w:val="0036446A"/>
    <w:rsid w:val="00364704"/>
    <w:rsid w:val="00364790"/>
    <w:rsid w:val="0036529A"/>
    <w:rsid w:val="003653CC"/>
    <w:rsid w:val="003654AA"/>
    <w:rsid w:val="0036562B"/>
    <w:rsid w:val="00365798"/>
    <w:rsid w:val="00365901"/>
    <w:rsid w:val="00365A18"/>
    <w:rsid w:val="00365BC3"/>
    <w:rsid w:val="00365CED"/>
    <w:rsid w:val="00365F86"/>
    <w:rsid w:val="0036609D"/>
    <w:rsid w:val="003662CC"/>
    <w:rsid w:val="0036730D"/>
    <w:rsid w:val="00367692"/>
    <w:rsid w:val="00367809"/>
    <w:rsid w:val="00367F8B"/>
    <w:rsid w:val="0037025A"/>
    <w:rsid w:val="0037073E"/>
    <w:rsid w:val="00370B1E"/>
    <w:rsid w:val="00370C1D"/>
    <w:rsid w:val="00370CA3"/>
    <w:rsid w:val="00370D26"/>
    <w:rsid w:val="00370EDC"/>
    <w:rsid w:val="003710E9"/>
    <w:rsid w:val="003713AD"/>
    <w:rsid w:val="003714DA"/>
    <w:rsid w:val="00371AC7"/>
    <w:rsid w:val="00371B21"/>
    <w:rsid w:val="00371C4C"/>
    <w:rsid w:val="00372780"/>
    <w:rsid w:val="0037285B"/>
    <w:rsid w:val="00372881"/>
    <w:rsid w:val="00372EC7"/>
    <w:rsid w:val="00372F26"/>
    <w:rsid w:val="00373079"/>
    <w:rsid w:val="0037315F"/>
    <w:rsid w:val="00373181"/>
    <w:rsid w:val="003736F6"/>
    <w:rsid w:val="00374383"/>
    <w:rsid w:val="00374417"/>
    <w:rsid w:val="003746FD"/>
    <w:rsid w:val="00374A0D"/>
    <w:rsid w:val="00374E70"/>
    <w:rsid w:val="003751D6"/>
    <w:rsid w:val="00375BD8"/>
    <w:rsid w:val="00375CED"/>
    <w:rsid w:val="00375D08"/>
    <w:rsid w:val="00376032"/>
    <w:rsid w:val="003762AA"/>
    <w:rsid w:val="00376893"/>
    <w:rsid w:val="00376BDA"/>
    <w:rsid w:val="00376C15"/>
    <w:rsid w:val="00376CAA"/>
    <w:rsid w:val="00376FE0"/>
    <w:rsid w:val="0037717D"/>
    <w:rsid w:val="00377458"/>
    <w:rsid w:val="00377DE0"/>
    <w:rsid w:val="003801C8"/>
    <w:rsid w:val="00380258"/>
    <w:rsid w:val="003803F5"/>
    <w:rsid w:val="00380614"/>
    <w:rsid w:val="00380D90"/>
    <w:rsid w:val="00380D95"/>
    <w:rsid w:val="00381187"/>
    <w:rsid w:val="0038168D"/>
    <w:rsid w:val="0038180E"/>
    <w:rsid w:val="00381B54"/>
    <w:rsid w:val="003823CD"/>
    <w:rsid w:val="00382E1C"/>
    <w:rsid w:val="0038308D"/>
    <w:rsid w:val="0038347A"/>
    <w:rsid w:val="003840BF"/>
    <w:rsid w:val="003843C3"/>
    <w:rsid w:val="0038442F"/>
    <w:rsid w:val="00384E9A"/>
    <w:rsid w:val="00385739"/>
    <w:rsid w:val="003864EC"/>
    <w:rsid w:val="0038655F"/>
    <w:rsid w:val="003867AF"/>
    <w:rsid w:val="00386E21"/>
    <w:rsid w:val="0038708E"/>
    <w:rsid w:val="003871FC"/>
    <w:rsid w:val="0038789B"/>
    <w:rsid w:val="00387BA0"/>
    <w:rsid w:val="00387F2E"/>
    <w:rsid w:val="00390107"/>
    <w:rsid w:val="00390188"/>
    <w:rsid w:val="0039041F"/>
    <w:rsid w:val="003908F5"/>
    <w:rsid w:val="00390D95"/>
    <w:rsid w:val="0039102E"/>
    <w:rsid w:val="0039127C"/>
    <w:rsid w:val="00391812"/>
    <w:rsid w:val="003918F2"/>
    <w:rsid w:val="0039190E"/>
    <w:rsid w:val="00391A8E"/>
    <w:rsid w:val="00391D8D"/>
    <w:rsid w:val="00391EA0"/>
    <w:rsid w:val="00392A82"/>
    <w:rsid w:val="0039305C"/>
    <w:rsid w:val="0039351C"/>
    <w:rsid w:val="00393592"/>
    <w:rsid w:val="00393950"/>
    <w:rsid w:val="00393E18"/>
    <w:rsid w:val="00394423"/>
    <w:rsid w:val="00394524"/>
    <w:rsid w:val="003946FF"/>
    <w:rsid w:val="00395091"/>
    <w:rsid w:val="00395124"/>
    <w:rsid w:val="0039524C"/>
    <w:rsid w:val="00395B85"/>
    <w:rsid w:val="00395C84"/>
    <w:rsid w:val="00395DA3"/>
    <w:rsid w:val="00396161"/>
    <w:rsid w:val="00396344"/>
    <w:rsid w:val="00396408"/>
    <w:rsid w:val="00396495"/>
    <w:rsid w:val="003969BE"/>
    <w:rsid w:val="00396C90"/>
    <w:rsid w:val="00396F59"/>
    <w:rsid w:val="0039755E"/>
    <w:rsid w:val="0039767B"/>
    <w:rsid w:val="00397855"/>
    <w:rsid w:val="003978E7"/>
    <w:rsid w:val="00397AB8"/>
    <w:rsid w:val="00397D79"/>
    <w:rsid w:val="003A0170"/>
    <w:rsid w:val="003A0466"/>
    <w:rsid w:val="003A0620"/>
    <w:rsid w:val="003A0816"/>
    <w:rsid w:val="003A08DD"/>
    <w:rsid w:val="003A1015"/>
    <w:rsid w:val="003A10FC"/>
    <w:rsid w:val="003A1238"/>
    <w:rsid w:val="003A13CD"/>
    <w:rsid w:val="003A1574"/>
    <w:rsid w:val="003A1702"/>
    <w:rsid w:val="003A17E1"/>
    <w:rsid w:val="003A19D3"/>
    <w:rsid w:val="003A1B6B"/>
    <w:rsid w:val="003A237B"/>
    <w:rsid w:val="003A2548"/>
    <w:rsid w:val="003A2703"/>
    <w:rsid w:val="003A282E"/>
    <w:rsid w:val="003A2BE3"/>
    <w:rsid w:val="003A2C92"/>
    <w:rsid w:val="003A2FA0"/>
    <w:rsid w:val="003A3546"/>
    <w:rsid w:val="003A3658"/>
    <w:rsid w:val="003A39C7"/>
    <w:rsid w:val="003A3B15"/>
    <w:rsid w:val="003A3C88"/>
    <w:rsid w:val="003A3E41"/>
    <w:rsid w:val="003A3F4A"/>
    <w:rsid w:val="003A449E"/>
    <w:rsid w:val="003A4733"/>
    <w:rsid w:val="003A47F4"/>
    <w:rsid w:val="003A4A07"/>
    <w:rsid w:val="003A4B43"/>
    <w:rsid w:val="003A54DE"/>
    <w:rsid w:val="003A5563"/>
    <w:rsid w:val="003A57C7"/>
    <w:rsid w:val="003A5B81"/>
    <w:rsid w:val="003A5C60"/>
    <w:rsid w:val="003A5CDE"/>
    <w:rsid w:val="003A5ECC"/>
    <w:rsid w:val="003A6784"/>
    <w:rsid w:val="003A6D1A"/>
    <w:rsid w:val="003A7236"/>
    <w:rsid w:val="003A725B"/>
    <w:rsid w:val="003A7272"/>
    <w:rsid w:val="003A77B1"/>
    <w:rsid w:val="003A78DF"/>
    <w:rsid w:val="003A7A48"/>
    <w:rsid w:val="003A7B41"/>
    <w:rsid w:val="003A7B87"/>
    <w:rsid w:val="003B0856"/>
    <w:rsid w:val="003B08C1"/>
    <w:rsid w:val="003B0B0C"/>
    <w:rsid w:val="003B0B69"/>
    <w:rsid w:val="003B0BF5"/>
    <w:rsid w:val="003B0F4F"/>
    <w:rsid w:val="003B15C0"/>
    <w:rsid w:val="003B1687"/>
    <w:rsid w:val="003B1852"/>
    <w:rsid w:val="003B1A71"/>
    <w:rsid w:val="003B1B22"/>
    <w:rsid w:val="003B1B33"/>
    <w:rsid w:val="003B1BB1"/>
    <w:rsid w:val="003B268A"/>
    <w:rsid w:val="003B27B7"/>
    <w:rsid w:val="003B2AF8"/>
    <w:rsid w:val="003B2B42"/>
    <w:rsid w:val="003B2C1C"/>
    <w:rsid w:val="003B2D2C"/>
    <w:rsid w:val="003B2DD5"/>
    <w:rsid w:val="003B2EC9"/>
    <w:rsid w:val="003B3305"/>
    <w:rsid w:val="003B364C"/>
    <w:rsid w:val="003B38B7"/>
    <w:rsid w:val="003B38C6"/>
    <w:rsid w:val="003B3E4F"/>
    <w:rsid w:val="003B4350"/>
    <w:rsid w:val="003B4614"/>
    <w:rsid w:val="003B4864"/>
    <w:rsid w:val="003B49CE"/>
    <w:rsid w:val="003B4F23"/>
    <w:rsid w:val="003B4FC8"/>
    <w:rsid w:val="003B549B"/>
    <w:rsid w:val="003B5797"/>
    <w:rsid w:val="003B5D56"/>
    <w:rsid w:val="003B5DB4"/>
    <w:rsid w:val="003B5F53"/>
    <w:rsid w:val="003B6018"/>
    <w:rsid w:val="003B60C9"/>
    <w:rsid w:val="003B64BE"/>
    <w:rsid w:val="003B68C9"/>
    <w:rsid w:val="003B6AA6"/>
    <w:rsid w:val="003B7565"/>
    <w:rsid w:val="003B77DC"/>
    <w:rsid w:val="003B7904"/>
    <w:rsid w:val="003B7BDF"/>
    <w:rsid w:val="003B7BEB"/>
    <w:rsid w:val="003B7E1F"/>
    <w:rsid w:val="003C0342"/>
    <w:rsid w:val="003C0464"/>
    <w:rsid w:val="003C0499"/>
    <w:rsid w:val="003C07AE"/>
    <w:rsid w:val="003C0EDA"/>
    <w:rsid w:val="003C187B"/>
    <w:rsid w:val="003C18B9"/>
    <w:rsid w:val="003C1BFD"/>
    <w:rsid w:val="003C1D97"/>
    <w:rsid w:val="003C252A"/>
    <w:rsid w:val="003C2C1C"/>
    <w:rsid w:val="003C2C5D"/>
    <w:rsid w:val="003C30C1"/>
    <w:rsid w:val="003C330B"/>
    <w:rsid w:val="003C336A"/>
    <w:rsid w:val="003C33DA"/>
    <w:rsid w:val="003C3778"/>
    <w:rsid w:val="003C3F69"/>
    <w:rsid w:val="003C4010"/>
    <w:rsid w:val="003C4247"/>
    <w:rsid w:val="003C4611"/>
    <w:rsid w:val="003C4A24"/>
    <w:rsid w:val="003C535D"/>
    <w:rsid w:val="003C58A5"/>
    <w:rsid w:val="003C5BBE"/>
    <w:rsid w:val="003C5CB3"/>
    <w:rsid w:val="003C5E35"/>
    <w:rsid w:val="003C606E"/>
    <w:rsid w:val="003C62C3"/>
    <w:rsid w:val="003C66D1"/>
    <w:rsid w:val="003C6B5D"/>
    <w:rsid w:val="003C6CA0"/>
    <w:rsid w:val="003C6DA9"/>
    <w:rsid w:val="003C6DB0"/>
    <w:rsid w:val="003C7067"/>
    <w:rsid w:val="003C719F"/>
    <w:rsid w:val="003C76AE"/>
    <w:rsid w:val="003C7A10"/>
    <w:rsid w:val="003C7D48"/>
    <w:rsid w:val="003D033D"/>
    <w:rsid w:val="003D0398"/>
    <w:rsid w:val="003D056A"/>
    <w:rsid w:val="003D07EC"/>
    <w:rsid w:val="003D08A8"/>
    <w:rsid w:val="003D08CB"/>
    <w:rsid w:val="003D0922"/>
    <w:rsid w:val="003D0F76"/>
    <w:rsid w:val="003D144E"/>
    <w:rsid w:val="003D1623"/>
    <w:rsid w:val="003D1917"/>
    <w:rsid w:val="003D1D95"/>
    <w:rsid w:val="003D1FFE"/>
    <w:rsid w:val="003D200C"/>
    <w:rsid w:val="003D240E"/>
    <w:rsid w:val="003D256A"/>
    <w:rsid w:val="003D27B0"/>
    <w:rsid w:val="003D296E"/>
    <w:rsid w:val="003D2AC8"/>
    <w:rsid w:val="003D2BEA"/>
    <w:rsid w:val="003D2EA4"/>
    <w:rsid w:val="003D345F"/>
    <w:rsid w:val="003D3523"/>
    <w:rsid w:val="003D3A35"/>
    <w:rsid w:val="003D3C31"/>
    <w:rsid w:val="003D446A"/>
    <w:rsid w:val="003D44A1"/>
    <w:rsid w:val="003D45C4"/>
    <w:rsid w:val="003D4DA3"/>
    <w:rsid w:val="003D4E7F"/>
    <w:rsid w:val="003D5025"/>
    <w:rsid w:val="003D554E"/>
    <w:rsid w:val="003D5A49"/>
    <w:rsid w:val="003D5FBE"/>
    <w:rsid w:val="003D66BE"/>
    <w:rsid w:val="003D6A63"/>
    <w:rsid w:val="003D6EB1"/>
    <w:rsid w:val="003D70BF"/>
    <w:rsid w:val="003D721D"/>
    <w:rsid w:val="003D778B"/>
    <w:rsid w:val="003D7A34"/>
    <w:rsid w:val="003D7DBA"/>
    <w:rsid w:val="003D7FE4"/>
    <w:rsid w:val="003E015D"/>
    <w:rsid w:val="003E024C"/>
    <w:rsid w:val="003E0719"/>
    <w:rsid w:val="003E0883"/>
    <w:rsid w:val="003E0E26"/>
    <w:rsid w:val="003E10B0"/>
    <w:rsid w:val="003E1446"/>
    <w:rsid w:val="003E1522"/>
    <w:rsid w:val="003E1B71"/>
    <w:rsid w:val="003E1D8C"/>
    <w:rsid w:val="003E1FB5"/>
    <w:rsid w:val="003E2892"/>
    <w:rsid w:val="003E2C50"/>
    <w:rsid w:val="003E3433"/>
    <w:rsid w:val="003E3635"/>
    <w:rsid w:val="003E3687"/>
    <w:rsid w:val="003E37D5"/>
    <w:rsid w:val="003E396C"/>
    <w:rsid w:val="003E39C9"/>
    <w:rsid w:val="003E3CA2"/>
    <w:rsid w:val="003E3FD2"/>
    <w:rsid w:val="003E446D"/>
    <w:rsid w:val="003E455F"/>
    <w:rsid w:val="003E45E3"/>
    <w:rsid w:val="003E4B13"/>
    <w:rsid w:val="003E4C85"/>
    <w:rsid w:val="003E4DBC"/>
    <w:rsid w:val="003E62CF"/>
    <w:rsid w:val="003E69C7"/>
    <w:rsid w:val="003E6A2C"/>
    <w:rsid w:val="003E7032"/>
    <w:rsid w:val="003E71FF"/>
    <w:rsid w:val="003E7299"/>
    <w:rsid w:val="003E7907"/>
    <w:rsid w:val="003E7AD0"/>
    <w:rsid w:val="003E7D90"/>
    <w:rsid w:val="003F01EA"/>
    <w:rsid w:val="003F07D0"/>
    <w:rsid w:val="003F0828"/>
    <w:rsid w:val="003F084D"/>
    <w:rsid w:val="003F0881"/>
    <w:rsid w:val="003F0A09"/>
    <w:rsid w:val="003F0B71"/>
    <w:rsid w:val="003F0D6A"/>
    <w:rsid w:val="003F0E37"/>
    <w:rsid w:val="003F11C2"/>
    <w:rsid w:val="003F1D52"/>
    <w:rsid w:val="003F1F4A"/>
    <w:rsid w:val="003F1F6E"/>
    <w:rsid w:val="003F2213"/>
    <w:rsid w:val="003F2BA9"/>
    <w:rsid w:val="003F2DC2"/>
    <w:rsid w:val="003F2E19"/>
    <w:rsid w:val="003F2FB9"/>
    <w:rsid w:val="003F3027"/>
    <w:rsid w:val="003F3610"/>
    <w:rsid w:val="003F3A47"/>
    <w:rsid w:val="003F3A67"/>
    <w:rsid w:val="003F43B0"/>
    <w:rsid w:val="003F454B"/>
    <w:rsid w:val="003F47D4"/>
    <w:rsid w:val="003F525A"/>
    <w:rsid w:val="003F52EB"/>
    <w:rsid w:val="003F53D8"/>
    <w:rsid w:val="003F55DD"/>
    <w:rsid w:val="003F5652"/>
    <w:rsid w:val="003F5884"/>
    <w:rsid w:val="003F598F"/>
    <w:rsid w:val="003F5F8A"/>
    <w:rsid w:val="003F6303"/>
    <w:rsid w:val="003F651F"/>
    <w:rsid w:val="003F66DB"/>
    <w:rsid w:val="003F674C"/>
    <w:rsid w:val="003F6A1E"/>
    <w:rsid w:val="003F6C7E"/>
    <w:rsid w:val="003F6CFB"/>
    <w:rsid w:val="003F6FF3"/>
    <w:rsid w:val="003F7134"/>
    <w:rsid w:val="003F744D"/>
    <w:rsid w:val="003F75BF"/>
    <w:rsid w:val="003F763B"/>
    <w:rsid w:val="003F7723"/>
    <w:rsid w:val="003F795C"/>
    <w:rsid w:val="004001BC"/>
    <w:rsid w:val="00400424"/>
    <w:rsid w:val="0040071E"/>
    <w:rsid w:val="00400744"/>
    <w:rsid w:val="00400767"/>
    <w:rsid w:val="00400F54"/>
    <w:rsid w:val="00401602"/>
    <w:rsid w:val="00401755"/>
    <w:rsid w:val="004019E0"/>
    <w:rsid w:val="00401DE3"/>
    <w:rsid w:val="00401FF6"/>
    <w:rsid w:val="0040215C"/>
    <w:rsid w:val="004026A9"/>
    <w:rsid w:val="00402C30"/>
    <w:rsid w:val="00402F07"/>
    <w:rsid w:val="00403062"/>
    <w:rsid w:val="004030BF"/>
    <w:rsid w:val="00403482"/>
    <w:rsid w:val="004034BE"/>
    <w:rsid w:val="004034D5"/>
    <w:rsid w:val="004035BC"/>
    <w:rsid w:val="00403BA0"/>
    <w:rsid w:val="00404139"/>
    <w:rsid w:val="0040431D"/>
    <w:rsid w:val="00404372"/>
    <w:rsid w:val="00404616"/>
    <w:rsid w:val="0040488A"/>
    <w:rsid w:val="00404EB4"/>
    <w:rsid w:val="004053F7"/>
    <w:rsid w:val="004061B3"/>
    <w:rsid w:val="00406636"/>
    <w:rsid w:val="004066A2"/>
    <w:rsid w:val="00406869"/>
    <w:rsid w:val="00406A15"/>
    <w:rsid w:val="00406A2A"/>
    <w:rsid w:val="00406FE5"/>
    <w:rsid w:val="0040739B"/>
    <w:rsid w:val="00407CAB"/>
    <w:rsid w:val="004104BC"/>
    <w:rsid w:val="004105BC"/>
    <w:rsid w:val="00410926"/>
    <w:rsid w:val="00410962"/>
    <w:rsid w:val="00410E58"/>
    <w:rsid w:val="004115CF"/>
    <w:rsid w:val="004117CB"/>
    <w:rsid w:val="00411A08"/>
    <w:rsid w:val="00411C34"/>
    <w:rsid w:val="00412688"/>
    <w:rsid w:val="00412F23"/>
    <w:rsid w:val="0041319C"/>
    <w:rsid w:val="00413739"/>
    <w:rsid w:val="00413B2E"/>
    <w:rsid w:val="00414192"/>
    <w:rsid w:val="00414ABC"/>
    <w:rsid w:val="0041554D"/>
    <w:rsid w:val="00415C15"/>
    <w:rsid w:val="00415EFE"/>
    <w:rsid w:val="004160F3"/>
    <w:rsid w:val="004160FE"/>
    <w:rsid w:val="00416233"/>
    <w:rsid w:val="0041646D"/>
    <w:rsid w:val="00416FE4"/>
    <w:rsid w:val="004170E3"/>
    <w:rsid w:val="004171F9"/>
    <w:rsid w:val="00417839"/>
    <w:rsid w:val="00420040"/>
    <w:rsid w:val="004201DC"/>
    <w:rsid w:val="00420403"/>
    <w:rsid w:val="004204E3"/>
    <w:rsid w:val="00421188"/>
    <w:rsid w:val="004214F9"/>
    <w:rsid w:val="00421544"/>
    <w:rsid w:val="00421710"/>
    <w:rsid w:val="00421A9A"/>
    <w:rsid w:val="00421AA1"/>
    <w:rsid w:val="00421B27"/>
    <w:rsid w:val="00421C3A"/>
    <w:rsid w:val="00421CB4"/>
    <w:rsid w:val="00421CF2"/>
    <w:rsid w:val="00421D3D"/>
    <w:rsid w:val="00421E5D"/>
    <w:rsid w:val="0042219D"/>
    <w:rsid w:val="004221FD"/>
    <w:rsid w:val="00422576"/>
    <w:rsid w:val="00422A2E"/>
    <w:rsid w:val="00422AEA"/>
    <w:rsid w:val="00422F19"/>
    <w:rsid w:val="00423041"/>
    <w:rsid w:val="0042333D"/>
    <w:rsid w:val="004234EC"/>
    <w:rsid w:val="00423543"/>
    <w:rsid w:val="004238A3"/>
    <w:rsid w:val="00423CAE"/>
    <w:rsid w:val="00423FE4"/>
    <w:rsid w:val="0042420A"/>
    <w:rsid w:val="0042540A"/>
    <w:rsid w:val="004255B3"/>
    <w:rsid w:val="004256BF"/>
    <w:rsid w:val="004259E8"/>
    <w:rsid w:val="00425A64"/>
    <w:rsid w:val="00425A78"/>
    <w:rsid w:val="00425A94"/>
    <w:rsid w:val="00425F30"/>
    <w:rsid w:val="00425F87"/>
    <w:rsid w:val="00426132"/>
    <w:rsid w:val="0042628A"/>
    <w:rsid w:val="00426327"/>
    <w:rsid w:val="0042650E"/>
    <w:rsid w:val="004265B7"/>
    <w:rsid w:val="0042668A"/>
    <w:rsid w:val="00426926"/>
    <w:rsid w:val="00426A3F"/>
    <w:rsid w:val="00426A7D"/>
    <w:rsid w:val="00426A9A"/>
    <w:rsid w:val="00426AD0"/>
    <w:rsid w:val="00426E45"/>
    <w:rsid w:val="00426E9F"/>
    <w:rsid w:val="004271BB"/>
    <w:rsid w:val="00427825"/>
    <w:rsid w:val="0043045D"/>
    <w:rsid w:val="00430564"/>
    <w:rsid w:val="004308D2"/>
    <w:rsid w:val="00430F96"/>
    <w:rsid w:val="00431208"/>
    <w:rsid w:val="00431595"/>
    <w:rsid w:val="00431CDE"/>
    <w:rsid w:val="0043217A"/>
    <w:rsid w:val="00432312"/>
    <w:rsid w:val="00432464"/>
    <w:rsid w:val="00432D29"/>
    <w:rsid w:val="0043358B"/>
    <w:rsid w:val="00433A5B"/>
    <w:rsid w:val="00433C08"/>
    <w:rsid w:val="00433FF5"/>
    <w:rsid w:val="0043429A"/>
    <w:rsid w:val="004343A1"/>
    <w:rsid w:val="004343BE"/>
    <w:rsid w:val="0043445A"/>
    <w:rsid w:val="00434769"/>
    <w:rsid w:val="00434BF1"/>
    <w:rsid w:val="004354B5"/>
    <w:rsid w:val="00435628"/>
    <w:rsid w:val="00435BC6"/>
    <w:rsid w:val="00435D23"/>
    <w:rsid w:val="0043601F"/>
    <w:rsid w:val="00436149"/>
    <w:rsid w:val="004362E0"/>
    <w:rsid w:val="00436A32"/>
    <w:rsid w:val="00436AB0"/>
    <w:rsid w:val="00436D44"/>
    <w:rsid w:val="004372EA"/>
    <w:rsid w:val="004372FB"/>
    <w:rsid w:val="00437531"/>
    <w:rsid w:val="004378A3"/>
    <w:rsid w:val="004379CF"/>
    <w:rsid w:val="00437C98"/>
    <w:rsid w:val="004400CD"/>
    <w:rsid w:val="0044041C"/>
    <w:rsid w:val="0044049A"/>
    <w:rsid w:val="004407B1"/>
    <w:rsid w:val="00440A3F"/>
    <w:rsid w:val="00440ACA"/>
    <w:rsid w:val="00440C9E"/>
    <w:rsid w:val="00440F21"/>
    <w:rsid w:val="00440F40"/>
    <w:rsid w:val="00441054"/>
    <w:rsid w:val="004414ED"/>
    <w:rsid w:val="004415E0"/>
    <w:rsid w:val="00441739"/>
    <w:rsid w:val="00441903"/>
    <w:rsid w:val="00441CC9"/>
    <w:rsid w:val="00441DB2"/>
    <w:rsid w:val="00441DC9"/>
    <w:rsid w:val="00441E1A"/>
    <w:rsid w:val="00441ED1"/>
    <w:rsid w:val="0044230C"/>
    <w:rsid w:val="00442310"/>
    <w:rsid w:val="00442F6B"/>
    <w:rsid w:val="00443CAA"/>
    <w:rsid w:val="00444365"/>
    <w:rsid w:val="00445222"/>
    <w:rsid w:val="00445670"/>
    <w:rsid w:val="00445AC8"/>
    <w:rsid w:val="00445BFA"/>
    <w:rsid w:val="00445C2B"/>
    <w:rsid w:val="00445DB3"/>
    <w:rsid w:val="00445E1B"/>
    <w:rsid w:val="00446212"/>
    <w:rsid w:val="00446C82"/>
    <w:rsid w:val="0044721C"/>
    <w:rsid w:val="004472EB"/>
    <w:rsid w:val="004475FC"/>
    <w:rsid w:val="004477EB"/>
    <w:rsid w:val="00447EED"/>
    <w:rsid w:val="00447F15"/>
    <w:rsid w:val="0045028A"/>
    <w:rsid w:val="004504F2"/>
    <w:rsid w:val="004506F9"/>
    <w:rsid w:val="00450D6E"/>
    <w:rsid w:val="00451551"/>
    <w:rsid w:val="004515C6"/>
    <w:rsid w:val="00451627"/>
    <w:rsid w:val="0045163C"/>
    <w:rsid w:val="00451826"/>
    <w:rsid w:val="004518BE"/>
    <w:rsid w:val="00451A05"/>
    <w:rsid w:val="00451D39"/>
    <w:rsid w:val="00451E02"/>
    <w:rsid w:val="00451E4F"/>
    <w:rsid w:val="004520A2"/>
    <w:rsid w:val="004530F9"/>
    <w:rsid w:val="004537AC"/>
    <w:rsid w:val="004537D5"/>
    <w:rsid w:val="00453D9F"/>
    <w:rsid w:val="004541D5"/>
    <w:rsid w:val="00454350"/>
    <w:rsid w:val="004549AE"/>
    <w:rsid w:val="00454AB1"/>
    <w:rsid w:val="0045529A"/>
    <w:rsid w:val="00455346"/>
    <w:rsid w:val="0045556E"/>
    <w:rsid w:val="004555BF"/>
    <w:rsid w:val="004556D1"/>
    <w:rsid w:val="00455713"/>
    <w:rsid w:val="00455AE2"/>
    <w:rsid w:val="00456121"/>
    <w:rsid w:val="004563A4"/>
    <w:rsid w:val="004569F1"/>
    <w:rsid w:val="00456CC9"/>
    <w:rsid w:val="00456D46"/>
    <w:rsid w:val="00456D8C"/>
    <w:rsid w:val="00456EEF"/>
    <w:rsid w:val="0045760E"/>
    <w:rsid w:val="00457FFC"/>
    <w:rsid w:val="00460119"/>
    <w:rsid w:val="0046018B"/>
    <w:rsid w:val="00460312"/>
    <w:rsid w:val="0046068D"/>
    <w:rsid w:val="004606FB"/>
    <w:rsid w:val="004607B1"/>
    <w:rsid w:val="0046097E"/>
    <w:rsid w:val="00460BAB"/>
    <w:rsid w:val="00460FF5"/>
    <w:rsid w:val="00461112"/>
    <w:rsid w:val="004611A5"/>
    <w:rsid w:val="004612B7"/>
    <w:rsid w:val="004615F7"/>
    <w:rsid w:val="004616A0"/>
    <w:rsid w:val="004616B6"/>
    <w:rsid w:val="004619DB"/>
    <w:rsid w:val="004626BA"/>
    <w:rsid w:val="00462C35"/>
    <w:rsid w:val="00462C3B"/>
    <w:rsid w:val="00462DCD"/>
    <w:rsid w:val="004630E4"/>
    <w:rsid w:val="0046393E"/>
    <w:rsid w:val="00463A85"/>
    <w:rsid w:val="00464082"/>
    <w:rsid w:val="004640EE"/>
    <w:rsid w:val="00464121"/>
    <w:rsid w:val="00464134"/>
    <w:rsid w:val="0046417C"/>
    <w:rsid w:val="004644AE"/>
    <w:rsid w:val="00464601"/>
    <w:rsid w:val="004647F1"/>
    <w:rsid w:val="00464805"/>
    <w:rsid w:val="00464FDB"/>
    <w:rsid w:val="0046529B"/>
    <w:rsid w:val="00465749"/>
    <w:rsid w:val="004657F5"/>
    <w:rsid w:val="004659E0"/>
    <w:rsid w:val="004659FC"/>
    <w:rsid w:val="00465E11"/>
    <w:rsid w:val="0046601F"/>
    <w:rsid w:val="00466221"/>
    <w:rsid w:val="0046640D"/>
    <w:rsid w:val="00466C80"/>
    <w:rsid w:val="00466D34"/>
    <w:rsid w:val="00466F4B"/>
    <w:rsid w:val="0046714E"/>
    <w:rsid w:val="00467215"/>
    <w:rsid w:val="004676F3"/>
    <w:rsid w:val="00467D97"/>
    <w:rsid w:val="00467E72"/>
    <w:rsid w:val="00470014"/>
    <w:rsid w:val="004700B7"/>
    <w:rsid w:val="00470124"/>
    <w:rsid w:val="00470E77"/>
    <w:rsid w:val="00471094"/>
    <w:rsid w:val="004710B3"/>
    <w:rsid w:val="004711FB"/>
    <w:rsid w:val="0047128B"/>
    <w:rsid w:val="004715C4"/>
    <w:rsid w:val="004719A7"/>
    <w:rsid w:val="00471EE2"/>
    <w:rsid w:val="00471FE4"/>
    <w:rsid w:val="004729B2"/>
    <w:rsid w:val="00473743"/>
    <w:rsid w:val="00473834"/>
    <w:rsid w:val="004738FB"/>
    <w:rsid w:val="00473938"/>
    <w:rsid w:val="00473CBB"/>
    <w:rsid w:val="00473DAD"/>
    <w:rsid w:val="00473EC0"/>
    <w:rsid w:val="0047453A"/>
    <w:rsid w:val="0047456C"/>
    <w:rsid w:val="004745EA"/>
    <w:rsid w:val="00474B63"/>
    <w:rsid w:val="00474CE0"/>
    <w:rsid w:val="00474E73"/>
    <w:rsid w:val="00475142"/>
    <w:rsid w:val="004754C1"/>
    <w:rsid w:val="00475565"/>
    <w:rsid w:val="004757E0"/>
    <w:rsid w:val="00475BBE"/>
    <w:rsid w:val="00475DE4"/>
    <w:rsid w:val="00475DE5"/>
    <w:rsid w:val="00476253"/>
    <w:rsid w:val="0047682C"/>
    <w:rsid w:val="004768BE"/>
    <w:rsid w:val="004768D1"/>
    <w:rsid w:val="00476912"/>
    <w:rsid w:val="00477160"/>
    <w:rsid w:val="0047764B"/>
    <w:rsid w:val="004776DF"/>
    <w:rsid w:val="004777F9"/>
    <w:rsid w:val="00477991"/>
    <w:rsid w:val="00477AA3"/>
    <w:rsid w:val="00477EE5"/>
    <w:rsid w:val="00477F08"/>
    <w:rsid w:val="00480073"/>
    <w:rsid w:val="004804BB"/>
    <w:rsid w:val="004804FF"/>
    <w:rsid w:val="0048095D"/>
    <w:rsid w:val="00480B70"/>
    <w:rsid w:val="00480C6A"/>
    <w:rsid w:val="00480DE8"/>
    <w:rsid w:val="00480EE4"/>
    <w:rsid w:val="00481838"/>
    <w:rsid w:val="0048223A"/>
    <w:rsid w:val="00482488"/>
    <w:rsid w:val="0048265F"/>
    <w:rsid w:val="00482C21"/>
    <w:rsid w:val="00483374"/>
    <w:rsid w:val="00483717"/>
    <w:rsid w:val="00483918"/>
    <w:rsid w:val="0048455A"/>
    <w:rsid w:val="004848C5"/>
    <w:rsid w:val="00484B15"/>
    <w:rsid w:val="00484DE6"/>
    <w:rsid w:val="00484FC4"/>
    <w:rsid w:val="004853FA"/>
    <w:rsid w:val="004854C9"/>
    <w:rsid w:val="00485585"/>
    <w:rsid w:val="00485BA4"/>
    <w:rsid w:val="00485DBD"/>
    <w:rsid w:val="00486292"/>
    <w:rsid w:val="004865FA"/>
    <w:rsid w:val="0048676E"/>
    <w:rsid w:val="0048694E"/>
    <w:rsid w:val="00486A5E"/>
    <w:rsid w:val="004870DC"/>
    <w:rsid w:val="00487298"/>
    <w:rsid w:val="00487573"/>
    <w:rsid w:val="00487680"/>
    <w:rsid w:val="00487693"/>
    <w:rsid w:val="00490203"/>
    <w:rsid w:val="004903AF"/>
    <w:rsid w:val="00490558"/>
    <w:rsid w:val="0049068C"/>
    <w:rsid w:val="004906C1"/>
    <w:rsid w:val="00490868"/>
    <w:rsid w:val="004908AD"/>
    <w:rsid w:val="00490BF1"/>
    <w:rsid w:val="00490E6E"/>
    <w:rsid w:val="00490F9E"/>
    <w:rsid w:val="004917C2"/>
    <w:rsid w:val="00491954"/>
    <w:rsid w:val="00491A4A"/>
    <w:rsid w:val="00491BD7"/>
    <w:rsid w:val="00491F37"/>
    <w:rsid w:val="004922FE"/>
    <w:rsid w:val="00492879"/>
    <w:rsid w:val="00492AE9"/>
    <w:rsid w:val="00493231"/>
    <w:rsid w:val="004934D5"/>
    <w:rsid w:val="00493653"/>
    <w:rsid w:val="00493977"/>
    <w:rsid w:val="004939C8"/>
    <w:rsid w:val="004939D5"/>
    <w:rsid w:val="00493E7A"/>
    <w:rsid w:val="004940B7"/>
    <w:rsid w:val="00494157"/>
    <w:rsid w:val="004943D8"/>
    <w:rsid w:val="0049442E"/>
    <w:rsid w:val="00494B00"/>
    <w:rsid w:val="00494D96"/>
    <w:rsid w:val="00494E4E"/>
    <w:rsid w:val="00494FC2"/>
    <w:rsid w:val="0049528A"/>
    <w:rsid w:val="0049551F"/>
    <w:rsid w:val="00495BDB"/>
    <w:rsid w:val="00496010"/>
    <w:rsid w:val="00496248"/>
    <w:rsid w:val="004966BF"/>
    <w:rsid w:val="00496BA4"/>
    <w:rsid w:val="00496C20"/>
    <w:rsid w:val="00496E0B"/>
    <w:rsid w:val="00497322"/>
    <w:rsid w:val="004974E1"/>
    <w:rsid w:val="0049755D"/>
    <w:rsid w:val="00497DDF"/>
    <w:rsid w:val="004A04FE"/>
    <w:rsid w:val="004A0AA4"/>
    <w:rsid w:val="004A0DCE"/>
    <w:rsid w:val="004A0DE1"/>
    <w:rsid w:val="004A108E"/>
    <w:rsid w:val="004A1098"/>
    <w:rsid w:val="004A1448"/>
    <w:rsid w:val="004A17AC"/>
    <w:rsid w:val="004A17D5"/>
    <w:rsid w:val="004A18B4"/>
    <w:rsid w:val="004A1E7E"/>
    <w:rsid w:val="004A218C"/>
    <w:rsid w:val="004A2917"/>
    <w:rsid w:val="004A2A0A"/>
    <w:rsid w:val="004A37A6"/>
    <w:rsid w:val="004A3B1A"/>
    <w:rsid w:val="004A3D3E"/>
    <w:rsid w:val="004A442D"/>
    <w:rsid w:val="004A491E"/>
    <w:rsid w:val="004A4CB8"/>
    <w:rsid w:val="004A4E2F"/>
    <w:rsid w:val="004A5096"/>
    <w:rsid w:val="004A52E9"/>
    <w:rsid w:val="004A5501"/>
    <w:rsid w:val="004A55C8"/>
    <w:rsid w:val="004A573E"/>
    <w:rsid w:val="004A608B"/>
    <w:rsid w:val="004A6305"/>
    <w:rsid w:val="004A63D6"/>
    <w:rsid w:val="004A65BA"/>
    <w:rsid w:val="004A77FA"/>
    <w:rsid w:val="004A7DC6"/>
    <w:rsid w:val="004B00E0"/>
    <w:rsid w:val="004B05E0"/>
    <w:rsid w:val="004B0A6A"/>
    <w:rsid w:val="004B0AB6"/>
    <w:rsid w:val="004B0AC6"/>
    <w:rsid w:val="004B0B6B"/>
    <w:rsid w:val="004B0C23"/>
    <w:rsid w:val="004B0ED1"/>
    <w:rsid w:val="004B104E"/>
    <w:rsid w:val="004B1238"/>
    <w:rsid w:val="004B137D"/>
    <w:rsid w:val="004B1641"/>
    <w:rsid w:val="004B17C4"/>
    <w:rsid w:val="004B19E6"/>
    <w:rsid w:val="004B1CA5"/>
    <w:rsid w:val="004B1D13"/>
    <w:rsid w:val="004B1F7A"/>
    <w:rsid w:val="004B2290"/>
    <w:rsid w:val="004B259C"/>
    <w:rsid w:val="004B2A9D"/>
    <w:rsid w:val="004B34B0"/>
    <w:rsid w:val="004B3964"/>
    <w:rsid w:val="004B3AD3"/>
    <w:rsid w:val="004B3BCE"/>
    <w:rsid w:val="004B4B4C"/>
    <w:rsid w:val="004B4EA9"/>
    <w:rsid w:val="004B4EB6"/>
    <w:rsid w:val="004B4FB6"/>
    <w:rsid w:val="004B5040"/>
    <w:rsid w:val="004B61F9"/>
    <w:rsid w:val="004B6305"/>
    <w:rsid w:val="004B67E0"/>
    <w:rsid w:val="004B6FAF"/>
    <w:rsid w:val="004B71C0"/>
    <w:rsid w:val="004B7386"/>
    <w:rsid w:val="004B7FDD"/>
    <w:rsid w:val="004C01AC"/>
    <w:rsid w:val="004C04B5"/>
    <w:rsid w:val="004C063E"/>
    <w:rsid w:val="004C0A9C"/>
    <w:rsid w:val="004C1009"/>
    <w:rsid w:val="004C1140"/>
    <w:rsid w:val="004C132F"/>
    <w:rsid w:val="004C1351"/>
    <w:rsid w:val="004C1898"/>
    <w:rsid w:val="004C1AE9"/>
    <w:rsid w:val="004C1BEB"/>
    <w:rsid w:val="004C1DF3"/>
    <w:rsid w:val="004C1E52"/>
    <w:rsid w:val="004C2006"/>
    <w:rsid w:val="004C2075"/>
    <w:rsid w:val="004C2234"/>
    <w:rsid w:val="004C2629"/>
    <w:rsid w:val="004C2A74"/>
    <w:rsid w:val="004C2AD1"/>
    <w:rsid w:val="004C346E"/>
    <w:rsid w:val="004C3735"/>
    <w:rsid w:val="004C3928"/>
    <w:rsid w:val="004C3A26"/>
    <w:rsid w:val="004C3A83"/>
    <w:rsid w:val="004C3B98"/>
    <w:rsid w:val="004C3BDC"/>
    <w:rsid w:val="004C4208"/>
    <w:rsid w:val="004C4871"/>
    <w:rsid w:val="004C4BD9"/>
    <w:rsid w:val="004C4BF0"/>
    <w:rsid w:val="004C4F3D"/>
    <w:rsid w:val="004C514A"/>
    <w:rsid w:val="004C540B"/>
    <w:rsid w:val="004C54E7"/>
    <w:rsid w:val="004C55B4"/>
    <w:rsid w:val="004C583F"/>
    <w:rsid w:val="004C597D"/>
    <w:rsid w:val="004C5C19"/>
    <w:rsid w:val="004C5FEE"/>
    <w:rsid w:val="004C6281"/>
    <w:rsid w:val="004C630E"/>
    <w:rsid w:val="004C63BE"/>
    <w:rsid w:val="004C63C6"/>
    <w:rsid w:val="004C6542"/>
    <w:rsid w:val="004C657D"/>
    <w:rsid w:val="004C65E8"/>
    <w:rsid w:val="004C6A2A"/>
    <w:rsid w:val="004C6C45"/>
    <w:rsid w:val="004C6D78"/>
    <w:rsid w:val="004C6EA1"/>
    <w:rsid w:val="004C7042"/>
    <w:rsid w:val="004C70FA"/>
    <w:rsid w:val="004C79D2"/>
    <w:rsid w:val="004D02AB"/>
    <w:rsid w:val="004D059D"/>
    <w:rsid w:val="004D08DA"/>
    <w:rsid w:val="004D0BD9"/>
    <w:rsid w:val="004D14D7"/>
    <w:rsid w:val="004D159F"/>
    <w:rsid w:val="004D16F6"/>
    <w:rsid w:val="004D1BD0"/>
    <w:rsid w:val="004D1C71"/>
    <w:rsid w:val="004D1F88"/>
    <w:rsid w:val="004D1FC1"/>
    <w:rsid w:val="004D2972"/>
    <w:rsid w:val="004D2C8B"/>
    <w:rsid w:val="004D364C"/>
    <w:rsid w:val="004D3753"/>
    <w:rsid w:val="004D3811"/>
    <w:rsid w:val="004D3D85"/>
    <w:rsid w:val="004D414B"/>
    <w:rsid w:val="004D449F"/>
    <w:rsid w:val="004D44D7"/>
    <w:rsid w:val="004D4537"/>
    <w:rsid w:val="004D46CD"/>
    <w:rsid w:val="004D479B"/>
    <w:rsid w:val="004D49ED"/>
    <w:rsid w:val="004D4B8F"/>
    <w:rsid w:val="004D541C"/>
    <w:rsid w:val="004D5776"/>
    <w:rsid w:val="004D5829"/>
    <w:rsid w:val="004D5C71"/>
    <w:rsid w:val="004D5E46"/>
    <w:rsid w:val="004D630F"/>
    <w:rsid w:val="004D6A32"/>
    <w:rsid w:val="004D6FB7"/>
    <w:rsid w:val="004D7036"/>
    <w:rsid w:val="004D706A"/>
    <w:rsid w:val="004D72D2"/>
    <w:rsid w:val="004D763E"/>
    <w:rsid w:val="004D7711"/>
    <w:rsid w:val="004D789E"/>
    <w:rsid w:val="004E0089"/>
    <w:rsid w:val="004E081B"/>
    <w:rsid w:val="004E084D"/>
    <w:rsid w:val="004E089E"/>
    <w:rsid w:val="004E08C2"/>
    <w:rsid w:val="004E08F8"/>
    <w:rsid w:val="004E0A3A"/>
    <w:rsid w:val="004E0CBD"/>
    <w:rsid w:val="004E0DC2"/>
    <w:rsid w:val="004E1109"/>
    <w:rsid w:val="004E12EF"/>
    <w:rsid w:val="004E17B1"/>
    <w:rsid w:val="004E1841"/>
    <w:rsid w:val="004E1947"/>
    <w:rsid w:val="004E2602"/>
    <w:rsid w:val="004E2BE4"/>
    <w:rsid w:val="004E2D5F"/>
    <w:rsid w:val="004E2E45"/>
    <w:rsid w:val="004E31A6"/>
    <w:rsid w:val="004E38BC"/>
    <w:rsid w:val="004E38E2"/>
    <w:rsid w:val="004E3919"/>
    <w:rsid w:val="004E3AE4"/>
    <w:rsid w:val="004E3B9D"/>
    <w:rsid w:val="004E3E00"/>
    <w:rsid w:val="004E3F0D"/>
    <w:rsid w:val="004E474B"/>
    <w:rsid w:val="004E4942"/>
    <w:rsid w:val="004E4ABD"/>
    <w:rsid w:val="004E4D18"/>
    <w:rsid w:val="004E509E"/>
    <w:rsid w:val="004E5433"/>
    <w:rsid w:val="004E5774"/>
    <w:rsid w:val="004E5C1B"/>
    <w:rsid w:val="004E5D31"/>
    <w:rsid w:val="004E5DEA"/>
    <w:rsid w:val="004E5F12"/>
    <w:rsid w:val="004E6816"/>
    <w:rsid w:val="004E6D40"/>
    <w:rsid w:val="004E6D5C"/>
    <w:rsid w:val="004E6F87"/>
    <w:rsid w:val="004E7145"/>
    <w:rsid w:val="004E7899"/>
    <w:rsid w:val="004F00FF"/>
    <w:rsid w:val="004F0F38"/>
    <w:rsid w:val="004F0FA4"/>
    <w:rsid w:val="004F1283"/>
    <w:rsid w:val="004F17EB"/>
    <w:rsid w:val="004F1813"/>
    <w:rsid w:val="004F1D3F"/>
    <w:rsid w:val="004F1EFD"/>
    <w:rsid w:val="004F2172"/>
    <w:rsid w:val="004F2440"/>
    <w:rsid w:val="004F26D0"/>
    <w:rsid w:val="004F2849"/>
    <w:rsid w:val="004F369B"/>
    <w:rsid w:val="004F3A22"/>
    <w:rsid w:val="004F4212"/>
    <w:rsid w:val="004F4487"/>
    <w:rsid w:val="004F44A1"/>
    <w:rsid w:val="004F4591"/>
    <w:rsid w:val="004F4691"/>
    <w:rsid w:val="004F47BA"/>
    <w:rsid w:val="004F49C8"/>
    <w:rsid w:val="004F4DF7"/>
    <w:rsid w:val="004F4E52"/>
    <w:rsid w:val="004F5004"/>
    <w:rsid w:val="004F52EA"/>
    <w:rsid w:val="004F5312"/>
    <w:rsid w:val="004F6402"/>
    <w:rsid w:val="004F6645"/>
    <w:rsid w:val="004F683A"/>
    <w:rsid w:val="004F6AF4"/>
    <w:rsid w:val="004F6C2D"/>
    <w:rsid w:val="004F6F2D"/>
    <w:rsid w:val="004F6FF6"/>
    <w:rsid w:val="004F7069"/>
    <w:rsid w:val="004F715C"/>
    <w:rsid w:val="004F7938"/>
    <w:rsid w:val="004F795C"/>
    <w:rsid w:val="0050001D"/>
    <w:rsid w:val="005001FF"/>
    <w:rsid w:val="005002CA"/>
    <w:rsid w:val="005006A6"/>
    <w:rsid w:val="00500888"/>
    <w:rsid w:val="00500B68"/>
    <w:rsid w:val="00500FF3"/>
    <w:rsid w:val="00501593"/>
    <w:rsid w:val="005016E7"/>
    <w:rsid w:val="00501932"/>
    <w:rsid w:val="00501D74"/>
    <w:rsid w:val="005030D4"/>
    <w:rsid w:val="005031D3"/>
    <w:rsid w:val="0050327C"/>
    <w:rsid w:val="005033A6"/>
    <w:rsid w:val="00503D2B"/>
    <w:rsid w:val="00503E5C"/>
    <w:rsid w:val="00504956"/>
    <w:rsid w:val="005053DF"/>
    <w:rsid w:val="005053E2"/>
    <w:rsid w:val="005056C4"/>
    <w:rsid w:val="00505796"/>
    <w:rsid w:val="00505D37"/>
    <w:rsid w:val="005064AE"/>
    <w:rsid w:val="00506679"/>
    <w:rsid w:val="00506C22"/>
    <w:rsid w:val="00506D6D"/>
    <w:rsid w:val="0050702C"/>
    <w:rsid w:val="005070CB"/>
    <w:rsid w:val="005070EE"/>
    <w:rsid w:val="0050712F"/>
    <w:rsid w:val="00507923"/>
    <w:rsid w:val="005079F5"/>
    <w:rsid w:val="00507BA8"/>
    <w:rsid w:val="00507C5A"/>
    <w:rsid w:val="00507FDB"/>
    <w:rsid w:val="0051013D"/>
    <w:rsid w:val="00510305"/>
    <w:rsid w:val="0051098A"/>
    <w:rsid w:val="00510C31"/>
    <w:rsid w:val="00510E90"/>
    <w:rsid w:val="005113F5"/>
    <w:rsid w:val="00511A8C"/>
    <w:rsid w:val="005121C8"/>
    <w:rsid w:val="0051254B"/>
    <w:rsid w:val="0051272E"/>
    <w:rsid w:val="00512A9E"/>
    <w:rsid w:val="00512B6A"/>
    <w:rsid w:val="00512F1B"/>
    <w:rsid w:val="00512F3A"/>
    <w:rsid w:val="00513170"/>
    <w:rsid w:val="00513A6A"/>
    <w:rsid w:val="00514263"/>
    <w:rsid w:val="00514432"/>
    <w:rsid w:val="005144C4"/>
    <w:rsid w:val="00514996"/>
    <w:rsid w:val="00514C94"/>
    <w:rsid w:val="00514F84"/>
    <w:rsid w:val="005165F9"/>
    <w:rsid w:val="00516BD8"/>
    <w:rsid w:val="00516BF4"/>
    <w:rsid w:val="00516D0C"/>
    <w:rsid w:val="00516EFD"/>
    <w:rsid w:val="00517052"/>
    <w:rsid w:val="0051796F"/>
    <w:rsid w:val="00517A22"/>
    <w:rsid w:val="00517AE4"/>
    <w:rsid w:val="00517B67"/>
    <w:rsid w:val="00517B9E"/>
    <w:rsid w:val="00517D0F"/>
    <w:rsid w:val="00520011"/>
    <w:rsid w:val="005201E9"/>
    <w:rsid w:val="0052063D"/>
    <w:rsid w:val="005208C2"/>
    <w:rsid w:val="005208D2"/>
    <w:rsid w:val="00520984"/>
    <w:rsid w:val="005209B7"/>
    <w:rsid w:val="00521092"/>
    <w:rsid w:val="00521246"/>
    <w:rsid w:val="0052143D"/>
    <w:rsid w:val="00521676"/>
    <w:rsid w:val="005219DB"/>
    <w:rsid w:val="00521BA2"/>
    <w:rsid w:val="00521E77"/>
    <w:rsid w:val="00522325"/>
    <w:rsid w:val="00522328"/>
    <w:rsid w:val="0052259D"/>
    <w:rsid w:val="0052275D"/>
    <w:rsid w:val="00522873"/>
    <w:rsid w:val="00522A67"/>
    <w:rsid w:val="00522B4C"/>
    <w:rsid w:val="00522B55"/>
    <w:rsid w:val="00522ECE"/>
    <w:rsid w:val="00522FC7"/>
    <w:rsid w:val="005230BF"/>
    <w:rsid w:val="0052315D"/>
    <w:rsid w:val="005233EC"/>
    <w:rsid w:val="00523862"/>
    <w:rsid w:val="00523A4F"/>
    <w:rsid w:val="00523A85"/>
    <w:rsid w:val="00523B90"/>
    <w:rsid w:val="00523CBF"/>
    <w:rsid w:val="00523D1D"/>
    <w:rsid w:val="00523D7E"/>
    <w:rsid w:val="00524234"/>
    <w:rsid w:val="005244F3"/>
    <w:rsid w:val="00524C46"/>
    <w:rsid w:val="00524ECB"/>
    <w:rsid w:val="00524F2B"/>
    <w:rsid w:val="00525FFE"/>
    <w:rsid w:val="005262D1"/>
    <w:rsid w:val="00526390"/>
    <w:rsid w:val="0052678D"/>
    <w:rsid w:val="00526B39"/>
    <w:rsid w:val="00526D6F"/>
    <w:rsid w:val="00526E81"/>
    <w:rsid w:val="00527004"/>
    <w:rsid w:val="005270C9"/>
    <w:rsid w:val="005271AD"/>
    <w:rsid w:val="0052720E"/>
    <w:rsid w:val="00527230"/>
    <w:rsid w:val="005275C5"/>
    <w:rsid w:val="00527787"/>
    <w:rsid w:val="00527AB7"/>
    <w:rsid w:val="00527B85"/>
    <w:rsid w:val="00527FF0"/>
    <w:rsid w:val="00530498"/>
    <w:rsid w:val="005304CF"/>
    <w:rsid w:val="0053065B"/>
    <w:rsid w:val="00531093"/>
    <w:rsid w:val="00531A2B"/>
    <w:rsid w:val="00531AE3"/>
    <w:rsid w:val="00531D7E"/>
    <w:rsid w:val="00532308"/>
    <w:rsid w:val="00532529"/>
    <w:rsid w:val="00532644"/>
    <w:rsid w:val="005326BD"/>
    <w:rsid w:val="0053273C"/>
    <w:rsid w:val="00532BBB"/>
    <w:rsid w:val="00532D7A"/>
    <w:rsid w:val="00532DC4"/>
    <w:rsid w:val="00532EDD"/>
    <w:rsid w:val="00533082"/>
    <w:rsid w:val="00533125"/>
    <w:rsid w:val="005331CE"/>
    <w:rsid w:val="00533249"/>
    <w:rsid w:val="005335BD"/>
    <w:rsid w:val="00533B14"/>
    <w:rsid w:val="00533EDD"/>
    <w:rsid w:val="00533F52"/>
    <w:rsid w:val="005347CF"/>
    <w:rsid w:val="00534C0A"/>
    <w:rsid w:val="005358CC"/>
    <w:rsid w:val="00535F74"/>
    <w:rsid w:val="0053610D"/>
    <w:rsid w:val="00536112"/>
    <w:rsid w:val="00536536"/>
    <w:rsid w:val="0053665C"/>
    <w:rsid w:val="0053681C"/>
    <w:rsid w:val="00536FC8"/>
    <w:rsid w:val="005370C1"/>
    <w:rsid w:val="005374C6"/>
    <w:rsid w:val="005378D0"/>
    <w:rsid w:val="00537981"/>
    <w:rsid w:val="005379C0"/>
    <w:rsid w:val="00537B09"/>
    <w:rsid w:val="00537C45"/>
    <w:rsid w:val="00537F04"/>
    <w:rsid w:val="00540418"/>
    <w:rsid w:val="00540463"/>
    <w:rsid w:val="0054078A"/>
    <w:rsid w:val="00540889"/>
    <w:rsid w:val="00540C5C"/>
    <w:rsid w:val="00540CD9"/>
    <w:rsid w:val="00541015"/>
    <w:rsid w:val="005412E9"/>
    <w:rsid w:val="0054156B"/>
    <w:rsid w:val="00541C71"/>
    <w:rsid w:val="00541CA0"/>
    <w:rsid w:val="00541DA6"/>
    <w:rsid w:val="00541E75"/>
    <w:rsid w:val="00542272"/>
    <w:rsid w:val="005422A2"/>
    <w:rsid w:val="0054309F"/>
    <w:rsid w:val="005430C0"/>
    <w:rsid w:val="00543A1B"/>
    <w:rsid w:val="00543A7D"/>
    <w:rsid w:val="00543D3E"/>
    <w:rsid w:val="005449B2"/>
    <w:rsid w:val="00544C19"/>
    <w:rsid w:val="00544C4E"/>
    <w:rsid w:val="00544C87"/>
    <w:rsid w:val="005456A1"/>
    <w:rsid w:val="0054574D"/>
    <w:rsid w:val="00545AE4"/>
    <w:rsid w:val="00545DE0"/>
    <w:rsid w:val="00545F18"/>
    <w:rsid w:val="0054627E"/>
    <w:rsid w:val="005467AB"/>
    <w:rsid w:val="00546CB8"/>
    <w:rsid w:val="00546E61"/>
    <w:rsid w:val="00546EE5"/>
    <w:rsid w:val="00547316"/>
    <w:rsid w:val="00547624"/>
    <w:rsid w:val="005476A1"/>
    <w:rsid w:val="00550395"/>
    <w:rsid w:val="00550B4B"/>
    <w:rsid w:val="00550D38"/>
    <w:rsid w:val="00550F71"/>
    <w:rsid w:val="005510F0"/>
    <w:rsid w:val="0055190D"/>
    <w:rsid w:val="0055197D"/>
    <w:rsid w:val="0055230F"/>
    <w:rsid w:val="0055255B"/>
    <w:rsid w:val="00552A4A"/>
    <w:rsid w:val="005537F0"/>
    <w:rsid w:val="0055387C"/>
    <w:rsid w:val="00553F9E"/>
    <w:rsid w:val="005541EF"/>
    <w:rsid w:val="005545EE"/>
    <w:rsid w:val="005548FB"/>
    <w:rsid w:val="00554B0F"/>
    <w:rsid w:val="0055515F"/>
    <w:rsid w:val="0055518E"/>
    <w:rsid w:val="005557E1"/>
    <w:rsid w:val="00555F80"/>
    <w:rsid w:val="0055665E"/>
    <w:rsid w:val="00556C60"/>
    <w:rsid w:val="005571C7"/>
    <w:rsid w:val="00557241"/>
    <w:rsid w:val="005573AA"/>
    <w:rsid w:val="0055773C"/>
    <w:rsid w:val="005578CB"/>
    <w:rsid w:val="005578FA"/>
    <w:rsid w:val="00557AA3"/>
    <w:rsid w:val="00557AF6"/>
    <w:rsid w:val="00557D98"/>
    <w:rsid w:val="00560264"/>
    <w:rsid w:val="0056026D"/>
    <w:rsid w:val="005609AF"/>
    <w:rsid w:val="00560A37"/>
    <w:rsid w:val="00560C91"/>
    <w:rsid w:val="00560D26"/>
    <w:rsid w:val="00560F4F"/>
    <w:rsid w:val="005610DC"/>
    <w:rsid w:val="0056124F"/>
    <w:rsid w:val="00561318"/>
    <w:rsid w:val="00561643"/>
    <w:rsid w:val="00561D67"/>
    <w:rsid w:val="00561DDF"/>
    <w:rsid w:val="005620CD"/>
    <w:rsid w:val="0056242F"/>
    <w:rsid w:val="00562A3C"/>
    <w:rsid w:val="00563079"/>
    <w:rsid w:val="005631C4"/>
    <w:rsid w:val="005633C3"/>
    <w:rsid w:val="00563862"/>
    <w:rsid w:val="0056391B"/>
    <w:rsid w:val="00563A63"/>
    <w:rsid w:val="0056439E"/>
    <w:rsid w:val="005647E7"/>
    <w:rsid w:val="00564953"/>
    <w:rsid w:val="00564B75"/>
    <w:rsid w:val="00565160"/>
    <w:rsid w:val="00565167"/>
    <w:rsid w:val="00565500"/>
    <w:rsid w:val="005655D8"/>
    <w:rsid w:val="00565B69"/>
    <w:rsid w:val="00565C8D"/>
    <w:rsid w:val="00565E88"/>
    <w:rsid w:val="00566980"/>
    <w:rsid w:val="005669E4"/>
    <w:rsid w:val="00566A59"/>
    <w:rsid w:val="00566D4D"/>
    <w:rsid w:val="00566D82"/>
    <w:rsid w:val="00566DF4"/>
    <w:rsid w:val="0056703C"/>
    <w:rsid w:val="00567202"/>
    <w:rsid w:val="0056754D"/>
    <w:rsid w:val="00567932"/>
    <w:rsid w:val="00567BAB"/>
    <w:rsid w:val="00567C6C"/>
    <w:rsid w:val="00567F82"/>
    <w:rsid w:val="00567F87"/>
    <w:rsid w:val="00567FFC"/>
    <w:rsid w:val="00570081"/>
    <w:rsid w:val="005707C4"/>
    <w:rsid w:val="005708E7"/>
    <w:rsid w:val="00570C36"/>
    <w:rsid w:val="00571078"/>
    <w:rsid w:val="005710C4"/>
    <w:rsid w:val="0057150A"/>
    <w:rsid w:val="005717F0"/>
    <w:rsid w:val="005718DF"/>
    <w:rsid w:val="00571B5B"/>
    <w:rsid w:val="00572AF4"/>
    <w:rsid w:val="00572BFD"/>
    <w:rsid w:val="00572D61"/>
    <w:rsid w:val="00572E05"/>
    <w:rsid w:val="00572EBC"/>
    <w:rsid w:val="005731A7"/>
    <w:rsid w:val="00573382"/>
    <w:rsid w:val="0057379A"/>
    <w:rsid w:val="00573A8E"/>
    <w:rsid w:val="00574068"/>
    <w:rsid w:val="00574303"/>
    <w:rsid w:val="00574945"/>
    <w:rsid w:val="0057505C"/>
    <w:rsid w:val="0057576A"/>
    <w:rsid w:val="005757AD"/>
    <w:rsid w:val="00575B0A"/>
    <w:rsid w:val="00575BAA"/>
    <w:rsid w:val="00576C7D"/>
    <w:rsid w:val="0057710F"/>
    <w:rsid w:val="0057728D"/>
    <w:rsid w:val="00577298"/>
    <w:rsid w:val="005772AF"/>
    <w:rsid w:val="00577764"/>
    <w:rsid w:val="00577834"/>
    <w:rsid w:val="00577D96"/>
    <w:rsid w:val="00577DA3"/>
    <w:rsid w:val="00577E78"/>
    <w:rsid w:val="00577FF9"/>
    <w:rsid w:val="0058037D"/>
    <w:rsid w:val="005804C7"/>
    <w:rsid w:val="00580937"/>
    <w:rsid w:val="00580E61"/>
    <w:rsid w:val="00580F58"/>
    <w:rsid w:val="0058100F"/>
    <w:rsid w:val="005810C7"/>
    <w:rsid w:val="00581423"/>
    <w:rsid w:val="00581620"/>
    <w:rsid w:val="00581653"/>
    <w:rsid w:val="005816FB"/>
    <w:rsid w:val="00581F69"/>
    <w:rsid w:val="00582302"/>
    <w:rsid w:val="00583035"/>
    <w:rsid w:val="005831F9"/>
    <w:rsid w:val="0058320F"/>
    <w:rsid w:val="00583565"/>
    <w:rsid w:val="00583827"/>
    <w:rsid w:val="00583F62"/>
    <w:rsid w:val="0058405B"/>
    <w:rsid w:val="00584067"/>
    <w:rsid w:val="00584ED9"/>
    <w:rsid w:val="00585012"/>
    <w:rsid w:val="005851EB"/>
    <w:rsid w:val="00585480"/>
    <w:rsid w:val="00585481"/>
    <w:rsid w:val="005855F1"/>
    <w:rsid w:val="005857A6"/>
    <w:rsid w:val="0058581D"/>
    <w:rsid w:val="00585861"/>
    <w:rsid w:val="00585A77"/>
    <w:rsid w:val="00585DD0"/>
    <w:rsid w:val="00586447"/>
    <w:rsid w:val="0058661B"/>
    <w:rsid w:val="00586AD9"/>
    <w:rsid w:val="00586C7D"/>
    <w:rsid w:val="00586F0F"/>
    <w:rsid w:val="0058702F"/>
    <w:rsid w:val="00587067"/>
    <w:rsid w:val="0058728A"/>
    <w:rsid w:val="00587795"/>
    <w:rsid w:val="00587A3B"/>
    <w:rsid w:val="00587B99"/>
    <w:rsid w:val="00587EFC"/>
    <w:rsid w:val="005901FC"/>
    <w:rsid w:val="005903F2"/>
    <w:rsid w:val="00590BD4"/>
    <w:rsid w:val="00590F5F"/>
    <w:rsid w:val="00591291"/>
    <w:rsid w:val="00591795"/>
    <w:rsid w:val="005919E3"/>
    <w:rsid w:val="00591B91"/>
    <w:rsid w:val="00591C3C"/>
    <w:rsid w:val="00591CFC"/>
    <w:rsid w:val="00591F2C"/>
    <w:rsid w:val="005920EA"/>
    <w:rsid w:val="0059269F"/>
    <w:rsid w:val="00592707"/>
    <w:rsid w:val="00592B3B"/>
    <w:rsid w:val="00593103"/>
    <w:rsid w:val="00593185"/>
    <w:rsid w:val="0059365F"/>
    <w:rsid w:val="00593E8D"/>
    <w:rsid w:val="00593FDC"/>
    <w:rsid w:val="00594309"/>
    <w:rsid w:val="00595279"/>
    <w:rsid w:val="00595FBB"/>
    <w:rsid w:val="00596B1A"/>
    <w:rsid w:val="00597100"/>
    <w:rsid w:val="005972A1"/>
    <w:rsid w:val="00597314"/>
    <w:rsid w:val="005973D1"/>
    <w:rsid w:val="00597831"/>
    <w:rsid w:val="00597E48"/>
    <w:rsid w:val="005A0087"/>
    <w:rsid w:val="005A01BF"/>
    <w:rsid w:val="005A0BD7"/>
    <w:rsid w:val="005A0F08"/>
    <w:rsid w:val="005A10A1"/>
    <w:rsid w:val="005A12DC"/>
    <w:rsid w:val="005A1362"/>
    <w:rsid w:val="005A163E"/>
    <w:rsid w:val="005A191C"/>
    <w:rsid w:val="005A1A4A"/>
    <w:rsid w:val="005A1DEA"/>
    <w:rsid w:val="005A1FB6"/>
    <w:rsid w:val="005A21D4"/>
    <w:rsid w:val="005A236C"/>
    <w:rsid w:val="005A253C"/>
    <w:rsid w:val="005A2583"/>
    <w:rsid w:val="005A2C32"/>
    <w:rsid w:val="005A2C9A"/>
    <w:rsid w:val="005A3020"/>
    <w:rsid w:val="005A3222"/>
    <w:rsid w:val="005A330D"/>
    <w:rsid w:val="005A3368"/>
    <w:rsid w:val="005A3395"/>
    <w:rsid w:val="005A38D5"/>
    <w:rsid w:val="005A3AD7"/>
    <w:rsid w:val="005A3E02"/>
    <w:rsid w:val="005A3FE8"/>
    <w:rsid w:val="005A4229"/>
    <w:rsid w:val="005A4303"/>
    <w:rsid w:val="005A4377"/>
    <w:rsid w:val="005A448E"/>
    <w:rsid w:val="005A4CAD"/>
    <w:rsid w:val="005A504C"/>
    <w:rsid w:val="005A504E"/>
    <w:rsid w:val="005A50D0"/>
    <w:rsid w:val="005A5247"/>
    <w:rsid w:val="005A530B"/>
    <w:rsid w:val="005A54D2"/>
    <w:rsid w:val="005A581C"/>
    <w:rsid w:val="005A6156"/>
    <w:rsid w:val="005A6198"/>
    <w:rsid w:val="005A65ED"/>
    <w:rsid w:val="005A6B23"/>
    <w:rsid w:val="005A7057"/>
    <w:rsid w:val="005A71B1"/>
    <w:rsid w:val="005A7649"/>
    <w:rsid w:val="005A7F7E"/>
    <w:rsid w:val="005B00B8"/>
    <w:rsid w:val="005B0198"/>
    <w:rsid w:val="005B0206"/>
    <w:rsid w:val="005B06A2"/>
    <w:rsid w:val="005B07BB"/>
    <w:rsid w:val="005B095C"/>
    <w:rsid w:val="005B1434"/>
    <w:rsid w:val="005B16C3"/>
    <w:rsid w:val="005B1A5F"/>
    <w:rsid w:val="005B1B22"/>
    <w:rsid w:val="005B1C12"/>
    <w:rsid w:val="005B1F1B"/>
    <w:rsid w:val="005B2566"/>
    <w:rsid w:val="005B2859"/>
    <w:rsid w:val="005B28F7"/>
    <w:rsid w:val="005B2AC3"/>
    <w:rsid w:val="005B2ADE"/>
    <w:rsid w:val="005B2D11"/>
    <w:rsid w:val="005B30CD"/>
    <w:rsid w:val="005B30FF"/>
    <w:rsid w:val="005B33E2"/>
    <w:rsid w:val="005B347F"/>
    <w:rsid w:val="005B3564"/>
    <w:rsid w:val="005B3D90"/>
    <w:rsid w:val="005B3F00"/>
    <w:rsid w:val="005B4527"/>
    <w:rsid w:val="005B460F"/>
    <w:rsid w:val="005B4777"/>
    <w:rsid w:val="005B4CA9"/>
    <w:rsid w:val="005B4EEA"/>
    <w:rsid w:val="005B5175"/>
    <w:rsid w:val="005B5A98"/>
    <w:rsid w:val="005B5BAE"/>
    <w:rsid w:val="005B5EE7"/>
    <w:rsid w:val="005B65FB"/>
    <w:rsid w:val="005B67AA"/>
    <w:rsid w:val="005B67C0"/>
    <w:rsid w:val="005B6F79"/>
    <w:rsid w:val="005B74B3"/>
    <w:rsid w:val="005B74DF"/>
    <w:rsid w:val="005B7680"/>
    <w:rsid w:val="005B77FF"/>
    <w:rsid w:val="005B7879"/>
    <w:rsid w:val="005B7C6A"/>
    <w:rsid w:val="005B7EAC"/>
    <w:rsid w:val="005C02FA"/>
    <w:rsid w:val="005C0A4F"/>
    <w:rsid w:val="005C0A71"/>
    <w:rsid w:val="005C0B80"/>
    <w:rsid w:val="005C0C63"/>
    <w:rsid w:val="005C0D10"/>
    <w:rsid w:val="005C0D74"/>
    <w:rsid w:val="005C0E4F"/>
    <w:rsid w:val="005C0F03"/>
    <w:rsid w:val="005C1162"/>
    <w:rsid w:val="005C165D"/>
    <w:rsid w:val="005C16B9"/>
    <w:rsid w:val="005C1878"/>
    <w:rsid w:val="005C19FA"/>
    <w:rsid w:val="005C1BAA"/>
    <w:rsid w:val="005C2026"/>
    <w:rsid w:val="005C21FC"/>
    <w:rsid w:val="005C234B"/>
    <w:rsid w:val="005C2A93"/>
    <w:rsid w:val="005C2BF3"/>
    <w:rsid w:val="005C2DFB"/>
    <w:rsid w:val="005C2FBE"/>
    <w:rsid w:val="005C2FC1"/>
    <w:rsid w:val="005C302E"/>
    <w:rsid w:val="005C313F"/>
    <w:rsid w:val="005C31E7"/>
    <w:rsid w:val="005C32FE"/>
    <w:rsid w:val="005C3317"/>
    <w:rsid w:val="005C34A5"/>
    <w:rsid w:val="005C3A90"/>
    <w:rsid w:val="005C3B08"/>
    <w:rsid w:val="005C3EB7"/>
    <w:rsid w:val="005C4254"/>
    <w:rsid w:val="005C5010"/>
    <w:rsid w:val="005C5238"/>
    <w:rsid w:val="005C5826"/>
    <w:rsid w:val="005C582A"/>
    <w:rsid w:val="005C58FF"/>
    <w:rsid w:val="005C599B"/>
    <w:rsid w:val="005C5A6E"/>
    <w:rsid w:val="005C5BBA"/>
    <w:rsid w:val="005C5DD4"/>
    <w:rsid w:val="005C5F10"/>
    <w:rsid w:val="005C62FF"/>
    <w:rsid w:val="005C6809"/>
    <w:rsid w:val="005C6B9D"/>
    <w:rsid w:val="005C6E61"/>
    <w:rsid w:val="005C742E"/>
    <w:rsid w:val="005C7719"/>
    <w:rsid w:val="005C7741"/>
    <w:rsid w:val="005C78D6"/>
    <w:rsid w:val="005C79E7"/>
    <w:rsid w:val="005C7F3E"/>
    <w:rsid w:val="005C7F71"/>
    <w:rsid w:val="005D0166"/>
    <w:rsid w:val="005D01B0"/>
    <w:rsid w:val="005D0529"/>
    <w:rsid w:val="005D0569"/>
    <w:rsid w:val="005D059B"/>
    <w:rsid w:val="005D0901"/>
    <w:rsid w:val="005D112B"/>
    <w:rsid w:val="005D1136"/>
    <w:rsid w:val="005D1591"/>
    <w:rsid w:val="005D15B2"/>
    <w:rsid w:val="005D2154"/>
    <w:rsid w:val="005D2316"/>
    <w:rsid w:val="005D26EB"/>
    <w:rsid w:val="005D2995"/>
    <w:rsid w:val="005D2AC7"/>
    <w:rsid w:val="005D2BAE"/>
    <w:rsid w:val="005D312F"/>
    <w:rsid w:val="005D3790"/>
    <w:rsid w:val="005D38E3"/>
    <w:rsid w:val="005D3A58"/>
    <w:rsid w:val="005D3B8A"/>
    <w:rsid w:val="005D3BDC"/>
    <w:rsid w:val="005D3BDD"/>
    <w:rsid w:val="005D3FD7"/>
    <w:rsid w:val="005D3FF6"/>
    <w:rsid w:val="005D4232"/>
    <w:rsid w:val="005D44C2"/>
    <w:rsid w:val="005D4760"/>
    <w:rsid w:val="005D4E8C"/>
    <w:rsid w:val="005D5313"/>
    <w:rsid w:val="005D554F"/>
    <w:rsid w:val="005D58A0"/>
    <w:rsid w:val="005D5C91"/>
    <w:rsid w:val="005D62A0"/>
    <w:rsid w:val="005D666E"/>
    <w:rsid w:val="005D69DE"/>
    <w:rsid w:val="005D6D22"/>
    <w:rsid w:val="005D70E0"/>
    <w:rsid w:val="005D7461"/>
    <w:rsid w:val="005D7587"/>
    <w:rsid w:val="005D7734"/>
    <w:rsid w:val="005D797F"/>
    <w:rsid w:val="005D7B0E"/>
    <w:rsid w:val="005E0008"/>
    <w:rsid w:val="005E0034"/>
    <w:rsid w:val="005E035C"/>
    <w:rsid w:val="005E0382"/>
    <w:rsid w:val="005E063D"/>
    <w:rsid w:val="005E07F4"/>
    <w:rsid w:val="005E092D"/>
    <w:rsid w:val="005E09A6"/>
    <w:rsid w:val="005E0AA4"/>
    <w:rsid w:val="005E0C5B"/>
    <w:rsid w:val="005E0D10"/>
    <w:rsid w:val="005E1037"/>
    <w:rsid w:val="005E150C"/>
    <w:rsid w:val="005E1927"/>
    <w:rsid w:val="005E1AA4"/>
    <w:rsid w:val="005E1B7D"/>
    <w:rsid w:val="005E1BEF"/>
    <w:rsid w:val="005E1D66"/>
    <w:rsid w:val="005E22C9"/>
    <w:rsid w:val="005E28F7"/>
    <w:rsid w:val="005E2A27"/>
    <w:rsid w:val="005E2D00"/>
    <w:rsid w:val="005E2F92"/>
    <w:rsid w:val="005E329F"/>
    <w:rsid w:val="005E38AE"/>
    <w:rsid w:val="005E393E"/>
    <w:rsid w:val="005E3994"/>
    <w:rsid w:val="005E39E8"/>
    <w:rsid w:val="005E3AB5"/>
    <w:rsid w:val="005E3C99"/>
    <w:rsid w:val="005E3CC9"/>
    <w:rsid w:val="005E3F8B"/>
    <w:rsid w:val="005E400B"/>
    <w:rsid w:val="005E424A"/>
    <w:rsid w:val="005E4380"/>
    <w:rsid w:val="005E44C0"/>
    <w:rsid w:val="005E4BD9"/>
    <w:rsid w:val="005E5006"/>
    <w:rsid w:val="005E5028"/>
    <w:rsid w:val="005E5934"/>
    <w:rsid w:val="005E5F32"/>
    <w:rsid w:val="005E613E"/>
    <w:rsid w:val="005E624D"/>
    <w:rsid w:val="005E647D"/>
    <w:rsid w:val="005E67DC"/>
    <w:rsid w:val="005E6EA0"/>
    <w:rsid w:val="005E6EC0"/>
    <w:rsid w:val="005E7296"/>
    <w:rsid w:val="005E743C"/>
    <w:rsid w:val="005E75E7"/>
    <w:rsid w:val="005E7A05"/>
    <w:rsid w:val="005E7E8A"/>
    <w:rsid w:val="005E7FCD"/>
    <w:rsid w:val="005F0063"/>
    <w:rsid w:val="005F0661"/>
    <w:rsid w:val="005F08F7"/>
    <w:rsid w:val="005F0F97"/>
    <w:rsid w:val="005F0FA8"/>
    <w:rsid w:val="005F1069"/>
    <w:rsid w:val="005F1341"/>
    <w:rsid w:val="005F14C1"/>
    <w:rsid w:val="005F187A"/>
    <w:rsid w:val="005F19D2"/>
    <w:rsid w:val="005F1C1F"/>
    <w:rsid w:val="005F1D9D"/>
    <w:rsid w:val="005F285D"/>
    <w:rsid w:val="005F2AD7"/>
    <w:rsid w:val="005F2C7A"/>
    <w:rsid w:val="005F30A5"/>
    <w:rsid w:val="005F30C4"/>
    <w:rsid w:val="005F38C4"/>
    <w:rsid w:val="005F39EF"/>
    <w:rsid w:val="005F3A9B"/>
    <w:rsid w:val="005F3AD1"/>
    <w:rsid w:val="005F4004"/>
    <w:rsid w:val="005F457E"/>
    <w:rsid w:val="005F4B66"/>
    <w:rsid w:val="005F4C1F"/>
    <w:rsid w:val="005F4ECF"/>
    <w:rsid w:val="005F4F35"/>
    <w:rsid w:val="005F4FCE"/>
    <w:rsid w:val="005F55B4"/>
    <w:rsid w:val="005F563F"/>
    <w:rsid w:val="005F5663"/>
    <w:rsid w:val="005F570E"/>
    <w:rsid w:val="005F57F1"/>
    <w:rsid w:val="005F5A65"/>
    <w:rsid w:val="005F5CAB"/>
    <w:rsid w:val="005F5CB1"/>
    <w:rsid w:val="005F6055"/>
    <w:rsid w:val="005F60F4"/>
    <w:rsid w:val="005F649F"/>
    <w:rsid w:val="005F652D"/>
    <w:rsid w:val="005F6640"/>
    <w:rsid w:val="005F6C06"/>
    <w:rsid w:val="005F6C80"/>
    <w:rsid w:val="005F73E7"/>
    <w:rsid w:val="005F76FE"/>
    <w:rsid w:val="005F7749"/>
    <w:rsid w:val="005F79B1"/>
    <w:rsid w:val="005F79F4"/>
    <w:rsid w:val="005F7BD0"/>
    <w:rsid w:val="005F7DA3"/>
    <w:rsid w:val="006002E5"/>
    <w:rsid w:val="0060048F"/>
    <w:rsid w:val="00600643"/>
    <w:rsid w:val="00600C5B"/>
    <w:rsid w:val="00600DA4"/>
    <w:rsid w:val="00600E7F"/>
    <w:rsid w:val="006014F1"/>
    <w:rsid w:val="00601ACD"/>
    <w:rsid w:val="00601BBD"/>
    <w:rsid w:val="00601E7E"/>
    <w:rsid w:val="00601EDD"/>
    <w:rsid w:val="006020AC"/>
    <w:rsid w:val="006030EB"/>
    <w:rsid w:val="006035C6"/>
    <w:rsid w:val="006036B0"/>
    <w:rsid w:val="00603A4C"/>
    <w:rsid w:val="00603C6C"/>
    <w:rsid w:val="00604022"/>
    <w:rsid w:val="0060426F"/>
    <w:rsid w:val="00604301"/>
    <w:rsid w:val="0060481D"/>
    <w:rsid w:val="00604B1B"/>
    <w:rsid w:val="00604B5E"/>
    <w:rsid w:val="0060566C"/>
    <w:rsid w:val="0060580B"/>
    <w:rsid w:val="00605A9A"/>
    <w:rsid w:val="00605B32"/>
    <w:rsid w:val="006062C5"/>
    <w:rsid w:val="00606415"/>
    <w:rsid w:val="0060656E"/>
    <w:rsid w:val="00606689"/>
    <w:rsid w:val="006069E3"/>
    <w:rsid w:val="00606AC8"/>
    <w:rsid w:val="00606B84"/>
    <w:rsid w:val="00606D95"/>
    <w:rsid w:val="00606DF3"/>
    <w:rsid w:val="00607160"/>
    <w:rsid w:val="00607215"/>
    <w:rsid w:val="006072CD"/>
    <w:rsid w:val="0060761D"/>
    <w:rsid w:val="0060771A"/>
    <w:rsid w:val="00607FF6"/>
    <w:rsid w:val="006100C6"/>
    <w:rsid w:val="006101C7"/>
    <w:rsid w:val="006103F5"/>
    <w:rsid w:val="0061097A"/>
    <w:rsid w:val="00610A13"/>
    <w:rsid w:val="00610FFB"/>
    <w:rsid w:val="006111C0"/>
    <w:rsid w:val="00611422"/>
    <w:rsid w:val="006128D1"/>
    <w:rsid w:val="00612941"/>
    <w:rsid w:val="00612ABB"/>
    <w:rsid w:val="00613105"/>
    <w:rsid w:val="0061316D"/>
    <w:rsid w:val="006131BF"/>
    <w:rsid w:val="006131D3"/>
    <w:rsid w:val="0061336C"/>
    <w:rsid w:val="006133F0"/>
    <w:rsid w:val="006135D9"/>
    <w:rsid w:val="00613809"/>
    <w:rsid w:val="0061411E"/>
    <w:rsid w:val="0061440D"/>
    <w:rsid w:val="00614501"/>
    <w:rsid w:val="006146A1"/>
    <w:rsid w:val="006149F3"/>
    <w:rsid w:val="00615276"/>
    <w:rsid w:val="0061550E"/>
    <w:rsid w:val="006157AC"/>
    <w:rsid w:val="00615B38"/>
    <w:rsid w:val="00616063"/>
    <w:rsid w:val="00616460"/>
    <w:rsid w:val="00616790"/>
    <w:rsid w:val="006167C7"/>
    <w:rsid w:val="006168D6"/>
    <w:rsid w:val="00616910"/>
    <w:rsid w:val="00616CCB"/>
    <w:rsid w:val="00616DEA"/>
    <w:rsid w:val="0061763D"/>
    <w:rsid w:val="006176D3"/>
    <w:rsid w:val="0061794D"/>
    <w:rsid w:val="00617A0E"/>
    <w:rsid w:val="00617A44"/>
    <w:rsid w:val="00617ADD"/>
    <w:rsid w:val="00617F79"/>
    <w:rsid w:val="0062064C"/>
    <w:rsid w:val="006207E0"/>
    <w:rsid w:val="006209C2"/>
    <w:rsid w:val="006209E3"/>
    <w:rsid w:val="00620B90"/>
    <w:rsid w:val="00620EDD"/>
    <w:rsid w:val="00621583"/>
    <w:rsid w:val="006219C4"/>
    <w:rsid w:val="00621C9E"/>
    <w:rsid w:val="00622329"/>
    <w:rsid w:val="00622418"/>
    <w:rsid w:val="00622C27"/>
    <w:rsid w:val="006234CE"/>
    <w:rsid w:val="0062352A"/>
    <w:rsid w:val="00623675"/>
    <w:rsid w:val="00623ADC"/>
    <w:rsid w:val="00623C5C"/>
    <w:rsid w:val="00623EEE"/>
    <w:rsid w:val="006246A1"/>
    <w:rsid w:val="00624737"/>
    <w:rsid w:val="00624D3B"/>
    <w:rsid w:val="00624F11"/>
    <w:rsid w:val="00625233"/>
    <w:rsid w:val="0062538C"/>
    <w:rsid w:val="006255C9"/>
    <w:rsid w:val="00625809"/>
    <w:rsid w:val="00625FC1"/>
    <w:rsid w:val="006260F1"/>
    <w:rsid w:val="00626122"/>
    <w:rsid w:val="00626ADC"/>
    <w:rsid w:val="00626E80"/>
    <w:rsid w:val="006277E5"/>
    <w:rsid w:val="006278EA"/>
    <w:rsid w:val="00627D33"/>
    <w:rsid w:val="00627ECF"/>
    <w:rsid w:val="006303D1"/>
    <w:rsid w:val="00630771"/>
    <w:rsid w:val="00630A98"/>
    <w:rsid w:val="00630B4F"/>
    <w:rsid w:val="00630B94"/>
    <w:rsid w:val="00630BD9"/>
    <w:rsid w:val="00630DAC"/>
    <w:rsid w:val="0063137D"/>
    <w:rsid w:val="00632AA0"/>
    <w:rsid w:val="00632AB8"/>
    <w:rsid w:val="00632F42"/>
    <w:rsid w:val="00633073"/>
    <w:rsid w:val="00633AD9"/>
    <w:rsid w:val="00633D98"/>
    <w:rsid w:val="00633F41"/>
    <w:rsid w:val="00633FFC"/>
    <w:rsid w:val="00634049"/>
    <w:rsid w:val="00634095"/>
    <w:rsid w:val="00634C84"/>
    <w:rsid w:val="00634D7F"/>
    <w:rsid w:val="0063530F"/>
    <w:rsid w:val="006353EC"/>
    <w:rsid w:val="00635667"/>
    <w:rsid w:val="00635688"/>
    <w:rsid w:val="00635768"/>
    <w:rsid w:val="00635B60"/>
    <w:rsid w:val="00635C4E"/>
    <w:rsid w:val="00635E67"/>
    <w:rsid w:val="00636424"/>
    <w:rsid w:val="00636835"/>
    <w:rsid w:val="006372FE"/>
    <w:rsid w:val="0063788D"/>
    <w:rsid w:val="006379FF"/>
    <w:rsid w:val="00637EB9"/>
    <w:rsid w:val="00637F71"/>
    <w:rsid w:val="0064019C"/>
    <w:rsid w:val="006408EE"/>
    <w:rsid w:val="006409C4"/>
    <w:rsid w:val="0064131F"/>
    <w:rsid w:val="0064152C"/>
    <w:rsid w:val="006415D0"/>
    <w:rsid w:val="00641ADD"/>
    <w:rsid w:val="00641D36"/>
    <w:rsid w:val="00641DD0"/>
    <w:rsid w:val="006423E2"/>
    <w:rsid w:val="0064337F"/>
    <w:rsid w:val="00643AE1"/>
    <w:rsid w:val="00643CB7"/>
    <w:rsid w:val="00643D6F"/>
    <w:rsid w:val="00643DA4"/>
    <w:rsid w:val="006443FF"/>
    <w:rsid w:val="00644690"/>
    <w:rsid w:val="00644820"/>
    <w:rsid w:val="00644DD8"/>
    <w:rsid w:val="006451E3"/>
    <w:rsid w:val="00645D5B"/>
    <w:rsid w:val="0064615B"/>
    <w:rsid w:val="0064615D"/>
    <w:rsid w:val="006464BD"/>
    <w:rsid w:val="00646691"/>
    <w:rsid w:val="006468D5"/>
    <w:rsid w:val="00646A7D"/>
    <w:rsid w:val="00646EEC"/>
    <w:rsid w:val="006474C5"/>
    <w:rsid w:val="0064771A"/>
    <w:rsid w:val="00647786"/>
    <w:rsid w:val="00647A7B"/>
    <w:rsid w:val="00647BB2"/>
    <w:rsid w:val="00647E4A"/>
    <w:rsid w:val="00650477"/>
    <w:rsid w:val="006504F6"/>
    <w:rsid w:val="0065075F"/>
    <w:rsid w:val="00650DB6"/>
    <w:rsid w:val="00650F71"/>
    <w:rsid w:val="00651018"/>
    <w:rsid w:val="006511CD"/>
    <w:rsid w:val="00651506"/>
    <w:rsid w:val="00651888"/>
    <w:rsid w:val="006518BE"/>
    <w:rsid w:val="00651C7B"/>
    <w:rsid w:val="00651D35"/>
    <w:rsid w:val="006521E2"/>
    <w:rsid w:val="00652396"/>
    <w:rsid w:val="006524B6"/>
    <w:rsid w:val="006528CB"/>
    <w:rsid w:val="00652A2C"/>
    <w:rsid w:val="00652AF5"/>
    <w:rsid w:val="00652E0D"/>
    <w:rsid w:val="00653664"/>
    <w:rsid w:val="00653900"/>
    <w:rsid w:val="00653A2F"/>
    <w:rsid w:val="00653D09"/>
    <w:rsid w:val="00653EC9"/>
    <w:rsid w:val="00653F33"/>
    <w:rsid w:val="00654299"/>
    <w:rsid w:val="00654465"/>
    <w:rsid w:val="0065452E"/>
    <w:rsid w:val="00654BFA"/>
    <w:rsid w:val="00654E14"/>
    <w:rsid w:val="00654E65"/>
    <w:rsid w:val="00654F7F"/>
    <w:rsid w:val="00655356"/>
    <w:rsid w:val="006553A6"/>
    <w:rsid w:val="00655561"/>
    <w:rsid w:val="00655653"/>
    <w:rsid w:val="00655665"/>
    <w:rsid w:val="00655A05"/>
    <w:rsid w:val="00655AD4"/>
    <w:rsid w:val="00655C28"/>
    <w:rsid w:val="00655DD6"/>
    <w:rsid w:val="00655F42"/>
    <w:rsid w:val="00656152"/>
    <w:rsid w:val="006562D5"/>
    <w:rsid w:val="0065635D"/>
    <w:rsid w:val="006564A0"/>
    <w:rsid w:val="006568FF"/>
    <w:rsid w:val="00657167"/>
    <w:rsid w:val="00657908"/>
    <w:rsid w:val="00657B2A"/>
    <w:rsid w:val="00657C27"/>
    <w:rsid w:val="0066023C"/>
    <w:rsid w:val="0066059D"/>
    <w:rsid w:val="00660937"/>
    <w:rsid w:val="00660959"/>
    <w:rsid w:val="006609F1"/>
    <w:rsid w:val="00660FE7"/>
    <w:rsid w:val="006610BB"/>
    <w:rsid w:val="0066147A"/>
    <w:rsid w:val="00661616"/>
    <w:rsid w:val="00661916"/>
    <w:rsid w:val="00661961"/>
    <w:rsid w:val="00661C08"/>
    <w:rsid w:val="00661F97"/>
    <w:rsid w:val="006622A9"/>
    <w:rsid w:val="006625CE"/>
    <w:rsid w:val="006627D4"/>
    <w:rsid w:val="00662850"/>
    <w:rsid w:val="006629FA"/>
    <w:rsid w:val="00662B03"/>
    <w:rsid w:val="00662B10"/>
    <w:rsid w:val="00662B40"/>
    <w:rsid w:val="00662BCE"/>
    <w:rsid w:val="00662CA6"/>
    <w:rsid w:val="00662F59"/>
    <w:rsid w:val="006632E4"/>
    <w:rsid w:val="006634B1"/>
    <w:rsid w:val="0066398A"/>
    <w:rsid w:val="006639D4"/>
    <w:rsid w:val="00663B5B"/>
    <w:rsid w:val="00664155"/>
    <w:rsid w:val="00664523"/>
    <w:rsid w:val="006649EA"/>
    <w:rsid w:val="00664E2D"/>
    <w:rsid w:val="00664EEF"/>
    <w:rsid w:val="00664FBE"/>
    <w:rsid w:val="00665150"/>
    <w:rsid w:val="006653CA"/>
    <w:rsid w:val="0066549C"/>
    <w:rsid w:val="00665F41"/>
    <w:rsid w:val="00666116"/>
    <w:rsid w:val="006663CA"/>
    <w:rsid w:val="006663F3"/>
    <w:rsid w:val="006665BA"/>
    <w:rsid w:val="00666671"/>
    <w:rsid w:val="006668D9"/>
    <w:rsid w:val="006668FF"/>
    <w:rsid w:val="00666C3B"/>
    <w:rsid w:val="0066718C"/>
    <w:rsid w:val="006674A3"/>
    <w:rsid w:val="006676F3"/>
    <w:rsid w:val="0067005A"/>
    <w:rsid w:val="00670493"/>
    <w:rsid w:val="00670628"/>
    <w:rsid w:val="00670759"/>
    <w:rsid w:val="00670E42"/>
    <w:rsid w:val="0067111C"/>
    <w:rsid w:val="0067117E"/>
    <w:rsid w:val="006714AC"/>
    <w:rsid w:val="006714BA"/>
    <w:rsid w:val="00671FC3"/>
    <w:rsid w:val="00671FD5"/>
    <w:rsid w:val="00672614"/>
    <w:rsid w:val="00672698"/>
    <w:rsid w:val="006727A6"/>
    <w:rsid w:val="006727A9"/>
    <w:rsid w:val="006729B1"/>
    <w:rsid w:val="00672AB2"/>
    <w:rsid w:val="00673150"/>
    <w:rsid w:val="00673426"/>
    <w:rsid w:val="00673AD7"/>
    <w:rsid w:val="00673EC7"/>
    <w:rsid w:val="00673FEC"/>
    <w:rsid w:val="00674B97"/>
    <w:rsid w:val="00674D6B"/>
    <w:rsid w:val="00674EB8"/>
    <w:rsid w:val="006752D0"/>
    <w:rsid w:val="00675308"/>
    <w:rsid w:val="0067534F"/>
    <w:rsid w:val="00675A42"/>
    <w:rsid w:val="00675BF8"/>
    <w:rsid w:val="006763EA"/>
    <w:rsid w:val="00676887"/>
    <w:rsid w:val="00676ACA"/>
    <w:rsid w:val="00676D11"/>
    <w:rsid w:val="00676E28"/>
    <w:rsid w:val="00676E63"/>
    <w:rsid w:val="00676F6C"/>
    <w:rsid w:val="00677135"/>
    <w:rsid w:val="006772FB"/>
    <w:rsid w:val="00677442"/>
    <w:rsid w:val="00677B68"/>
    <w:rsid w:val="00677C98"/>
    <w:rsid w:val="00680060"/>
    <w:rsid w:val="006803A8"/>
    <w:rsid w:val="00680A26"/>
    <w:rsid w:val="00680FA4"/>
    <w:rsid w:val="0068138C"/>
    <w:rsid w:val="00681BD5"/>
    <w:rsid w:val="00681C49"/>
    <w:rsid w:val="00681CAA"/>
    <w:rsid w:val="00681D4A"/>
    <w:rsid w:val="00681EC7"/>
    <w:rsid w:val="00682314"/>
    <w:rsid w:val="006827D5"/>
    <w:rsid w:val="0068286B"/>
    <w:rsid w:val="00682BD6"/>
    <w:rsid w:val="00682D4D"/>
    <w:rsid w:val="00682D5E"/>
    <w:rsid w:val="00683833"/>
    <w:rsid w:val="0068383D"/>
    <w:rsid w:val="00683B0B"/>
    <w:rsid w:val="00683B93"/>
    <w:rsid w:val="00683CE1"/>
    <w:rsid w:val="00683E87"/>
    <w:rsid w:val="006841C7"/>
    <w:rsid w:val="00684680"/>
    <w:rsid w:val="00685140"/>
    <w:rsid w:val="00685385"/>
    <w:rsid w:val="00685574"/>
    <w:rsid w:val="00685FF4"/>
    <w:rsid w:val="00686250"/>
    <w:rsid w:val="006863A1"/>
    <w:rsid w:val="0068644D"/>
    <w:rsid w:val="006864CC"/>
    <w:rsid w:val="00686841"/>
    <w:rsid w:val="00686901"/>
    <w:rsid w:val="00686AE0"/>
    <w:rsid w:val="00686C33"/>
    <w:rsid w:val="0068716A"/>
    <w:rsid w:val="006871AF"/>
    <w:rsid w:val="00687200"/>
    <w:rsid w:val="006873EB"/>
    <w:rsid w:val="006874CF"/>
    <w:rsid w:val="006875E9"/>
    <w:rsid w:val="006875FE"/>
    <w:rsid w:val="006876CB"/>
    <w:rsid w:val="00687A2E"/>
    <w:rsid w:val="00687A87"/>
    <w:rsid w:val="00687AEC"/>
    <w:rsid w:val="00687C0A"/>
    <w:rsid w:val="00687C62"/>
    <w:rsid w:val="00687D73"/>
    <w:rsid w:val="00687F1B"/>
    <w:rsid w:val="0069019E"/>
    <w:rsid w:val="006902A8"/>
    <w:rsid w:val="006902DF"/>
    <w:rsid w:val="0069038B"/>
    <w:rsid w:val="006908C2"/>
    <w:rsid w:val="0069099C"/>
    <w:rsid w:val="006911FD"/>
    <w:rsid w:val="0069134F"/>
    <w:rsid w:val="00691845"/>
    <w:rsid w:val="00691900"/>
    <w:rsid w:val="00692030"/>
    <w:rsid w:val="0069219C"/>
    <w:rsid w:val="00692569"/>
    <w:rsid w:val="00692620"/>
    <w:rsid w:val="00692F45"/>
    <w:rsid w:val="00692FBF"/>
    <w:rsid w:val="0069305B"/>
    <w:rsid w:val="00693449"/>
    <w:rsid w:val="00693721"/>
    <w:rsid w:val="0069405E"/>
    <w:rsid w:val="0069443C"/>
    <w:rsid w:val="00694E25"/>
    <w:rsid w:val="006950A3"/>
    <w:rsid w:val="00695262"/>
    <w:rsid w:val="006954E0"/>
    <w:rsid w:val="00696012"/>
    <w:rsid w:val="006961C9"/>
    <w:rsid w:val="006961D5"/>
    <w:rsid w:val="006963F7"/>
    <w:rsid w:val="00696BEA"/>
    <w:rsid w:val="00696D92"/>
    <w:rsid w:val="00696E58"/>
    <w:rsid w:val="00697159"/>
    <w:rsid w:val="006972FF"/>
    <w:rsid w:val="006973BE"/>
    <w:rsid w:val="00697C8B"/>
    <w:rsid w:val="00697DFC"/>
    <w:rsid w:val="00697FF1"/>
    <w:rsid w:val="006A0003"/>
    <w:rsid w:val="006A0494"/>
    <w:rsid w:val="006A111E"/>
    <w:rsid w:val="006A1455"/>
    <w:rsid w:val="006A163E"/>
    <w:rsid w:val="006A1DE7"/>
    <w:rsid w:val="006A1FEC"/>
    <w:rsid w:val="006A28D4"/>
    <w:rsid w:val="006A2B24"/>
    <w:rsid w:val="006A2D96"/>
    <w:rsid w:val="006A3309"/>
    <w:rsid w:val="006A3388"/>
    <w:rsid w:val="006A3922"/>
    <w:rsid w:val="006A3A5F"/>
    <w:rsid w:val="006A3B4E"/>
    <w:rsid w:val="006A4027"/>
    <w:rsid w:val="006A4111"/>
    <w:rsid w:val="006A4933"/>
    <w:rsid w:val="006A4CA2"/>
    <w:rsid w:val="006A4CB5"/>
    <w:rsid w:val="006A54D9"/>
    <w:rsid w:val="006A565D"/>
    <w:rsid w:val="006A5B0F"/>
    <w:rsid w:val="006A61DD"/>
    <w:rsid w:val="006A6270"/>
    <w:rsid w:val="006A66DF"/>
    <w:rsid w:val="006A6935"/>
    <w:rsid w:val="006A6AB2"/>
    <w:rsid w:val="006A6B64"/>
    <w:rsid w:val="006A6C06"/>
    <w:rsid w:val="006A6D9C"/>
    <w:rsid w:val="006A6DEF"/>
    <w:rsid w:val="006A6EC9"/>
    <w:rsid w:val="006A70A6"/>
    <w:rsid w:val="006A767A"/>
    <w:rsid w:val="006A787A"/>
    <w:rsid w:val="006A7F90"/>
    <w:rsid w:val="006B0122"/>
    <w:rsid w:val="006B03BB"/>
    <w:rsid w:val="006B07CE"/>
    <w:rsid w:val="006B0950"/>
    <w:rsid w:val="006B09C7"/>
    <w:rsid w:val="006B0B36"/>
    <w:rsid w:val="006B1670"/>
    <w:rsid w:val="006B181C"/>
    <w:rsid w:val="006B1B0A"/>
    <w:rsid w:val="006B1D52"/>
    <w:rsid w:val="006B2185"/>
    <w:rsid w:val="006B259C"/>
    <w:rsid w:val="006B2DAB"/>
    <w:rsid w:val="006B3251"/>
    <w:rsid w:val="006B3294"/>
    <w:rsid w:val="006B339E"/>
    <w:rsid w:val="006B33C2"/>
    <w:rsid w:val="006B3A0D"/>
    <w:rsid w:val="006B3C3A"/>
    <w:rsid w:val="006B413F"/>
    <w:rsid w:val="006B4274"/>
    <w:rsid w:val="006B4DC7"/>
    <w:rsid w:val="006B5837"/>
    <w:rsid w:val="006B5A27"/>
    <w:rsid w:val="006B5AAF"/>
    <w:rsid w:val="006B5C2F"/>
    <w:rsid w:val="006B60FA"/>
    <w:rsid w:val="006B6963"/>
    <w:rsid w:val="006B6A8A"/>
    <w:rsid w:val="006B6B77"/>
    <w:rsid w:val="006B6D75"/>
    <w:rsid w:val="006B6F5C"/>
    <w:rsid w:val="006B7188"/>
    <w:rsid w:val="006B73A8"/>
    <w:rsid w:val="006B7A37"/>
    <w:rsid w:val="006B7C2B"/>
    <w:rsid w:val="006B7D91"/>
    <w:rsid w:val="006B7F5A"/>
    <w:rsid w:val="006C0289"/>
    <w:rsid w:val="006C0455"/>
    <w:rsid w:val="006C07D1"/>
    <w:rsid w:val="006C0AA5"/>
    <w:rsid w:val="006C0C57"/>
    <w:rsid w:val="006C10E8"/>
    <w:rsid w:val="006C12B2"/>
    <w:rsid w:val="006C2204"/>
    <w:rsid w:val="006C266E"/>
    <w:rsid w:val="006C279E"/>
    <w:rsid w:val="006C2B29"/>
    <w:rsid w:val="006C2B47"/>
    <w:rsid w:val="006C2B4F"/>
    <w:rsid w:val="006C2BD7"/>
    <w:rsid w:val="006C2F2F"/>
    <w:rsid w:val="006C3143"/>
    <w:rsid w:val="006C3328"/>
    <w:rsid w:val="006C36B4"/>
    <w:rsid w:val="006C3B76"/>
    <w:rsid w:val="006C3E98"/>
    <w:rsid w:val="006C4554"/>
    <w:rsid w:val="006C4567"/>
    <w:rsid w:val="006C4B27"/>
    <w:rsid w:val="006C4BEB"/>
    <w:rsid w:val="006C5454"/>
    <w:rsid w:val="006C5620"/>
    <w:rsid w:val="006C59D8"/>
    <w:rsid w:val="006C5B7C"/>
    <w:rsid w:val="006C5DC0"/>
    <w:rsid w:val="006C5EF7"/>
    <w:rsid w:val="006C603F"/>
    <w:rsid w:val="006C72E2"/>
    <w:rsid w:val="006C74E7"/>
    <w:rsid w:val="006C7692"/>
    <w:rsid w:val="006C792F"/>
    <w:rsid w:val="006C795A"/>
    <w:rsid w:val="006C79A2"/>
    <w:rsid w:val="006C79D2"/>
    <w:rsid w:val="006C7A99"/>
    <w:rsid w:val="006D0845"/>
    <w:rsid w:val="006D0868"/>
    <w:rsid w:val="006D0E5F"/>
    <w:rsid w:val="006D150C"/>
    <w:rsid w:val="006D170B"/>
    <w:rsid w:val="006D1716"/>
    <w:rsid w:val="006D1758"/>
    <w:rsid w:val="006D19C6"/>
    <w:rsid w:val="006D22F2"/>
    <w:rsid w:val="006D22FC"/>
    <w:rsid w:val="006D2600"/>
    <w:rsid w:val="006D2887"/>
    <w:rsid w:val="006D2C69"/>
    <w:rsid w:val="006D2F73"/>
    <w:rsid w:val="006D2FE7"/>
    <w:rsid w:val="006D3231"/>
    <w:rsid w:val="006D32A5"/>
    <w:rsid w:val="006D3529"/>
    <w:rsid w:val="006D38EA"/>
    <w:rsid w:val="006D3AD8"/>
    <w:rsid w:val="006D4112"/>
    <w:rsid w:val="006D420E"/>
    <w:rsid w:val="006D4907"/>
    <w:rsid w:val="006D4C15"/>
    <w:rsid w:val="006D4D3B"/>
    <w:rsid w:val="006D507B"/>
    <w:rsid w:val="006D55DE"/>
    <w:rsid w:val="006D57CB"/>
    <w:rsid w:val="006D59C0"/>
    <w:rsid w:val="006D5AC5"/>
    <w:rsid w:val="006D5EDC"/>
    <w:rsid w:val="006D62FD"/>
    <w:rsid w:val="006D672C"/>
    <w:rsid w:val="006D71FE"/>
    <w:rsid w:val="006D7206"/>
    <w:rsid w:val="006D77F2"/>
    <w:rsid w:val="006D7EBD"/>
    <w:rsid w:val="006E03B1"/>
    <w:rsid w:val="006E07BC"/>
    <w:rsid w:val="006E07D1"/>
    <w:rsid w:val="006E0882"/>
    <w:rsid w:val="006E0AD9"/>
    <w:rsid w:val="006E0C79"/>
    <w:rsid w:val="006E0D44"/>
    <w:rsid w:val="006E0E71"/>
    <w:rsid w:val="006E0F55"/>
    <w:rsid w:val="006E121C"/>
    <w:rsid w:val="006E1321"/>
    <w:rsid w:val="006E1A82"/>
    <w:rsid w:val="006E1D32"/>
    <w:rsid w:val="006E1FD0"/>
    <w:rsid w:val="006E2059"/>
    <w:rsid w:val="006E20F0"/>
    <w:rsid w:val="006E2FA7"/>
    <w:rsid w:val="006E3220"/>
    <w:rsid w:val="006E3277"/>
    <w:rsid w:val="006E333D"/>
    <w:rsid w:val="006E33F3"/>
    <w:rsid w:val="006E3526"/>
    <w:rsid w:val="006E3AB5"/>
    <w:rsid w:val="006E3C0F"/>
    <w:rsid w:val="006E4110"/>
    <w:rsid w:val="006E4799"/>
    <w:rsid w:val="006E493B"/>
    <w:rsid w:val="006E4B7A"/>
    <w:rsid w:val="006E518E"/>
    <w:rsid w:val="006E5618"/>
    <w:rsid w:val="006E565A"/>
    <w:rsid w:val="006E580E"/>
    <w:rsid w:val="006E5CF3"/>
    <w:rsid w:val="006E5D38"/>
    <w:rsid w:val="006E6029"/>
    <w:rsid w:val="006E6317"/>
    <w:rsid w:val="006E6DAC"/>
    <w:rsid w:val="006E6F12"/>
    <w:rsid w:val="006E6F38"/>
    <w:rsid w:val="006E734D"/>
    <w:rsid w:val="006E755C"/>
    <w:rsid w:val="006E7B48"/>
    <w:rsid w:val="006E7B9C"/>
    <w:rsid w:val="006E7BA0"/>
    <w:rsid w:val="006E7C2A"/>
    <w:rsid w:val="006E7D4B"/>
    <w:rsid w:val="006F0D74"/>
    <w:rsid w:val="006F0EA9"/>
    <w:rsid w:val="006F1134"/>
    <w:rsid w:val="006F125A"/>
    <w:rsid w:val="006F129C"/>
    <w:rsid w:val="006F155F"/>
    <w:rsid w:val="006F161E"/>
    <w:rsid w:val="006F17A0"/>
    <w:rsid w:val="006F17B2"/>
    <w:rsid w:val="006F1D16"/>
    <w:rsid w:val="006F2413"/>
    <w:rsid w:val="006F289F"/>
    <w:rsid w:val="006F28F5"/>
    <w:rsid w:val="006F3250"/>
    <w:rsid w:val="006F353E"/>
    <w:rsid w:val="006F3DCA"/>
    <w:rsid w:val="006F3E1B"/>
    <w:rsid w:val="006F3F03"/>
    <w:rsid w:val="006F4928"/>
    <w:rsid w:val="006F4E8C"/>
    <w:rsid w:val="006F4F4F"/>
    <w:rsid w:val="006F50F7"/>
    <w:rsid w:val="006F5106"/>
    <w:rsid w:val="006F52FF"/>
    <w:rsid w:val="006F54FF"/>
    <w:rsid w:val="006F5B64"/>
    <w:rsid w:val="006F5C94"/>
    <w:rsid w:val="006F5D3D"/>
    <w:rsid w:val="006F6BFB"/>
    <w:rsid w:val="006F6F1F"/>
    <w:rsid w:val="006F750D"/>
    <w:rsid w:val="006F7649"/>
    <w:rsid w:val="006F780B"/>
    <w:rsid w:val="006F7932"/>
    <w:rsid w:val="006F7D7C"/>
    <w:rsid w:val="007003A9"/>
    <w:rsid w:val="0070040C"/>
    <w:rsid w:val="0070041D"/>
    <w:rsid w:val="0070095D"/>
    <w:rsid w:val="00700ACF"/>
    <w:rsid w:val="00700B4E"/>
    <w:rsid w:val="00700F53"/>
    <w:rsid w:val="00701359"/>
    <w:rsid w:val="0070163D"/>
    <w:rsid w:val="007016D0"/>
    <w:rsid w:val="007017E4"/>
    <w:rsid w:val="00701BFB"/>
    <w:rsid w:val="00701E06"/>
    <w:rsid w:val="00701E35"/>
    <w:rsid w:val="007025F0"/>
    <w:rsid w:val="00702B67"/>
    <w:rsid w:val="00703130"/>
    <w:rsid w:val="00703454"/>
    <w:rsid w:val="0070386B"/>
    <w:rsid w:val="00703CD5"/>
    <w:rsid w:val="00703ED8"/>
    <w:rsid w:val="00704923"/>
    <w:rsid w:val="007049E0"/>
    <w:rsid w:val="00704CC3"/>
    <w:rsid w:val="00705179"/>
    <w:rsid w:val="00705412"/>
    <w:rsid w:val="007056AF"/>
    <w:rsid w:val="00705CEB"/>
    <w:rsid w:val="007064D4"/>
    <w:rsid w:val="0070683C"/>
    <w:rsid w:val="00706A1D"/>
    <w:rsid w:val="00706A63"/>
    <w:rsid w:val="00706DB6"/>
    <w:rsid w:val="00707083"/>
    <w:rsid w:val="00707327"/>
    <w:rsid w:val="007073BB"/>
    <w:rsid w:val="007074AC"/>
    <w:rsid w:val="00710819"/>
    <w:rsid w:val="00710850"/>
    <w:rsid w:val="00710F79"/>
    <w:rsid w:val="00711376"/>
    <w:rsid w:val="0071164B"/>
    <w:rsid w:val="00711C9E"/>
    <w:rsid w:val="00711E1F"/>
    <w:rsid w:val="00712700"/>
    <w:rsid w:val="00712856"/>
    <w:rsid w:val="007131E8"/>
    <w:rsid w:val="00713399"/>
    <w:rsid w:val="007133F7"/>
    <w:rsid w:val="00713EDF"/>
    <w:rsid w:val="0071403C"/>
    <w:rsid w:val="007141B9"/>
    <w:rsid w:val="00714B71"/>
    <w:rsid w:val="00714CE4"/>
    <w:rsid w:val="007151D8"/>
    <w:rsid w:val="007153C8"/>
    <w:rsid w:val="00715849"/>
    <w:rsid w:val="00715986"/>
    <w:rsid w:val="00715C78"/>
    <w:rsid w:val="00715CFF"/>
    <w:rsid w:val="00715EF3"/>
    <w:rsid w:val="00716219"/>
    <w:rsid w:val="00716A33"/>
    <w:rsid w:val="00716C71"/>
    <w:rsid w:val="00716C7D"/>
    <w:rsid w:val="0071712D"/>
    <w:rsid w:val="007171BB"/>
    <w:rsid w:val="00717542"/>
    <w:rsid w:val="007175D2"/>
    <w:rsid w:val="00717705"/>
    <w:rsid w:val="00717911"/>
    <w:rsid w:val="00717F49"/>
    <w:rsid w:val="00717FB5"/>
    <w:rsid w:val="00720210"/>
    <w:rsid w:val="007207F5"/>
    <w:rsid w:val="00720F5F"/>
    <w:rsid w:val="007213B4"/>
    <w:rsid w:val="00721480"/>
    <w:rsid w:val="00721939"/>
    <w:rsid w:val="00721EFA"/>
    <w:rsid w:val="007227C7"/>
    <w:rsid w:val="00722A31"/>
    <w:rsid w:val="00722CD1"/>
    <w:rsid w:val="00723BDE"/>
    <w:rsid w:val="00723D8D"/>
    <w:rsid w:val="0072477A"/>
    <w:rsid w:val="00724973"/>
    <w:rsid w:val="00724BB2"/>
    <w:rsid w:val="00724DF3"/>
    <w:rsid w:val="00724E18"/>
    <w:rsid w:val="00725162"/>
    <w:rsid w:val="00725456"/>
    <w:rsid w:val="00725523"/>
    <w:rsid w:val="0072554B"/>
    <w:rsid w:val="00725860"/>
    <w:rsid w:val="00725B6F"/>
    <w:rsid w:val="007264BD"/>
    <w:rsid w:val="00726900"/>
    <w:rsid w:val="00727024"/>
    <w:rsid w:val="007274D8"/>
    <w:rsid w:val="007278D0"/>
    <w:rsid w:val="00727A60"/>
    <w:rsid w:val="00727AC6"/>
    <w:rsid w:val="00727B19"/>
    <w:rsid w:val="00730225"/>
    <w:rsid w:val="007307BB"/>
    <w:rsid w:val="0073132A"/>
    <w:rsid w:val="00731447"/>
    <w:rsid w:val="00731F3C"/>
    <w:rsid w:val="00732734"/>
    <w:rsid w:val="007327E1"/>
    <w:rsid w:val="00732B15"/>
    <w:rsid w:val="00732E4B"/>
    <w:rsid w:val="007334FC"/>
    <w:rsid w:val="007336A1"/>
    <w:rsid w:val="0073389E"/>
    <w:rsid w:val="0073392C"/>
    <w:rsid w:val="00733BA9"/>
    <w:rsid w:val="00734084"/>
    <w:rsid w:val="007341A8"/>
    <w:rsid w:val="00734286"/>
    <w:rsid w:val="00734678"/>
    <w:rsid w:val="00734884"/>
    <w:rsid w:val="00734C3F"/>
    <w:rsid w:val="00734D4C"/>
    <w:rsid w:val="00734F17"/>
    <w:rsid w:val="0073532B"/>
    <w:rsid w:val="007353AC"/>
    <w:rsid w:val="0073559B"/>
    <w:rsid w:val="00735A26"/>
    <w:rsid w:val="00735B1C"/>
    <w:rsid w:val="00735FE4"/>
    <w:rsid w:val="007365E5"/>
    <w:rsid w:val="00736A61"/>
    <w:rsid w:val="00736E34"/>
    <w:rsid w:val="007375FB"/>
    <w:rsid w:val="00737870"/>
    <w:rsid w:val="00737FB5"/>
    <w:rsid w:val="0074019B"/>
    <w:rsid w:val="00740753"/>
    <w:rsid w:val="00740AA8"/>
    <w:rsid w:val="00740ED9"/>
    <w:rsid w:val="00740F81"/>
    <w:rsid w:val="0074130E"/>
    <w:rsid w:val="007416A5"/>
    <w:rsid w:val="00741797"/>
    <w:rsid w:val="007417CE"/>
    <w:rsid w:val="007418E7"/>
    <w:rsid w:val="00741C02"/>
    <w:rsid w:val="00741DF3"/>
    <w:rsid w:val="00741E4E"/>
    <w:rsid w:val="007425A1"/>
    <w:rsid w:val="007425FC"/>
    <w:rsid w:val="0074276F"/>
    <w:rsid w:val="007428FE"/>
    <w:rsid w:val="00742BCF"/>
    <w:rsid w:val="00742D06"/>
    <w:rsid w:val="00742D07"/>
    <w:rsid w:val="00742FCE"/>
    <w:rsid w:val="0074304D"/>
    <w:rsid w:val="00743186"/>
    <w:rsid w:val="00743481"/>
    <w:rsid w:val="00743A8C"/>
    <w:rsid w:val="00743B4B"/>
    <w:rsid w:val="00743E08"/>
    <w:rsid w:val="00744132"/>
    <w:rsid w:val="00744166"/>
    <w:rsid w:val="00744419"/>
    <w:rsid w:val="0074485A"/>
    <w:rsid w:val="00744A99"/>
    <w:rsid w:val="00744FDF"/>
    <w:rsid w:val="0074514C"/>
    <w:rsid w:val="00745304"/>
    <w:rsid w:val="00745491"/>
    <w:rsid w:val="007456E2"/>
    <w:rsid w:val="007457F8"/>
    <w:rsid w:val="00745B70"/>
    <w:rsid w:val="00745E01"/>
    <w:rsid w:val="00746080"/>
    <w:rsid w:val="00746293"/>
    <w:rsid w:val="007463FC"/>
    <w:rsid w:val="0074668E"/>
    <w:rsid w:val="00746695"/>
    <w:rsid w:val="007467B4"/>
    <w:rsid w:val="00746847"/>
    <w:rsid w:val="00746884"/>
    <w:rsid w:val="00746942"/>
    <w:rsid w:val="007476D0"/>
    <w:rsid w:val="00750079"/>
    <w:rsid w:val="00750154"/>
    <w:rsid w:val="00750260"/>
    <w:rsid w:val="00750473"/>
    <w:rsid w:val="007510A9"/>
    <w:rsid w:val="007510B1"/>
    <w:rsid w:val="007512D9"/>
    <w:rsid w:val="0075131A"/>
    <w:rsid w:val="00751A84"/>
    <w:rsid w:val="00751BFE"/>
    <w:rsid w:val="007521AF"/>
    <w:rsid w:val="00752EC1"/>
    <w:rsid w:val="00752FFF"/>
    <w:rsid w:val="0075356A"/>
    <w:rsid w:val="0075374F"/>
    <w:rsid w:val="0075382B"/>
    <w:rsid w:val="007539E1"/>
    <w:rsid w:val="00753DC0"/>
    <w:rsid w:val="00753E32"/>
    <w:rsid w:val="00753F9E"/>
    <w:rsid w:val="00754165"/>
    <w:rsid w:val="0075430D"/>
    <w:rsid w:val="00754623"/>
    <w:rsid w:val="00754A4E"/>
    <w:rsid w:val="007550B1"/>
    <w:rsid w:val="007550E0"/>
    <w:rsid w:val="00755140"/>
    <w:rsid w:val="0075560D"/>
    <w:rsid w:val="007557DB"/>
    <w:rsid w:val="00755809"/>
    <w:rsid w:val="00755863"/>
    <w:rsid w:val="00755984"/>
    <w:rsid w:val="00755DB0"/>
    <w:rsid w:val="00755F0D"/>
    <w:rsid w:val="00756114"/>
    <w:rsid w:val="00756115"/>
    <w:rsid w:val="00756480"/>
    <w:rsid w:val="007569DD"/>
    <w:rsid w:val="00756B85"/>
    <w:rsid w:val="00756E89"/>
    <w:rsid w:val="007571EF"/>
    <w:rsid w:val="00757204"/>
    <w:rsid w:val="00757656"/>
    <w:rsid w:val="00757D10"/>
    <w:rsid w:val="0076088E"/>
    <w:rsid w:val="00760C5A"/>
    <w:rsid w:val="00760D16"/>
    <w:rsid w:val="00760E97"/>
    <w:rsid w:val="007617B8"/>
    <w:rsid w:val="00761850"/>
    <w:rsid w:val="0076196D"/>
    <w:rsid w:val="007619E1"/>
    <w:rsid w:val="007624B1"/>
    <w:rsid w:val="007624BA"/>
    <w:rsid w:val="00762609"/>
    <w:rsid w:val="00762684"/>
    <w:rsid w:val="00762774"/>
    <w:rsid w:val="007627BF"/>
    <w:rsid w:val="007628A9"/>
    <w:rsid w:val="007632E8"/>
    <w:rsid w:val="00763466"/>
    <w:rsid w:val="00763758"/>
    <w:rsid w:val="007637F7"/>
    <w:rsid w:val="007637FF"/>
    <w:rsid w:val="00763B66"/>
    <w:rsid w:val="00763CA2"/>
    <w:rsid w:val="007641D7"/>
    <w:rsid w:val="007643AE"/>
    <w:rsid w:val="00764490"/>
    <w:rsid w:val="00764A5F"/>
    <w:rsid w:val="00764AF4"/>
    <w:rsid w:val="00764D55"/>
    <w:rsid w:val="007652A7"/>
    <w:rsid w:val="0076535D"/>
    <w:rsid w:val="007658CB"/>
    <w:rsid w:val="00765F9E"/>
    <w:rsid w:val="0076619A"/>
    <w:rsid w:val="0076636A"/>
    <w:rsid w:val="007666F9"/>
    <w:rsid w:val="007667BC"/>
    <w:rsid w:val="00766BA8"/>
    <w:rsid w:val="00766DE5"/>
    <w:rsid w:val="0076701F"/>
    <w:rsid w:val="007671F0"/>
    <w:rsid w:val="00767235"/>
    <w:rsid w:val="00767529"/>
    <w:rsid w:val="007675A2"/>
    <w:rsid w:val="007675CF"/>
    <w:rsid w:val="007676D9"/>
    <w:rsid w:val="007678CB"/>
    <w:rsid w:val="00767E09"/>
    <w:rsid w:val="00767EB8"/>
    <w:rsid w:val="00767F7C"/>
    <w:rsid w:val="00770003"/>
    <w:rsid w:val="007702FB"/>
    <w:rsid w:val="00770719"/>
    <w:rsid w:val="00770972"/>
    <w:rsid w:val="0077099B"/>
    <w:rsid w:val="007709E9"/>
    <w:rsid w:val="00770D98"/>
    <w:rsid w:val="00770E17"/>
    <w:rsid w:val="007711FB"/>
    <w:rsid w:val="00771442"/>
    <w:rsid w:val="00771453"/>
    <w:rsid w:val="00771464"/>
    <w:rsid w:val="00771BDC"/>
    <w:rsid w:val="00771C53"/>
    <w:rsid w:val="00771D36"/>
    <w:rsid w:val="007722AB"/>
    <w:rsid w:val="007724E4"/>
    <w:rsid w:val="007725F7"/>
    <w:rsid w:val="007726FE"/>
    <w:rsid w:val="00772C2E"/>
    <w:rsid w:val="00772EF2"/>
    <w:rsid w:val="0077316E"/>
    <w:rsid w:val="00773726"/>
    <w:rsid w:val="007738F9"/>
    <w:rsid w:val="00773A5D"/>
    <w:rsid w:val="00773A99"/>
    <w:rsid w:val="00773C01"/>
    <w:rsid w:val="00773CA9"/>
    <w:rsid w:val="00774021"/>
    <w:rsid w:val="0077525A"/>
    <w:rsid w:val="007753CD"/>
    <w:rsid w:val="007753D2"/>
    <w:rsid w:val="00775405"/>
    <w:rsid w:val="00775655"/>
    <w:rsid w:val="007758B2"/>
    <w:rsid w:val="0077594C"/>
    <w:rsid w:val="00775AD6"/>
    <w:rsid w:val="00775F62"/>
    <w:rsid w:val="00775F7B"/>
    <w:rsid w:val="00776790"/>
    <w:rsid w:val="00777392"/>
    <w:rsid w:val="00777B8A"/>
    <w:rsid w:val="00777DFB"/>
    <w:rsid w:val="00777ED1"/>
    <w:rsid w:val="007802D8"/>
    <w:rsid w:val="00780AA2"/>
    <w:rsid w:val="00780DE6"/>
    <w:rsid w:val="007811A6"/>
    <w:rsid w:val="00781922"/>
    <w:rsid w:val="00781D1E"/>
    <w:rsid w:val="00781DBD"/>
    <w:rsid w:val="00781F26"/>
    <w:rsid w:val="007825A5"/>
    <w:rsid w:val="00782BA1"/>
    <w:rsid w:val="0078302F"/>
    <w:rsid w:val="007834FD"/>
    <w:rsid w:val="00783690"/>
    <w:rsid w:val="00784A94"/>
    <w:rsid w:val="00785089"/>
    <w:rsid w:val="00785AE7"/>
    <w:rsid w:val="00785B37"/>
    <w:rsid w:val="00785BA1"/>
    <w:rsid w:val="00785CE2"/>
    <w:rsid w:val="00785D56"/>
    <w:rsid w:val="00786156"/>
    <w:rsid w:val="00786D0F"/>
    <w:rsid w:val="00786D1D"/>
    <w:rsid w:val="00786E23"/>
    <w:rsid w:val="00787B64"/>
    <w:rsid w:val="00787BCD"/>
    <w:rsid w:val="00790132"/>
    <w:rsid w:val="007903E7"/>
    <w:rsid w:val="007907D3"/>
    <w:rsid w:val="00790E5E"/>
    <w:rsid w:val="00791002"/>
    <w:rsid w:val="00791119"/>
    <w:rsid w:val="0079113A"/>
    <w:rsid w:val="007913A1"/>
    <w:rsid w:val="007914A7"/>
    <w:rsid w:val="00791ADE"/>
    <w:rsid w:val="007921A7"/>
    <w:rsid w:val="00792BC4"/>
    <w:rsid w:val="00792D22"/>
    <w:rsid w:val="00792E55"/>
    <w:rsid w:val="007930D7"/>
    <w:rsid w:val="0079313D"/>
    <w:rsid w:val="00793B90"/>
    <w:rsid w:val="00793C28"/>
    <w:rsid w:val="00793F2F"/>
    <w:rsid w:val="00793F63"/>
    <w:rsid w:val="00794072"/>
    <w:rsid w:val="0079407C"/>
    <w:rsid w:val="007945F0"/>
    <w:rsid w:val="0079471A"/>
    <w:rsid w:val="00794ABC"/>
    <w:rsid w:val="00794D9A"/>
    <w:rsid w:val="00794DE6"/>
    <w:rsid w:val="00794E37"/>
    <w:rsid w:val="00795257"/>
    <w:rsid w:val="007956A3"/>
    <w:rsid w:val="00796002"/>
    <w:rsid w:val="00796054"/>
    <w:rsid w:val="00796173"/>
    <w:rsid w:val="00796235"/>
    <w:rsid w:val="007967AD"/>
    <w:rsid w:val="0079788E"/>
    <w:rsid w:val="007979AF"/>
    <w:rsid w:val="007A056F"/>
    <w:rsid w:val="007A05B6"/>
    <w:rsid w:val="007A0DF0"/>
    <w:rsid w:val="007A0F17"/>
    <w:rsid w:val="007A11EF"/>
    <w:rsid w:val="007A1344"/>
    <w:rsid w:val="007A1386"/>
    <w:rsid w:val="007A1744"/>
    <w:rsid w:val="007A1C31"/>
    <w:rsid w:val="007A2096"/>
    <w:rsid w:val="007A2879"/>
    <w:rsid w:val="007A2BAF"/>
    <w:rsid w:val="007A2DBF"/>
    <w:rsid w:val="007A35D7"/>
    <w:rsid w:val="007A36CF"/>
    <w:rsid w:val="007A3757"/>
    <w:rsid w:val="007A3FCB"/>
    <w:rsid w:val="007A42C5"/>
    <w:rsid w:val="007A4497"/>
    <w:rsid w:val="007A45AE"/>
    <w:rsid w:val="007A475F"/>
    <w:rsid w:val="007A484C"/>
    <w:rsid w:val="007A4B03"/>
    <w:rsid w:val="007A4C26"/>
    <w:rsid w:val="007A4E64"/>
    <w:rsid w:val="007A4E82"/>
    <w:rsid w:val="007A58A1"/>
    <w:rsid w:val="007A5A50"/>
    <w:rsid w:val="007A5F5E"/>
    <w:rsid w:val="007A6478"/>
    <w:rsid w:val="007A667D"/>
    <w:rsid w:val="007A6703"/>
    <w:rsid w:val="007A7548"/>
    <w:rsid w:val="007A75CD"/>
    <w:rsid w:val="007A75F2"/>
    <w:rsid w:val="007A7871"/>
    <w:rsid w:val="007A7A13"/>
    <w:rsid w:val="007B0007"/>
    <w:rsid w:val="007B00FB"/>
    <w:rsid w:val="007B01FE"/>
    <w:rsid w:val="007B0241"/>
    <w:rsid w:val="007B0476"/>
    <w:rsid w:val="007B0672"/>
    <w:rsid w:val="007B07E3"/>
    <w:rsid w:val="007B0842"/>
    <w:rsid w:val="007B0A16"/>
    <w:rsid w:val="007B0B3F"/>
    <w:rsid w:val="007B0BE6"/>
    <w:rsid w:val="007B0D96"/>
    <w:rsid w:val="007B1203"/>
    <w:rsid w:val="007B15DD"/>
    <w:rsid w:val="007B1710"/>
    <w:rsid w:val="007B2562"/>
    <w:rsid w:val="007B2756"/>
    <w:rsid w:val="007B2DBC"/>
    <w:rsid w:val="007B3364"/>
    <w:rsid w:val="007B34A9"/>
    <w:rsid w:val="007B3587"/>
    <w:rsid w:val="007B3B22"/>
    <w:rsid w:val="007B4112"/>
    <w:rsid w:val="007B47DE"/>
    <w:rsid w:val="007B48B1"/>
    <w:rsid w:val="007B4947"/>
    <w:rsid w:val="007B4D24"/>
    <w:rsid w:val="007B51B5"/>
    <w:rsid w:val="007B5A5C"/>
    <w:rsid w:val="007B5EE2"/>
    <w:rsid w:val="007B67C2"/>
    <w:rsid w:val="007B6830"/>
    <w:rsid w:val="007B6FEC"/>
    <w:rsid w:val="007B7194"/>
    <w:rsid w:val="007B757E"/>
    <w:rsid w:val="007B765E"/>
    <w:rsid w:val="007B79DF"/>
    <w:rsid w:val="007B7BA7"/>
    <w:rsid w:val="007B7BE0"/>
    <w:rsid w:val="007B7BE4"/>
    <w:rsid w:val="007B7E33"/>
    <w:rsid w:val="007B7FAA"/>
    <w:rsid w:val="007C010D"/>
    <w:rsid w:val="007C0159"/>
    <w:rsid w:val="007C03F7"/>
    <w:rsid w:val="007C0AEF"/>
    <w:rsid w:val="007C0D24"/>
    <w:rsid w:val="007C0E86"/>
    <w:rsid w:val="007C0EBB"/>
    <w:rsid w:val="007C1076"/>
    <w:rsid w:val="007C1E13"/>
    <w:rsid w:val="007C2B8F"/>
    <w:rsid w:val="007C308F"/>
    <w:rsid w:val="007C3238"/>
    <w:rsid w:val="007C3656"/>
    <w:rsid w:val="007C37B9"/>
    <w:rsid w:val="007C37E8"/>
    <w:rsid w:val="007C3959"/>
    <w:rsid w:val="007C3BB3"/>
    <w:rsid w:val="007C3D82"/>
    <w:rsid w:val="007C443A"/>
    <w:rsid w:val="007C45E7"/>
    <w:rsid w:val="007C4896"/>
    <w:rsid w:val="007C4AB7"/>
    <w:rsid w:val="007C4DB0"/>
    <w:rsid w:val="007C5005"/>
    <w:rsid w:val="007C59F0"/>
    <w:rsid w:val="007C5F5E"/>
    <w:rsid w:val="007C64ED"/>
    <w:rsid w:val="007C6633"/>
    <w:rsid w:val="007C7621"/>
    <w:rsid w:val="007C77C2"/>
    <w:rsid w:val="007C7A43"/>
    <w:rsid w:val="007C7D7C"/>
    <w:rsid w:val="007D009A"/>
    <w:rsid w:val="007D0768"/>
    <w:rsid w:val="007D0799"/>
    <w:rsid w:val="007D084B"/>
    <w:rsid w:val="007D11CE"/>
    <w:rsid w:val="007D1370"/>
    <w:rsid w:val="007D186D"/>
    <w:rsid w:val="007D19E3"/>
    <w:rsid w:val="007D1D36"/>
    <w:rsid w:val="007D287E"/>
    <w:rsid w:val="007D2ABD"/>
    <w:rsid w:val="007D2B0D"/>
    <w:rsid w:val="007D3078"/>
    <w:rsid w:val="007D3364"/>
    <w:rsid w:val="007D34C6"/>
    <w:rsid w:val="007D3C68"/>
    <w:rsid w:val="007D3E08"/>
    <w:rsid w:val="007D4136"/>
    <w:rsid w:val="007D4327"/>
    <w:rsid w:val="007D44FD"/>
    <w:rsid w:val="007D463C"/>
    <w:rsid w:val="007D4870"/>
    <w:rsid w:val="007D51B8"/>
    <w:rsid w:val="007D5235"/>
    <w:rsid w:val="007D53BF"/>
    <w:rsid w:val="007D588B"/>
    <w:rsid w:val="007D5921"/>
    <w:rsid w:val="007D5D4A"/>
    <w:rsid w:val="007D5DA8"/>
    <w:rsid w:val="007D617F"/>
    <w:rsid w:val="007D618B"/>
    <w:rsid w:val="007D6222"/>
    <w:rsid w:val="007D6AC7"/>
    <w:rsid w:val="007D6FEC"/>
    <w:rsid w:val="007D7218"/>
    <w:rsid w:val="007D743F"/>
    <w:rsid w:val="007D7762"/>
    <w:rsid w:val="007D7B20"/>
    <w:rsid w:val="007E0B98"/>
    <w:rsid w:val="007E1919"/>
    <w:rsid w:val="007E1A25"/>
    <w:rsid w:val="007E1CCF"/>
    <w:rsid w:val="007E1FCA"/>
    <w:rsid w:val="007E2234"/>
    <w:rsid w:val="007E250A"/>
    <w:rsid w:val="007E2AC8"/>
    <w:rsid w:val="007E2BB9"/>
    <w:rsid w:val="007E2E5F"/>
    <w:rsid w:val="007E3046"/>
    <w:rsid w:val="007E3180"/>
    <w:rsid w:val="007E34A0"/>
    <w:rsid w:val="007E383E"/>
    <w:rsid w:val="007E3841"/>
    <w:rsid w:val="007E38A7"/>
    <w:rsid w:val="007E38C1"/>
    <w:rsid w:val="007E3B41"/>
    <w:rsid w:val="007E3B51"/>
    <w:rsid w:val="007E3BF7"/>
    <w:rsid w:val="007E3C2F"/>
    <w:rsid w:val="007E42EC"/>
    <w:rsid w:val="007E43AF"/>
    <w:rsid w:val="007E4704"/>
    <w:rsid w:val="007E4767"/>
    <w:rsid w:val="007E4AE3"/>
    <w:rsid w:val="007E4B43"/>
    <w:rsid w:val="007E4C08"/>
    <w:rsid w:val="007E4DFF"/>
    <w:rsid w:val="007E5803"/>
    <w:rsid w:val="007E5908"/>
    <w:rsid w:val="007E5D4A"/>
    <w:rsid w:val="007E6121"/>
    <w:rsid w:val="007E666C"/>
    <w:rsid w:val="007E6C71"/>
    <w:rsid w:val="007E6E2A"/>
    <w:rsid w:val="007E6F0E"/>
    <w:rsid w:val="007E7E42"/>
    <w:rsid w:val="007E7F00"/>
    <w:rsid w:val="007F017D"/>
    <w:rsid w:val="007F03D3"/>
    <w:rsid w:val="007F0603"/>
    <w:rsid w:val="007F0808"/>
    <w:rsid w:val="007F08B4"/>
    <w:rsid w:val="007F0931"/>
    <w:rsid w:val="007F09A9"/>
    <w:rsid w:val="007F1113"/>
    <w:rsid w:val="007F15A2"/>
    <w:rsid w:val="007F1770"/>
    <w:rsid w:val="007F17A1"/>
    <w:rsid w:val="007F17FC"/>
    <w:rsid w:val="007F20D0"/>
    <w:rsid w:val="007F2315"/>
    <w:rsid w:val="007F24B6"/>
    <w:rsid w:val="007F271A"/>
    <w:rsid w:val="007F281D"/>
    <w:rsid w:val="007F2834"/>
    <w:rsid w:val="007F28DE"/>
    <w:rsid w:val="007F2E32"/>
    <w:rsid w:val="007F2F60"/>
    <w:rsid w:val="007F30E9"/>
    <w:rsid w:val="007F328D"/>
    <w:rsid w:val="007F3466"/>
    <w:rsid w:val="007F3799"/>
    <w:rsid w:val="007F379F"/>
    <w:rsid w:val="007F3AF4"/>
    <w:rsid w:val="007F3BDC"/>
    <w:rsid w:val="007F3C0D"/>
    <w:rsid w:val="007F3F0F"/>
    <w:rsid w:val="007F3FA9"/>
    <w:rsid w:val="007F45CE"/>
    <w:rsid w:val="007F4963"/>
    <w:rsid w:val="007F4CD0"/>
    <w:rsid w:val="007F53FF"/>
    <w:rsid w:val="007F54C9"/>
    <w:rsid w:val="007F55FC"/>
    <w:rsid w:val="007F5FD5"/>
    <w:rsid w:val="007F631D"/>
    <w:rsid w:val="007F66D7"/>
    <w:rsid w:val="007F6754"/>
    <w:rsid w:val="007F7120"/>
    <w:rsid w:val="007F7A6C"/>
    <w:rsid w:val="007F7BCD"/>
    <w:rsid w:val="007F7C29"/>
    <w:rsid w:val="008014F7"/>
    <w:rsid w:val="008019AA"/>
    <w:rsid w:val="00801AB6"/>
    <w:rsid w:val="00802434"/>
    <w:rsid w:val="00802593"/>
    <w:rsid w:val="00802647"/>
    <w:rsid w:val="0080377E"/>
    <w:rsid w:val="00803F73"/>
    <w:rsid w:val="0080408C"/>
    <w:rsid w:val="00804777"/>
    <w:rsid w:val="00804947"/>
    <w:rsid w:val="00804B52"/>
    <w:rsid w:val="00804B69"/>
    <w:rsid w:val="008052C4"/>
    <w:rsid w:val="008057AF"/>
    <w:rsid w:val="00805A11"/>
    <w:rsid w:val="00805F84"/>
    <w:rsid w:val="00806206"/>
    <w:rsid w:val="00806A34"/>
    <w:rsid w:val="00806AFF"/>
    <w:rsid w:val="00806F40"/>
    <w:rsid w:val="0080702C"/>
    <w:rsid w:val="00807076"/>
    <w:rsid w:val="00807240"/>
    <w:rsid w:val="008072A8"/>
    <w:rsid w:val="008075A8"/>
    <w:rsid w:val="008078E9"/>
    <w:rsid w:val="008103F0"/>
    <w:rsid w:val="008104BD"/>
    <w:rsid w:val="008107AF"/>
    <w:rsid w:val="00810845"/>
    <w:rsid w:val="00810ADF"/>
    <w:rsid w:val="00810B31"/>
    <w:rsid w:val="00810E19"/>
    <w:rsid w:val="0081167C"/>
    <w:rsid w:val="00811929"/>
    <w:rsid w:val="00811A88"/>
    <w:rsid w:val="00811D84"/>
    <w:rsid w:val="00811FCB"/>
    <w:rsid w:val="00812092"/>
    <w:rsid w:val="008120A2"/>
    <w:rsid w:val="0081249B"/>
    <w:rsid w:val="008124F5"/>
    <w:rsid w:val="008125A6"/>
    <w:rsid w:val="00812715"/>
    <w:rsid w:val="00812EE3"/>
    <w:rsid w:val="00813272"/>
    <w:rsid w:val="00813759"/>
    <w:rsid w:val="008137B6"/>
    <w:rsid w:val="008137C1"/>
    <w:rsid w:val="0081397F"/>
    <w:rsid w:val="00814C21"/>
    <w:rsid w:val="00814CE4"/>
    <w:rsid w:val="00814F40"/>
    <w:rsid w:val="00815088"/>
    <w:rsid w:val="00815457"/>
    <w:rsid w:val="008157CB"/>
    <w:rsid w:val="00815939"/>
    <w:rsid w:val="00815B08"/>
    <w:rsid w:val="00815CDE"/>
    <w:rsid w:val="0081656D"/>
    <w:rsid w:val="00816636"/>
    <w:rsid w:val="00816DE9"/>
    <w:rsid w:val="00817804"/>
    <w:rsid w:val="0081786D"/>
    <w:rsid w:val="00817F69"/>
    <w:rsid w:val="008203D7"/>
    <w:rsid w:val="008203E7"/>
    <w:rsid w:val="008205AD"/>
    <w:rsid w:val="008205AE"/>
    <w:rsid w:val="0082082F"/>
    <w:rsid w:val="00820978"/>
    <w:rsid w:val="00820B06"/>
    <w:rsid w:val="00820C90"/>
    <w:rsid w:val="00820E27"/>
    <w:rsid w:val="00820E2E"/>
    <w:rsid w:val="00820E65"/>
    <w:rsid w:val="008219FE"/>
    <w:rsid w:val="00821C36"/>
    <w:rsid w:val="00821D9E"/>
    <w:rsid w:val="00821E54"/>
    <w:rsid w:val="00821F7D"/>
    <w:rsid w:val="008220F3"/>
    <w:rsid w:val="00822190"/>
    <w:rsid w:val="008221EA"/>
    <w:rsid w:val="008227D9"/>
    <w:rsid w:val="00822AB9"/>
    <w:rsid w:val="00822C6E"/>
    <w:rsid w:val="00822D14"/>
    <w:rsid w:val="00822F9B"/>
    <w:rsid w:val="00822FC4"/>
    <w:rsid w:val="008233EE"/>
    <w:rsid w:val="00823431"/>
    <w:rsid w:val="00823466"/>
    <w:rsid w:val="00823553"/>
    <w:rsid w:val="0082373A"/>
    <w:rsid w:val="008237C3"/>
    <w:rsid w:val="0082384C"/>
    <w:rsid w:val="00823A4B"/>
    <w:rsid w:val="00823CE4"/>
    <w:rsid w:val="00823D05"/>
    <w:rsid w:val="008240D5"/>
    <w:rsid w:val="0082426C"/>
    <w:rsid w:val="00824B72"/>
    <w:rsid w:val="00824C96"/>
    <w:rsid w:val="00824F34"/>
    <w:rsid w:val="008254C8"/>
    <w:rsid w:val="008255DF"/>
    <w:rsid w:val="008258D0"/>
    <w:rsid w:val="00825CBF"/>
    <w:rsid w:val="0082611C"/>
    <w:rsid w:val="0082611E"/>
    <w:rsid w:val="0082652B"/>
    <w:rsid w:val="008266AC"/>
    <w:rsid w:val="008268F1"/>
    <w:rsid w:val="008270B7"/>
    <w:rsid w:val="008271D0"/>
    <w:rsid w:val="008274C5"/>
    <w:rsid w:val="0082758A"/>
    <w:rsid w:val="00827606"/>
    <w:rsid w:val="00827E01"/>
    <w:rsid w:val="00830A43"/>
    <w:rsid w:val="00830EFC"/>
    <w:rsid w:val="00830F35"/>
    <w:rsid w:val="008311E3"/>
    <w:rsid w:val="00831C09"/>
    <w:rsid w:val="0083204F"/>
    <w:rsid w:val="00832249"/>
    <w:rsid w:val="00832B70"/>
    <w:rsid w:val="0083316A"/>
    <w:rsid w:val="00833308"/>
    <w:rsid w:val="008334B0"/>
    <w:rsid w:val="00833D41"/>
    <w:rsid w:val="00833D66"/>
    <w:rsid w:val="00833DB8"/>
    <w:rsid w:val="008342D2"/>
    <w:rsid w:val="008353E7"/>
    <w:rsid w:val="008359A9"/>
    <w:rsid w:val="00835BB1"/>
    <w:rsid w:val="008365A4"/>
    <w:rsid w:val="008371D1"/>
    <w:rsid w:val="0083744B"/>
    <w:rsid w:val="00837CE8"/>
    <w:rsid w:val="0084001F"/>
    <w:rsid w:val="0084006A"/>
    <w:rsid w:val="00840272"/>
    <w:rsid w:val="00840495"/>
    <w:rsid w:val="0084051C"/>
    <w:rsid w:val="0084077E"/>
    <w:rsid w:val="00840D4A"/>
    <w:rsid w:val="00840D63"/>
    <w:rsid w:val="00841158"/>
    <w:rsid w:val="008417D5"/>
    <w:rsid w:val="00841B05"/>
    <w:rsid w:val="00841FDE"/>
    <w:rsid w:val="008424E0"/>
    <w:rsid w:val="0084255F"/>
    <w:rsid w:val="008425CE"/>
    <w:rsid w:val="0084286A"/>
    <w:rsid w:val="00842A2E"/>
    <w:rsid w:val="00843351"/>
    <w:rsid w:val="00843546"/>
    <w:rsid w:val="00843722"/>
    <w:rsid w:val="0084378B"/>
    <w:rsid w:val="00843A45"/>
    <w:rsid w:val="00843A61"/>
    <w:rsid w:val="00843F06"/>
    <w:rsid w:val="00844946"/>
    <w:rsid w:val="00844A8D"/>
    <w:rsid w:val="00844F3D"/>
    <w:rsid w:val="0084537E"/>
    <w:rsid w:val="008457B1"/>
    <w:rsid w:val="0084639A"/>
    <w:rsid w:val="008467DA"/>
    <w:rsid w:val="00846935"/>
    <w:rsid w:val="0084697E"/>
    <w:rsid w:val="00846B77"/>
    <w:rsid w:val="0084719F"/>
    <w:rsid w:val="008472DD"/>
    <w:rsid w:val="008472E5"/>
    <w:rsid w:val="008478CD"/>
    <w:rsid w:val="00847CC5"/>
    <w:rsid w:val="008506DF"/>
    <w:rsid w:val="0085090C"/>
    <w:rsid w:val="008522F8"/>
    <w:rsid w:val="00852349"/>
    <w:rsid w:val="00852843"/>
    <w:rsid w:val="00852938"/>
    <w:rsid w:val="008529AC"/>
    <w:rsid w:val="008529F7"/>
    <w:rsid w:val="00852A56"/>
    <w:rsid w:val="00852B03"/>
    <w:rsid w:val="008532D7"/>
    <w:rsid w:val="008535C5"/>
    <w:rsid w:val="00853982"/>
    <w:rsid w:val="008539B4"/>
    <w:rsid w:val="00853D33"/>
    <w:rsid w:val="00853D7E"/>
    <w:rsid w:val="00854065"/>
    <w:rsid w:val="008548FC"/>
    <w:rsid w:val="008553E7"/>
    <w:rsid w:val="0085564A"/>
    <w:rsid w:val="0085594C"/>
    <w:rsid w:val="00855968"/>
    <w:rsid w:val="00855A8C"/>
    <w:rsid w:val="00855F8A"/>
    <w:rsid w:val="00855FD6"/>
    <w:rsid w:val="00856323"/>
    <w:rsid w:val="00856A22"/>
    <w:rsid w:val="00856DE1"/>
    <w:rsid w:val="00856F0B"/>
    <w:rsid w:val="00856F87"/>
    <w:rsid w:val="00856FDE"/>
    <w:rsid w:val="00857236"/>
    <w:rsid w:val="008572CD"/>
    <w:rsid w:val="00857505"/>
    <w:rsid w:val="008577AE"/>
    <w:rsid w:val="00857A26"/>
    <w:rsid w:val="00857A53"/>
    <w:rsid w:val="00857C75"/>
    <w:rsid w:val="00857D08"/>
    <w:rsid w:val="00857D80"/>
    <w:rsid w:val="00857F63"/>
    <w:rsid w:val="00860063"/>
    <w:rsid w:val="008600F0"/>
    <w:rsid w:val="0086054A"/>
    <w:rsid w:val="00860788"/>
    <w:rsid w:val="008608D1"/>
    <w:rsid w:val="00860932"/>
    <w:rsid w:val="00860C5F"/>
    <w:rsid w:val="00860FD9"/>
    <w:rsid w:val="008611AC"/>
    <w:rsid w:val="008612B5"/>
    <w:rsid w:val="008613D5"/>
    <w:rsid w:val="008615C8"/>
    <w:rsid w:val="0086165D"/>
    <w:rsid w:val="00861B0F"/>
    <w:rsid w:val="00861B74"/>
    <w:rsid w:val="00861E56"/>
    <w:rsid w:val="00862572"/>
    <w:rsid w:val="00862701"/>
    <w:rsid w:val="00862C42"/>
    <w:rsid w:val="00862C8B"/>
    <w:rsid w:val="00862CDA"/>
    <w:rsid w:val="00863AFC"/>
    <w:rsid w:val="0086411D"/>
    <w:rsid w:val="0086461E"/>
    <w:rsid w:val="00864AAA"/>
    <w:rsid w:val="00865147"/>
    <w:rsid w:val="008659B7"/>
    <w:rsid w:val="00865B2A"/>
    <w:rsid w:val="00865E8B"/>
    <w:rsid w:val="00865E8E"/>
    <w:rsid w:val="00865FE5"/>
    <w:rsid w:val="00866A65"/>
    <w:rsid w:val="00866BD2"/>
    <w:rsid w:val="00866CB2"/>
    <w:rsid w:val="00866F6F"/>
    <w:rsid w:val="0086724A"/>
    <w:rsid w:val="00870308"/>
    <w:rsid w:val="008703C8"/>
    <w:rsid w:val="008709ED"/>
    <w:rsid w:val="00870F7B"/>
    <w:rsid w:val="00871396"/>
    <w:rsid w:val="008713B8"/>
    <w:rsid w:val="008713F1"/>
    <w:rsid w:val="008719DC"/>
    <w:rsid w:val="00871E03"/>
    <w:rsid w:val="00871E69"/>
    <w:rsid w:val="0087207D"/>
    <w:rsid w:val="0087291B"/>
    <w:rsid w:val="008732EF"/>
    <w:rsid w:val="0087384E"/>
    <w:rsid w:val="00874BE5"/>
    <w:rsid w:val="00874C3C"/>
    <w:rsid w:val="0087514B"/>
    <w:rsid w:val="008751D9"/>
    <w:rsid w:val="008753C3"/>
    <w:rsid w:val="00875433"/>
    <w:rsid w:val="008754B0"/>
    <w:rsid w:val="008756AA"/>
    <w:rsid w:val="00875751"/>
    <w:rsid w:val="00875BBE"/>
    <w:rsid w:val="00876023"/>
    <w:rsid w:val="008766FA"/>
    <w:rsid w:val="00876765"/>
    <w:rsid w:val="00876795"/>
    <w:rsid w:val="0087691E"/>
    <w:rsid w:val="00876A3B"/>
    <w:rsid w:val="00876A92"/>
    <w:rsid w:val="00876C6E"/>
    <w:rsid w:val="00876D72"/>
    <w:rsid w:val="00876E13"/>
    <w:rsid w:val="0087736C"/>
    <w:rsid w:val="00877439"/>
    <w:rsid w:val="008778A1"/>
    <w:rsid w:val="00877BDF"/>
    <w:rsid w:val="00880715"/>
    <w:rsid w:val="00880948"/>
    <w:rsid w:val="00880B3B"/>
    <w:rsid w:val="00880D89"/>
    <w:rsid w:val="008810BA"/>
    <w:rsid w:val="0088150B"/>
    <w:rsid w:val="00881644"/>
    <w:rsid w:val="008818C0"/>
    <w:rsid w:val="008819C3"/>
    <w:rsid w:val="00881C1A"/>
    <w:rsid w:val="00881D20"/>
    <w:rsid w:val="00881E7C"/>
    <w:rsid w:val="008822CA"/>
    <w:rsid w:val="0088270B"/>
    <w:rsid w:val="00882984"/>
    <w:rsid w:val="008829BD"/>
    <w:rsid w:val="00882C3D"/>
    <w:rsid w:val="0088384C"/>
    <w:rsid w:val="00883A03"/>
    <w:rsid w:val="00883CE6"/>
    <w:rsid w:val="00883D1E"/>
    <w:rsid w:val="00883D59"/>
    <w:rsid w:val="008844E4"/>
    <w:rsid w:val="008846B6"/>
    <w:rsid w:val="00884D5E"/>
    <w:rsid w:val="00885056"/>
    <w:rsid w:val="00885675"/>
    <w:rsid w:val="00885A7A"/>
    <w:rsid w:val="00885F91"/>
    <w:rsid w:val="008862C8"/>
    <w:rsid w:val="008865EE"/>
    <w:rsid w:val="00886945"/>
    <w:rsid w:val="00886F1B"/>
    <w:rsid w:val="008873C2"/>
    <w:rsid w:val="0088753B"/>
    <w:rsid w:val="00887624"/>
    <w:rsid w:val="00887628"/>
    <w:rsid w:val="00887712"/>
    <w:rsid w:val="008878DC"/>
    <w:rsid w:val="00887B98"/>
    <w:rsid w:val="00887CA5"/>
    <w:rsid w:val="00887F39"/>
    <w:rsid w:val="00890290"/>
    <w:rsid w:val="008906D6"/>
    <w:rsid w:val="00890A39"/>
    <w:rsid w:val="00890D88"/>
    <w:rsid w:val="00891156"/>
    <w:rsid w:val="008917C1"/>
    <w:rsid w:val="00891849"/>
    <w:rsid w:val="008919D6"/>
    <w:rsid w:val="00891DC8"/>
    <w:rsid w:val="008922DA"/>
    <w:rsid w:val="00892321"/>
    <w:rsid w:val="008925EB"/>
    <w:rsid w:val="0089262E"/>
    <w:rsid w:val="008929FD"/>
    <w:rsid w:val="008935D3"/>
    <w:rsid w:val="0089370D"/>
    <w:rsid w:val="0089374D"/>
    <w:rsid w:val="008937D1"/>
    <w:rsid w:val="00893A0C"/>
    <w:rsid w:val="00893CC9"/>
    <w:rsid w:val="00894384"/>
    <w:rsid w:val="008943F1"/>
    <w:rsid w:val="00894A98"/>
    <w:rsid w:val="00894BA5"/>
    <w:rsid w:val="00894E5D"/>
    <w:rsid w:val="00894EA2"/>
    <w:rsid w:val="00895011"/>
    <w:rsid w:val="00895484"/>
    <w:rsid w:val="0089574E"/>
    <w:rsid w:val="008959F1"/>
    <w:rsid w:val="00895E40"/>
    <w:rsid w:val="00895E84"/>
    <w:rsid w:val="008968F7"/>
    <w:rsid w:val="008971C2"/>
    <w:rsid w:val="00897E3B"/>
    <w:rsid w:val="00897E5D"/>
    <w:rsid w:val="008A0013"/>
    <w:rsid w:val="008A0041"/>
    <w:rsid w:val="008A00AF"/>
    <w:rsid w:val="008A0169"/>
    <w:rsid w:val="008A0C5B"/>
    <w:rsid w:val="008A110F"/>
    <w:rsid w:val="008A190F"/>
    <w:rsid w:val="008A1967"/>
    <w:rsid w:val="008A2343"/>
    <w:rsid w:val="008A239E"/>
    <w:rsid w:val="008A27CB"/>
    <w:rsid w:val="008A284F"/>
    <w:rsid w:val="008A29B6"/>
    <w:rsid w:val="008A2A5B"/>
    <w:rsid w:val="008A2FF4"/>
    <w:rsid w:val="008A3185"/>
    <w:rsid w:val="008A349F"/>
    <w:rsid w:val="008A3B31"/>
    <w:rsid w:val="008A3DE1"/>
    <w:rsid w:val="008A4232"/>
    <w:rsid w:val="008A4306"/>
    <w:rsid w:val="008A4339"/>
    <w:rsid w:val="008A4A20"/>
    <w:rsid w:val="008A5100"/>
    <w:rsid w:val="008A5B28"/>
    <w:rsid w:val="008A630E"/>
    <w:rsid w:val="008A6798"/>
    <w:rsid w:val="008A6D97"/>
    <w:rsid w:val="008A6D98"/>
    <w:rsid w:val="008A6E32"/>
    <w:rsid w:val="008A6F89"/>
    <w:rsid w:val="008A6FD8"/>
    <w:rsid w:val="008A70A2"/>
    <w:rsid w:val="008A73C7"/>
    <w:rsid w:val="008A7638"/>
    <w:rsid w:val="008A7978"/>
    <w:rsid w:val="008A7CC9"/>
    <w:rsid w:val="008A7CD5"/>
    <w:rsid w:val="008B02ED"/>
    <w:rsid w:val="008B02F1"/>
    <w:rsid w:val="008B035E"/>
    <w:rsid w:val="008B06D6"/>
    <w:rsid w:val="008B0C0B"/>
    <w:rsid w:val="008B130C"/>
    <w:rsid w:val="008B1382"/>
    <w:rsid w:val="008B16FA"/>
    <w:rsid w:val="008B176A"/>
    <w:rsid w:val="008B218B"/>
    <w:rsid w:val="008B2539"/>
    <w:rsid w:val="008B264B"/>
    <w:rsid w:val="008B27D2"/>
    <w:rsid w:val="008B308E"/>
    <w:rsid w:val="008B31D5"/>
    <w:rsid w:val="008B333F"/>
    <w:rsid w:val="008B33DE"/>
    <w:rsid w:val="008B3A25"/>
    <w:rsid w:val="008B45C3"/>
    <w:rsid w:val="008B462F"/>
    <w:rsid w:val="008B48B3"/>
    <w:rsid w:val="008B4D98"/>
    <w:rsid w:val="008B544C"/>
    <w:rsid w:val="008B57A4"/>
    <w:rsid w:val="008B5BDA"/>
    <w:rsid w:val="008B5DDA"/>
    <w:rsid w:val="008B5E88"/>
    <w:rsid w:val="008B5FD6"/>
    <w:rsid w:val="008B613F"/>
    <w:rsid w:val="008B61BD"/>
    <w:rsid w:val="008B6730"/>
    <w:rsid w:val="008B6DF6"/>
    <w:rsid w:val="008B7672"/>
    <w:rsid w:val="008B7791"/>
    <w:rsid w:val="008B794F"/>
    <w:rsid w:val="008B7D98"/>
    <w:rsid w:val="008B7F93"/>
    <w:rsid w:val="008C01F0"/>
    <w:rsid w:val="008C02CD"/>
    <w:rsid w:val="008C038A"/>
    <w:rsid w:val="008C04CF"/>
    <w:rsid w:val="008C0EF4"/>
    <w:rsid w:val="008C0F8F"/>
    <w:rsid w:val="008C109B"/>
    <w:rsid w:val="008C1123"/>
    <w:rsid w:val="008C1178"/>
    <w:rsid w:val="008C1250"/>
    <w:rsid w:val="008C12DE"/>
    <w:rsid w:val="008C1535"/>
    <w:rsid w:val="008C19CF"/>
    <w:rsid w:val="008C1B34"/>
    <w:rsid w:val="008C1C1C"/>
    <w:rsid w:val="008C2771"/>
    <w:rsid w:val="008C28C3"/>
    <w:rsid w:val="008C2BE7"/>
    <w:rsid w:val="008C2C81"/>
    <w:rsid w:val="008C2CE0"/>
    <w:rsid w:val="008C304E"/>
    <w:rsid w:val="008C3508"/>
    <w:rsid w:val="008C3658"/>
    <w:rsid w:val="008C3953"/>
    <w:rsid w:val="008C39D0"/>
    <w:rsid w:val="008C3C51"/>
    <w:rsid w:val="008C4007"/>
    <w:rsid w:val="008C431C"/>
    <w:rsid w:val="008C4511"/>
    <w:rsid w:val="008C4A9A"/>
    <w:rsid w:val="008C4B7A"/>
    <w:rsid w:val="008C4DA8"/>
    <w:rsid w:val="008C5B55"/>
    <w:rsid w:val="008C619B"/>
    <w:rsid w:val="008C61B6"/>
    <w:rsid w:val="008C6C67"/>
    <w:rsid w:val="008C6CC7"/>
    <w:rsid w:val="008C6D56"/>
    <w:rsid w:val="008C71B1"/>
    <w:rsid w:val="008C770B"/>
    <w:rsid w:val="008C7A9A"/>
    <w:rsid w:val="008C7B07"/>
    <w:rsid w:val="008D034E"/>
    <w:rsid w:val="008D03A6"/>
    <w:rsid w:val="008D07EC"/>
    <w:rsid w:val="008D097D"/>
    <w:rsid w:val="008D0A6E"/>
    <w:rsid w:val="008D0E62"/>
    <w:rsid w:val="008D12DC"/>
    <w:rsid w:val="008D1893"/>
    <w:rsid w:val="008D1B47"/>
    <w:rsid w:val="008D1F60"/>
    <w:rsid w:val="008D21A1"/>
    <w:rsid w:val="008D2390"/>
    <w:rsid w:val="008D25FA"/>
    <w:rsid w:val="008D2694"/>
    <w:rsid w:val="008D2CE3"/>
    <w:rsid w:val="008D2EBE"/>
    <w:rsid w:val="008D3328"/>
    <w:rsid w:val="008D35E7"/>
    <w:rsid w:val="008D382E"/>
    <w:rsid w:val="008D3D68"/>
    <w:rsid w:val="008D3D7E"/>
    <w:rsid w:val="008D3FF4"/>
    <w:rsid w:val="008D4C44"/>
    <w:rsid w:val="008D4CD7"/>
    <w:rsid w:val="008D5009"/>
    <w:rsid w:val="008D5024"/>
    <w:rsid w:val="008D514F"/>
    <w:rsid w:val="008D5574"/>
    <w:rsid w:val="008D582C"/>
    <w:rsid w:val="008D589A"/>
    <w:rsid w:val="008D5AE0"/>
    <w:rsid w:val="008D5F48"/>
    <w:rsid w:val="008D6540"/>
    <w:rsid w:val="008D66C1"/>
    <w:rsid w:val="008D6730"/>
    <w:rsid w:val="008D6859"/>
    <w:rsid w:val="008D6AD9"/>
    <w:rsid w:val="008D6B00"/>
    <w:rsid w:val="008D6E43"/>
    <w:rsid w:val="008D7876"/>
    <w:rsid w:val="008D7BE7"/>
    <w:rsid w:val="008D7CB3"/>
    <w:rsid w:val="008D7D84"/>
    <w:rsid w:val="008D7E00"/>
    <w:rsid w:val="008D7E15"/>
    <w:rsid w:val="008E0056"/>
    <w:rsid w:val="008E0340"/>
    <w:rsid w:val="008E0955"/>
    <w:rsid w:val="008E0A6D"/>
    <w:rsid w:val="008E18F8"/>
    <w:rsid w:val="008E1E64"/>
    <w:rsid w:val="008E2545"/>
    <w:rsid w:val="008E2602"/>
    <w:rsid w:val="008E2757"/>
    <w:rsid w:val="008E2DFA"/>
    <w:rsid w:val="008E3020"/>
    <w:rsid w:val="008E302A"/>
    <w:rsid w:val="008E3094"/>
    <w:rsid w:val="008E30E2"/>
    <w:rsid w:val="008E33B4"/>
    <w:rsid w:val="008E36F8"/>
    <w:rsid w:val="008E38E0"/>
    <w:rsid w:val="008E38E8"/>
    <w:rsid w:val="008E41FD"/>
    <w:rsid w:val="008E4350"/>
    <w:rsid w:val="008E47A6"/>
    <w:rsid w:val="008E4AD1"/>
    <w:rsid w:val="008E53B9"/>
    <w:rsid w:val="008E5B7B"/>
    <w:rsid w:val="008E5BC4"/>
    <w:rsid w:val="008E60E7"/>
    <w:rsid w:val="008E6295"/>
    <w:rsid w:val="008E63BD"/>
    <w:rsid w:val="008E64FB"/>
    <w:rsid w:val="008E655D"/>
    <w:rsid w:val="008E6906"/>
    <w:rsid w:val="008E69FB"/>
    <w:rsid w:val="008E6B7A"/>
    <w:rsid w:val="008E6C19"/>
    <w:rsid w:val="008E6DF7"/>
    <w:rsid w:val="008E6ECB"/>
    <w:rsid w:val="008E6EF3"/>
    <w:rsid w:val="008E72D3"/>
    <w:rsid w:val="008E74F1"/>
    <w:rsid w:val="008F025A"/>
    <w:rsid w:val="008F056F"/>
    <w:rsid w:val="008F05F7"/>
    <w:rsid w:val="008F0745"/>
    <w:rsid w:val="008F0BEC"/>
    <w:rsid w:val="008F0F67"/>
    <w:rsid w:val="008F106F"/>
    <w:rsid w:val="008F17F6"/>
    <w:rsid w:val="008F17F7"/>
    <w:rsid w:val="008F194B"/>
    <w:rsid w:val="008F1F6E"/>
    <w:rsid w:val="008F20D8"/>
    <w:rsid w:val="008F27FA"/>
    <w:rsid w:val="008F29E3"/>
    <w:rsid w:val="008F2A9D"/>
    <w:rsid w:val="008F2D75"/>
    <w:rsid w:val="008F2F91"/>
    <w:rsid w:val="008F2FBC"/>
    <w:rsid w:val="008F37A1"/>
    <w:rsid w:val="008F3C39"/>
    <w:rsid w:val="008F3E5D"/>
    <w:rsid w:val="008F43EB"/>
    <w:rsid w:val="008F44B7"/>
    <w:rsid w:val="008F4905"/>
    <w:rsid w:val="008F5C8D"/>
    <w:rsid w:val="008F6152"/>
    <w:rsid w:val="008F631D"/>
    <w:rsid w:val="008F665D"/>
    <w:rsid w:val="008F6B8C"/>
    <w:rsid w:val="008F6B96"/>
    <w:rsid w:val="008F72F5"/>
    <w:rsid w:val="008F7876"/>
    <w:rsid w:val="008F78A2"/>
    <w:rsid w:val="008F7E89"/>
    <w:rsid w:val="00900385"/>
    <w:rsid w:val="00900A7A"/>
    <w:rsid w:val="00900C21"/>
    <w:rsid w:val="00900CCD"/>
    <w:rsid w:val="00900D1A"/>
    <w:rsid w:val="00900D45"/>
    <w:rsid w:val="00900F81"/>
    <w:rsid w:val="009010BD"/>
    <w:rsid w:val="009013C6"/>
    <w:rsid w:val="00901641"/>
    <w:rsid w:val="009016D4"/>
    <w:rsid w:val="00901890"/>
    <w:rsid w:val="0090190F"/>
    <w:rsid w:val="00901A61"/>
    <w:rsid w:val="00901DC3"/>
    <w:rsid w:val="00902378"/>
    <w:rsid w:val="00902536"/>
    <w:rsid w:val="00902A07"/>
    <w:rsid w:val="00902CBC"/>
    <w:rsid w:val="00902D51"/>
    <w:rsid w:val="00903A9E"/>
    <w:rsid w:val="0090442E"/>
    <w:rsid w:val="0090460F"/>
    <w:rsid w:val="009046F3"/>
    <w:rsid w:val="00904701"/>
    <w:rsid w:val="009048A5"/>
    <w:rsid w:val="009052A7"/>
    <w:rsid w:val="009052C6"/>
    <w:rsid w:val="0090542E"/>
    <w:rsid w:val="00905579"/>
    <w:rsid w:val="009058DB"/>
    <w:rsid w:val="00905B2E"/>
    <w:rsid w:val="00905B8C"/>
    <w:rsid w:val="00905BF7"/>
    <w:rsid w:val="00905D9C"/>
    <w:rsid w:val="00905FD1"/>
    <w:rsid w:val="0090603F"/>
    <w:rsid w:val="00906093"/>
    <w:rsid w:val="0090666C"/>
    <w:rsid w:val="00906BC3"/>
    <w:rsid w:val="00906F3B"/>
    <w:rsid w:val="009077FE"/>
    <w:rsid w:val="00907917"/>
    <w:rsid w:val="00907A23"/>
    <w:rsid w:val="00907A2B"/>
    <w:rsid w:val="00910128"/>
    <w:rsid w:val="009106B6"/>
    <w:rsid w:val="009107C9"/>
    <w:rsid w:val="00910AB7"/>
    <w:rsid w:val="00911C1E"/>
    <w:rsid w:val="0091203E"/>
    <w:rsid w:val="009120E1"/>
    <w:rsid w:val="00912153"/>
    <w:rsid w:val="009132D8"/>
    <w:rsid w:val="009133A3"/>
    <w:rsid w:val="009139E8"/>
    <w:rsid w:val="00913C8F"/>
    <w:rsid w:val="00913CB6"/>
    <w:rsid w:val="00913E4A"/>
    <w:rsid w:val="009147E2"/>
    <w:rsid w:val="00914A27"/>
    <w:rsid w:val="00914B4C"/>
    <w:rsid w:val="009151BA"/>
    <w:rsid w:val="0091522C"/>
    <w:rsid w:val="00915332"/>
    <w:rsid w:val="009154DB"/>
    <w:rsid w:val="0091569D"/>
    <w:rsid w:val="0091598A"/>
    <w:rsid w:val="00915AEB"/>
    <w:rsid w:val="00915B36"/>
    <w:rsid w:val="00915E75"/>
    <w:rsid w:val="00916253"/>
    <w:rsid w:val="0091640A"/>
    <w:rsid w:val="009165E5"/>
    <w:rsid w:val="00916854"/>
    <w:rsid w:val="00916864"/>
    <w:rsid w:val="00916A48"/>
    <w:rsid w:val="00916D94"/>
    <w:rsid w:val="00916F47"/>
    <w:rsid w:val="00917076"/>
    <w:rsid w:val="00917124"/>
    <w:rsid w:val="00917144"/>
    <w:rsid w:val="00917190"/>
    <w:rsid w:val="0091740E"/>
    <w:rsid w:val="009175AA"/>
    <w:rsid w:val="00917934"/>
    <w:rsid w:val="00917B94"/>
    <w:rsid w:val="009201C9"/>
    <w:rsid w:val="0092023E"/>
    <w:rsid w:val="0092055D"/>
    <w:rsid w:val="009205BD"/>
    <w:rsid w:val="00920F1B"/>
    <w:rsid w:val="009215BF"/>
    <w:rsid w:val="009218D6"/>
    <w:rsid w:val="009219EB"/>
    <w:rsid w:val="00921A23"/>
    <w:rsid w:val="00921F43"/>
    <w:rsid w:val="0092200D"/>
    <w:rsid w:val="0092246A"/>
    <w:rsid w:val="0092266D"/>
    <w:rsid w:val="009226FA"/>
    <w:rsid w:val="009228CE"/>
    <w:rsid w:val="00922C95"/>
    <w:rsid w:val="0092309F"/>
    <w:rsid w:val="009232BA"/>
    <w:rsid w:val="009234B2"/>
    <w:rsid w:val="00923C06"/>
    <w:rsid w:val="0092400A"/>
    <w:rsid w:val="009242BE"/>
    <w:rsid w:val="009247AD"/>
    <w:rsid w:val="009251A4"/>
    <w:rsid w:val="00925843"/>
    <w:rsid w:val="00925944"/>
    <w:rsid w:val="00925D7B"/>
    <w:rsid w:val="00925F4C"/>
    <w:rsid w:val="00926097"/>
    <w:rsid w:val="00926390"/>
    <w:rsid w:val="00926C66"/>
    <w:rsid w:val="00926E74"/>
    <w:rsid w:val="00927D28"/>
    <w:rsid w:val="00930318"/>
    <w:rsid w:val="0093059C"/>
    <w:rsid w:val="009305D4"/>
    <w:rsid w:val="00930730"/>
    <w:rsid w:val="00930AED"/>
    <w:rsid w:val="00930F49"/>
    <w:rsid w:val="00931472"/>
    <w:rsid w:val="00931C69"/>
    <w:rsid w:val="00932454"/>
    <w:rsid w:val="009324EA"/>
    <w:rsid w:val="009324F0"/>
    <w:rsid w:val="0093285C"/>
    <w:rsid w:val="00932C76"/>
    <w:rsid w:val="00932C7C"/>
    <w:rsid w:val="00932F4C"/>
    <w:rsid w:val="00933267"/>
    <w:rsid w:val="00933397"/>
    <w:rsid w:val="009333BF"/>
    <w:rsid w:val="00933521"/>
    <w:rsid w:val="009335E9"/>
    <w:rsid w:val="009340E9"/>
    <w:rsid w:val="00934177"/>
    <w:rsid w:val="00934507"/>
    <w:rsid w:val="00934788"/>
    <w:rsid w:val="0093486C"/>
    <w:rsid w:val="009348EB"/>
    <w:rsid w:val="00934963"/>
    <w:rsid w:val="00934B23"/>
    <w:rsid w:val="00934D25"/>
    <w:rsid w:val="0093528B"/>
    <w:rsid w:val="00935DA8"/>
    <w:rsid w:val="00935E0E"/>
    <w:rsid w:val="00936320"/>
    <w:rsid w:val="00936664"/>
    <w:rsid w:val="00936906"/>
    <w:rsid w:val="00936D90"/>
    <w:rsid w:val="00936DA7"/>
    <w:rsid w:val="009370C1"/>
    <w:rsid w:val="00937197"/>
    <w:rsid w:val="0093796C"/>
    <w:rsid w:val="00937BEE"/>
    <w:rsid w:val="00937FFC"/>
    <w:rsid w:val="009400DE"/>
    <w:rsid w:val="009403F6"/>
    <w:rsid w:val="0094041A"/>
    <w:rsid w:val="0094096B"/>
    <w:rsid w:val="00940A8E"/>
    <w:rsid w:val="00940BE6"/>
    <w:rsid w:val="00940E0F"/>
    <w:rsid w:val="00941495"/>
    <w:rsid w:val="00941652"/>
    <w:rsid w:val="00941AED"/>
    <w:rsid w:val="009420EE"/>
    <w:rsid w:val="009421CB"/>
    <w:rsid w:val="009426AC"/>
    <w:rsid w:val="00942BB0"/>
    <w:rsid w:val="00942D98"/>
    <w:rsid w:val="00942EAE"/>
    <w:rsid w:val="0094313D"/>
    <w:rsid w:val="0094333E"/>
    <w:rsid w:val="009435FF"/>
    <w:rsid w:val="00943655"/>
    <w:rsid w:val="00943660"/>
    <w:rsid w:val="00944550"/>
    <w:rsid w:val="0094459F"/>
    <w:rsid w:val="0094492F"/>
    <w:rsid w:val="00944E56"/>
    <w:rsid w:val="009453A2"/>
    <w:rsid w:val="0094556A"/>
    <w:rsid w:val="00945657"/>
    <w:rsid w:val="00945B11"/>
    <w:rsid w:val="00945D44"/>
    <w:rsid w:val="009463C6"/>
    <w:rsid w:val="00946716"/>
    <w:rsid w:val="00946BB0"/>
    <w:rsid w:val="00946BCF"/>
    <w:rsid w:val="00946E7A"/>
    <w:rsid w:val="00947252"/>
    <w:rsid w:val="009473BE"/>
    <w:rsid w:val="00947497"/>
    <w:rsid w:val="0094758B"/>
    <w:rsid w:val="0094780A"/>
    <w:rsid w:val="00947A5E"/>
    <w:rsid w:val="00947A87"/>
    <w:rsid w:val="00947DC3"/>
    <w:rsid w:val="0095015F"/>
    <w:rsid w:val="0095019F"/>
    <w:rsid w:val="009501A6"/>
    <w:rsid w:val="00950446"/>
    <w:rsid w:val="00950615"/>
    <w:rsid w:val="00950798"/>
    <w:rsid w:val="0095080F"/>
    <w:rsid w:val="00950ECF"/>
    <w:rsid w:val="00951129"/>
    <w:rsid w:val="00951163"/>
    <w:rsid w:val="00951174"/>
    <w:rsid w:val="0095190E"/>
    <w:rsid w:val="00951CE3"/>
    <w:rsid w:val="00951F6D"/>
    <w:rsid w:val="009522B9"/>
    <w:rsid w:val="00952478"/>
    <w:rsid w:val="009525BA"/>
    <w:rsid w:val="00952A51"/>
    <w:rsid w:val="00952DB6"/>
    <w:rsid w:val="0095304C"/>
    <w:rsid w:val="0095313B"/>
    <w:rsid w:val="009532F2"/>
    <w:rsid w:val="00953C11"/>
    <w:rsid w:val="00953D3D"/>
    <w:rsid w:val="00954245"/>
    <w:rsid w:val="0095431E"/>
    <w:rsid w:val="009547AB"/>
    <w:rsid w:val="00954860"/>
    <w:rsid w:val="00954F19"/>
    <w:rsid w:val="00955137"/>
    <w:rsid w:val="009557C8"/>
    <w:rsid w:val="00955C47"/>
    <w:rsid w:val="00955CAB"/>
    <w:rsid w:val="00956A5B"/>
    <w:rsid w:val="00956CC4"/>
    <w:rsid w:val="00957382"/>
    <w:rsid w:val="00957B95"/>
    <w:rsid w:val="00957FC9"/>
    <w:rsid w:val="00960112"/>
    <w:rsid w:val="009605DA"/>
    <w:rsid w:val="00960705"/>
    <w:rsid w:val="00960779"/>
    <w:rsid w:val="00960885"/>
    <w:rsid w:val="009608B4"/>
    <w:rsid w:val="009609B8"/>
    <w:rsid w:val="009609BE"/>
    <w:rsid w:val="00960CBE"/>
    <w:rsid w:val="00960D5D"/>
    <w:rsid w:val="00960EC4"/>
    <w:rsid w:val="009610B4"/>
    <w:rsid w:val="009614CA"/>
    <w:rsid w:val="00961993"/>
    <w:rsid w:val="009619EB"/>
    <w:rsid w:val="00961A68"/>
    <w:rsid w:val="00961BD8"/>
    <w:rsid w:val="00961C66"/>
    <w:rsid w:val="009623EA"/>
    <w:rsid w:val="00962567"/>
    <w:rsid w:val="009626EC"/>
    <w:rsid w:val="00962B92"/>
    <w:rsid w:val="00963B7E"/>
    <w:rsid w:val="009640E1"/>
    <w:rsid w:val="009642C4"/>
    <w:rsid w:val="00964752"/>
    <w:rsid w:val="00964907"/>
    <w:rsid w:val="00964971"/>
    <w:rsid w:val="00964F7A"/>
    <w:rsid w:val="00965010"/>
    <w:rsid w:val="009651A4"/>
    <w:rsid w:val="00965582"/>
    <w:rsid w:val="00965670"/>
    <w:rsid w:val="009657B7"/>
    <w:rsid w:val="0096586C"/>
    <w:rsid w:val="00965B2C"/>
    <w:rsid w:val="00965D9A"/>
    <w:rsid w:val="0096622C"/>
    <w:rsid w:val="009663C3"/>
    <w:rsid w:val="00966572"/>
    <w:rsid w:val="00966BEB"/>
    <w:rsid w:val="00966D73"/>
    <w:rsid w:val="00966EDD"/>
    <w:rsid w:val="00966F23"/>
    <w:rsid w:val="00967003"/>
    <w:rsid w:val="009670B9"/>
    <w:rsid w:val="009670DF"/>
    <w:rsid w:val="00967ADB"/>
    <w:rsid w:val="00967AF8"/>
    <w:rsid w:val="0097020A"/>
    <w:rsid w:val="009706E5"/>
    <w:rsid w:val="00970701"/>
    <w:rsid w:val="009707F3"/>
    <w:rsid w:val="00970ABF"/>
    <w:rsid w:val="00971169"/>
    <w:rsid w:val="009715F5"/>
    <w:rsid w:val="009716AF"/>
    <w:rsid w:val="00971734"/>
    <w:rsid w:val="00971FDC"/>
    <w:rsid w:val="00972220"/>
    <w:rsid w:val="00972566"/>
    <w:rsid w:val="00972B4B"/>
    <w:rsid w:val="00972C7C"/>
    <w:rsid w:val="00972FE8"/>
    <w:rsid w:val="0097333C"/>
    <w:rsid w:val="009736D6"/>
    <w:rsid w:val="009738F9"/>
    <w:rsid w:val="009742C1"/>
    <w:rsid w:val="009743C9"/>
    <w:rsid w:val="00974433"/>
    <w:rsid w:val="009750A2"/>
    <w:rsid w:val="00975489"/>
    <w:rsid w:val="009754B4"/>
    <w:rsid w:val="009754BB"/>
    <w:rsid w:val="00975770"/>
    <w:rsid w:val="00975897"/>
    <w:rsid w:val="009761E2"/>
    <w:rsid w:val="009769EF"/>
    <w:rsid w:val="00976B5D"/>
    <w:rsid w:val="00976E2D"/>
    <w:rsid w:val="00976F93"/>
    <w:rsid w:val="009775A6"/>
    <w:rsid w:val="009775D5"/>
    <w:rsid w:val="00977868"/>
    <w:rsid w:val="00977926"/>
    <w:rsid w:val="00977960"/>
    <w:rsid w:val="00977969"/>
    <w:rsid w:val="00977A40"/>
    <w:rsid w:val="00977B3D"/>
    <w:rsid w:val="00977FA3"/>
    <w:rsid w:val="00980057"/>
    <w:rsid w:val="009802F0"/>
    <w:rsid w:val="0098034F"/>
    <w:rsid w:val="0098043D"/>
    <w:rsid w:val="0098060E"/>
    <w:rsid w:val="00980A58"/>
    <w:rsid w:val="00980E62"/>
    <w:rsid w:val="00980ECF"/>
    <w:rsid w:val="00981511"/>
    <w:rsid w:val="0098190C"/>
    <w:rsid w:val="00981976"/>
    <w:rsid w:val="00981AB4"/>
    <w:rsid w:val="00981C51"/>
    <w:rsid w:val="00981F8C"/>
    <w:rsid w:val="00981F96"/>
    <w:rsid w:val="00981FDD"/>
    <w:rsid w:val="0098211A"/>
    <w:rsid w:val="0098242D"/>
    <w:rsid w:val="00982646"/>
    <w:rsid w:val="00982767"/>
    <w:rsid w:val="00982B14"/>
    <w:rsid w:val="00982C09"/>
    <w:rsid w:val="00982C79"/>
    <w:rsid w:val="00983318"/>
    <w:rsid w:val="009834FB"/>
    <w:rsid w:val="0098353C"/>
    <w:rsid w:val="009839A7"/>
    <w:rsid w:val="00983CCC"/>
    <w:rsid w:val="00983F0C"/>
    <w:rsid w:val="009841EB"/>
    <w:rsid w:val="009844C2"/>
    <w:rsid w:val="0098479C"/>
    <w:rsid w:val="009847D7"/>
    <w:rsid w:val="00984A61"/>
    <w:rsid w:val="00984DE5"/>
    <w:rsid w:val="00984F2C"/>
    <w:rsid w:val="00985194"/>
    <w:rsid w:val="00986050"/>
    <w:rsid w:val="00986A22"/>
    <w:rsid w:val="00986C32"/>
    <w:rsid w:val="00986C80"/>
    <w:rsid w:val="00986CEE"/>
    <w:rsid w:val="009873C0"/>
    <w:rsid w:val="0098744F"/>
    <w:rsid w:val="009874C4"/>
    <w:rsid w:val="00987C2C"/>
    <w:rsid w:val="009902AD"/>
    <w:rsid w:val="00990305"/>
    <w:rsid w:val="0099050E"/>
    <w:rsid w:val="00990684"/>
    <w:rsid w:val="00990DB9"/>
    <w:rsid w:val="00990F7F"/>
    <w:rsid w:val="00991002"/>
    <w:rsid w:val="00991536"/>
    <w:rsid w:val="0099196C"/>
    <w:rsid w:val="009919C2"/>
    <w:rsid w:val="00991DAA"/>
    <w:rsid w:val="00992585"/>
    <w:rsid w:val="009926A7"/>
    <w:rsid w:val="00992904"/>
    <w:rsid w:val="00992905"/>
    <w:rsid w:val="00992B2B"/>
    <w:rsid w:val="00992B3B"/>
    <w:rsid w:val="00992FA1"/>
    <w:rsid w:val="00993337"/>
    <w:rsid w:val="009934FC"/>
    <w:rsid w:val="0099364A"/>
    <w:rsid w:val="00993D85"/>
    <w:rsid w:val="00994722"/>
    <w:rsid w:val="00995079"/>
    <w:rsid w:val="0099577A"/>
    <w:rsid w:val="009958D4"/>
    <w:rsid w:val="0099599F"/>
    <w:rsid w:val="009960C1"/>
    <w:rsid w:val="00996396"/>
    <w:rsid w:val="00996427"/>
    <w:rsid w:val="0099662D"/>
    <w:rsid w:val="009967D7"/>
    <w:rsid w:val="0099680A"/>
    <w:rsid w:val="00996A9B"/>
    <w:rsid w:val="0099707D"/>
    <w:rsid w:val="009979DC"/>
    <w:rsid w:val="00997C1D"/>
    <w:rsid w:val="00997F73"/>
    <w:rsid w:val="009A00EB"/>
    <w:rsid w:val="009A0412"/>
    <w:rsid w:val="009A11DF"/>
    <w:rsid w:val="009A16FC"/>
    <w:rsid w:val="009A17A7"/>
    <w:rsid w:val="009A18A0"/>
    <w:rsid w:val="009A1FB0"/>
    <w:rsid w:val="009A25A7"/>
    <w:rsid w:val="009A2AA5"/>
    <w:rsid w:val="009A2AE5"/>
    <w:rsid w:val="009A31F3"/>
    <w:rsid w:val="009A341F"/>
    <w:rsid w:val="009A37E2"/>
    <w:rsid w:val="009A3849"/>
    <w:rsid w:val="009A3A21"/>
    <w:rsid w:val="009A3DA6"/>
    <w:rsid w:val="009A48A3"/>
    <w:rsid w:val="009A4D0F"/>
    <w:rsid w:val="009A4D85"/>
    <w:rsid w:val="009A4F92"/>
    <w:rsid w:val="009A51A9"/>
    <w:rsid w:val="009A5526"/>
    <w:rsid w:val="009A580D"/>
    <w:rsid w:val="009A5FD7"/>
    <w:rsid w:val="009A60A1"/>
    <w:rsid w:val="009A69A4"/>
    <w:rsid w:val="009A6D1F"/>
    <w:rsid w:val="009A7282"/>
    <w:rsid w:val="009A7294"/>
    <w:rsid w:val="009A7392"/>
    <w:rsid w:val="009A75B8"/>
    <w:rsid w:val="009A75C8"/>
    <w:rsid w:val="009A7A80"/>
    <w:rsid w:val="009A7B89"/>
    <w:rsid w:val="009B00FD"/>
    <w:rsid w:val="009B0660"/>
    <w:rsid w:val="009B08CF"/>
    <w:rsid w:val="009B098A"/>
    <w:rsid w:val="009B0D40"/>
    <w:rsid w:val="009B1153"/>
    <w:rsid w:val="009B1368"/>
    <w:rsid w:val="009B169A"/>
    <w:rsid w:val="009B197B"/>
    <w:rsid w:val="009B1BAA"/>
    <w:rsid w:val="009B22AA"/>
    <w:rsid w:val="009B2A15"/>
    <w:rsid w:val="009B3109"/>
    <w:rsid w:val="009B33AD"/>
    <w:rsid w:val="009B3492"/>
    <w:rsid w:val="009B3535"/>
    <w:rsid w:val="009B3ABF"/>
    <w:rsid w:val="009B3C7D"/>
    <w:rsid w:val="009B3DF3"/>
    <w:rsid w:val="009B3FD4"/>
    <w:rsid w:val="009B42F4"/>
    <w:rsid w:val="009B4D5C"/>
    <w:rsid w:val="009B4E3A"/>
    <w:rsid w:val="009B4E41"/>
    <w:rsid w:val="009B57E2"/>
    <w:rsid w:val="009B5A8F"/>
    <w:rsid w:val="009B5AB6"/>
    <w:rsid w:val="009B5ADC"/>
    <w:rsid w:val="009B5FB6"/>
    <w:rsid w:val="009B6507"/>
    <w:rsid w:val="009B655A"/>
    <w:rsid w:val="009B66A8"/>
    <w:rsid w:val="009B6CDB"/>
    <w:rsid w:val="009B6D65"/>
    <w:rsid w:val="009B6F31"/>
    <w:rsid w:val="009B72EA"/>
    <w:rsid w:val="009B77C3"/>
    <w:rsid w:val="009B79D9"/>
    <w:rsid w:val="009B7E08"/>
    <w:rsid w:val="009C008E"/>
    <w:rsid w:val="009C07BD"/>
    <w:rsid w:val="009C0938"/>
    <w:rsid w:val="009C0C75"/>
    <w:rsid w:val="009C10C4"/>
    <w:rsid w:val="009C1788"/>
    <w:rsid w:val="009C1894"/>
    <w:rsid w:val="009C1AF6"/>
    <w:rsid w:val="009C1B7B"/>
    <w:rsid w:val="009C1D9E"/>
    <w:rsid w:val="009C260A"/>
    <w:rsid w:val="009C268E"/>
    <w:rsid w:val="009C2723"/>
    <w:rsid w:val="009C2B09"/>
    <w:rsid w:val="009C314C"/>
    <w:rsid w:val="009C3325"/>
    <w:rsid w:val="009C38D9"/>
    <w:rsid w:val="009C3A6C"/>
    <w:rsid w:val="009C3BC4"/>
    <w:rsid w:val="009C4062"/>
    <w:rsid w:val="009C4113"/>
    <w:rsid w:val="009C4117"/>
    <w:rsid w:val="009C419A"/>
    <w:rsid w:val="009C47DF"/>
    <w:rsid w:val="009C47F7"/>
    <w:rsid w:val="009C4C9B"/>
    <w:rsid w:val="009C4E18"/>
    <w:rsid w:val="009C4FF7"/>
    <w:rsid w:val="009C501F"/>
    <w:rsid w:val="009C525E"/>
    <w:rsid w:val="009C52AB"/>
    <w:rsid w:val="009C58B5"/>
    <w:rsid w:val="009C5A61"/>
    <w:rsid w:val="009C5F6B"/>
    <w:rsid w:val="009C60E9"/>
    <w:rsid w:val="009C64CA"/>
    <w:rsid w:val="009C6559"/>
    <w:rsid w:val="009C70BD"/>
    <w:rsid w:val="009C70D9"/>
    <w:rsid w:val="009C7227"/>
    <w:rsid w:val="009C7321"/>
    <w:rsid w:val="009C739F"/>
    <w:rsid w:val="009C7551"/>
    <w:rsid w:val="009C780E"/>
    <w:rsid w:val="009C7944"/>
    <w:rsid w:val="009C7C27"/>
    <w:rsid w:val="009C7E5A"/>
    <w:rsid w:val="009D0335"/>
    <w:rsid w:val="009D0412"/>
    <w:rsid w:val="009D0652"/>
    <w:rsid w:val="009D0A69"/>
    <w:rsid w:val="009D0B0F"/>
    <w:rsid w:val="009D1836"/>
    <w:rsid w:val="009D196B"/>
    <w:rsid w:val="009D1B8B"/>
    <w:rsid w:val="009D1DF9"/>
    <w:rsid w:val="009D2720"/>
    <w:rsid w:val="009D28BD"/>
    <w:rsid w:val="009D2A05"/>
    <w:rsid w:val="009D2C3A"/>
    <w:rsid w:val="009D303C"/>
    <w:rsid w:val="009D3142"/>
    <w:rsid w:val="009D35F3"/>
    <w:rsid w:val="009D3C9D"/>
    <w:rsid w:val="009D3DD9"/>
    <w:rsid w:val="009D4764"/>
    <w:rsid w:val="009D5261"/>
    <w:rsid w:val="009D5342"/>
    <w:rsid w:val="009D5D80"/>
    <w:rsid w:val="009D5F6E"/>
    <w:rsid w:val="009D600B"/>
    <w:rsid w:val="009D62B7"/>
    <w:rsid w:val="009D64FA"/>
    <w:rsid w:val="009D6B8D"/>
    <w:rsid w:val="009D6C11"/>
    <w:rsid w:val="009D6DB0"/>
    <w:rsid w:val="009D77C8"/>
    <w:rsid w:val="009D7881"/>
    <w:rsid w:val="009D7D30"/>
    <w:rsid w:val="009D7E7B"/>
    <w:rsid w:val="009E0225"/>
    <w:rsid w:val="009E0278"/>
    <w:rsid w:val="009E0B16"/>
    <w:rsid w:val="009E0BE7"/>
    <w:rsid w:val="009E0C6E"/>
    <w:rsid w:val="009E126D"/>
    <w:rsid w:val="009E144B"/>
    <w:rsid w:val="009E1560"/>
    <w:rsid w:val="009E1D8A"/>
    <w:rsid w:val="009E20FA"/>
    <w:rsid w:val="009E31D8"/>
    <w:rsid w:val="009E36AB"/>
    <w:rsid w:val="009E3C51"/>
    <w:rsid w:val="009E3D24"/>
    <w:rsid w:val="009E41C8"/>
    <w:rsid w:val="009E41F6"/>
    <w:rsid w:val="009E492C"/>
    <w:rsid w:val="009E494C"/>
    <w:rsid w:val="009E4D4A"/>
    <w:rsid w:val="009E5161"/>
    <w:rsid w:val="009E51ED"/>
    <w:rsid w:val="009E54F7"/>
    <w:rsid w:val="009E594E"/>
    <w:rsid w:val="009E599C"/>
    <w:rsid w:val="009E59EF"/>
    <w:rsid w:val="009E5CD2"/>
    <w:rsid w:val="009E5EA9"/>
    <w:rsid w:val="009E5F80"/>
    <w:rsid w:val="009E665F"/>
    <w:rsid w:val="009E6AE3"/>
    <w:rsid w:val="009E6F50"/>
    <w:rsid w:val="009E7191"/>
    <w:rsid w:val="009E71C6"/>
    <w:rsid w:val="009E772B"/>
    <w:rsid w:val="009E7766"/>
    <w:rsid w:val="009E776A"/>
    <w:rsid w:val="009E7928"/>
    <w:rsid w:val="009F016D"/>
    <w:rsid w:val="009F02DA"/>
    <w:rsid w:val="009F04F2"/>
    <w:rsid w:val="009F1592"/>
    <w:rsid w:val="009F159D"/>
    <w:rsid w:val="009F20F8"/>
    <w:rsid w:val="009F2191"/>
    <w:rsid w:val="009F272D"/>
    <w:rsid w:val="009F27F7"/>
    <w:rsid w:val="009F2DFD"/>
    <w:rsid w:val="009F3247"/>
    <w:rsid w:val="009F32A9"/>
    <w:rsid w:val="009F32B9"/>
    <w:rsid w:val="009F3381"/>
    <w:rsid w:val="009F3A56"/>
    <w:rsid w:val="009F3E55"/>
    <w:rsid w:val="009F4D5F"/>
    <w:rsid w:val="009F4E1D"/>
    <w:rsid w:val="009F56CE"/>
    <w:rsid w:val="009F573C"/>
    <w:rsid w:val="009F5E01"/>
    <w:rsid w:val="009F5E42"/>
    <w:rsid w:val="009F6039"/>
    <w:rsid w:val="009F60D0"/>
    <w:rsid w:val="009F65CE"/>
    <w:rsid w:val="009F6895"/>
    <w:rsid w:val="009F69EA"/>
    <w:rsid w:val="009F6B50"/>
    <w:rsid w:val="009F6B90"/>
    <w:rsid w:val="009F6D20"/>
    <w:rsid w:val="009F7484"/>
    <w:rsid w:val="009F7629"/>
    <w:rsid w:val="009F7A01"/>
    <w:rsid w:val="009F7DA8"/>
    <w:rsid w:val="00A00469"/>
    <w:rsid w:val="00A004D0"/>
    <w:rsid w:val="00A007E9"/>
    <w:rsid w:val="00A00884"/>
    <w:rsid w:val="00A008F3"/>
    <w:rsid w:val="00A00A56"/>
    <w:rsid w:val="00A01264"/>
    <w:rsid w:val="00A012EA"/>
    <w:rsid w:val="00A0163F"/>
    <w:rsid w:val="00A01989"/>
    <w:rsid w:val="00A01FA0"/>
    <w:rsid w:val="00A01FCB"/>
    <w:rsid w:val="00A021D9"/>
    <w:rsid w:val="00A02248"/>
    <w:rsid w:val="00A023DE"/>
    <w:rsid w:val="00A024C2"/>
    <w:rsid w:val="00A0254A"/>
    <w:rsid w:val="00A027B3"/>
    <w:rsid w:val="00A0281B"/>
    <w:rsid w:val="00A02BDD"/>
    <w:rsid w:val="00A02C3C"/>
    <w:rsid w:val="00A02D0F"/>
    <w:rsid w:val="00A03084"/>
    <w:rsid w:val="00A030BB"/>
    <w:rsid w:val="00A03248"/>
    <w:rsid w:val="00A03441"/>
    <w:rsid w:val="00A03CC0"/>
    <w:rsid w:val="00A03F9F"/>
    <w:rsid w:val="00A041CC"/>
    <w:rsid w:val="00A0423D"/>
    <w:rsid w:val="00A042C2"/>
    <w:rsid w:val="00A049F8"/>
    <w:rsid w:val="00A05098"/>
    <w:rsid w:val="00A055F8"/>
    <w:rsid w:val="00A05698"/>
    <w:rsid w:val="00A05714"/>
    <w:rsid w:val="00A0592F"/>
    <w:rsid w:val="00A0594C"/>
    <w:rsid w:val="00A05AA7"/>
    <w:rsid w:val="00A05E38"/>
    <w:rsid w:val="00A0660C"/>
    <w:rsid w:val="00A0682A"/>
    <w:rsid w:val="00A068CF"/>
    <w:rsid w:val="00A06D24"/>
    <w:rsid w:val="00A06E2E"/>
    <w:rsid w:val="00A06E7A"/>
    <w:rsid w:val="00A07562"/>
    <w:rsid w:val="00A07654"/>
    <w:rsid w:val="00A07CA9"/>
    <w:rsid w:val="00A1039E"/>
    <w:rsid w:val="00A103DC"/>
    <w:rsid w:val="00A108A6"/>
    <w:rsid w:val="00A10969"/>
    <w:rsid w:val="00A115EF"/>
    <w:rsid w:val="00A11DB0"/>
    <w:rsid w:val="00A12216"/>
    <w:rsid w:val="00A12590"/>
    <w:rsid w:val="00A12810"/>
    <w:rsid w:val="00A129BA"/>
    <w:rsid w:val="00A13095"/>
    <w:rsid w:val="00A13B3A"/>
    <w:rsid w:val="00A13DCD"/>
    <w:rsid w:val="00A1469C"/>
    <w:rsid w:val="00A146E5"/>
    <w:rsid w:val="00A1475C"/>
    <w:rsid w:val="00A14917"/>
    <w:rsid w:val="00A14AB3"/>
    <w:rsid w:val="00A15272"/>
    <w:rsid w:val="00A15333"/>
    <w:rsid w:val="00A1546B"/>
    <w:rsid w:val="00A160BA"/>
    <w:rsid w:val="00A1620E"/>
    <w:rsid w:val="00A16506"/>
    <w:rsid w:val="00A16530"/>
    <w:rsid w:val="00A16B5E"/>
    <w:rsid w:val="00A16C7C"/>
    <w:rsid w:val="00A16CE6"/>
    <w:rsid w:val="00A17704"/>
    <w:rsid w:val="00A1777A"/>
    <w:rsid w:val="00A17D83"/>
    <w:rsid w:val="00A17DE7"/>
    <w:rsid w:val="00A200CB"/>
    <w:rsid w:val="00A2036B"/>
    <w:rsid w:val="00A203A4"/>
    <w:rsid w:val="00A20B75"/>
    <w:rsid w:val="00A20B98"/>
    <w:rsid w:val="00A20C86"/>
    <w:rsid w:val="00A20FF5"/>
    <w:rsid w:val="00A21783"/>
    <w:rsid w:val="00A22110"/>
    <w:rsid w:val="00A221D1"/>
    <w:rsid w:val="00A222E4"/>
    <w:rsid w:val="00A22519"/>
    <w:rsid w:val="00A22550"/>
    <w:rsid w:val="00A22552"/>
    <w:rsid w:val="00A227F2"/>
    <w:rsid w:val="00A22AB8"/>
    <w:rsid w:val="00A22B04"/>
    <w:rsid w:val="00A22D7A"/>
    <w:rsid w:val="00A23073"/>
    <w:rsid w:val="00A2342C"/>
    <w:rsid w:val="00A23519"/>
    <w:rsid w:val="00A235FA"/>
    <w:rsid w:val="00A236A4"/>
    <w:rsid w:val="00A23768"/>
    <w:rsid w:val="00A23C0F"/>
    <w:rsid w:val="00A23DF4"/>
    <w:rsid w:val="00A23E72"/>
    <w:rsid w:val="00A24564"/>
    <w:rsid w:val="00A246B0"/>
    <w:rsid w:val="00A24766"/>
    <w:rsid w:val="00A24F21"/>
    <w:rsid w:val="00A25140"/>
    <w:rsid w:val="00A25250"/>
    <w:rsid w:val="00A2541C"/>
    <w:rsid w:val="00A25837"/>
    <w:rsid w:val="00A25A9F"/>
    <w:rsid w:val="00A25C6A"/>
    <w:rsid w:val="00A25DFB"/>
    <w:rsid w:val="00A2606F"/>
    <w:rsid w:val="00A261A7"/>
    <w:rsid w:val="00A2698B"/>
    <w:rsid w:val="00A26A73"/>
    <w:rsid w:val="00A30571"/>
    <w:rsid w:val="00A31068"/>
    <w:rsid w:val="00A313FC"/>
    <w:rsid w:val="00A3170F"/>
    <w:rsid w:val="00A319FB"/>
    <w:rsid w:val="00A31A5C"/>
    <w:rsid w:val="00A31BCA"/>
    <w:rsid w:val="00A31BEF"/>
    <w:rsid w:val="00A31D9A"/>
    <w:rsid w:val="00A31E4F"/>
    <w:rsid w:val="00A32421"/>
    <w:rsid w:val="00A328E9"/>
    <w:rsid w:val="00A32B52"/>
    <w:rsid w:val="00A33045"/>
    <w:rsid w:val="00A3353C"/>
    <w:rsid w:val="00A335D7"/>
    <w:rsid w:val="00A33748"/>
    <w:rsid w:val="00A33FF4"/>
    <w:rsid w:val="00A3430B"/>
    <w:rsid w:val="00A3430E"/>
    <w:rsid w:val="00A34445"/>
    <w:rsid w:val="00A3466D"/>
    <w:rsid w:val="00A34D6D"/>
    <w:rsid w:val="00A34F49"/>
    <w:rsid w:val="00A357AD"/>
    <w:rsid w:val="00A35B93"/>
    <w:rsid w:val="00A35F72"/>
    <w:rsid w:val="00A3625C"/>
    <w:rsid w:val="00A3647B"/>
    <w:rsid w:val="00A365B6"/>
    <w:rsid w:val="00A36710"/>
    <w:rsid w:val="00A4041B"/>
    <w:rsid w:val="00A405B3"/>
    <w:rsid w:val="00A40864"/>
    <w:rsid w:val="00A40AF8"/>
    <w:rsid w:val="00A40FC8"/>
    <w:rsid w:val="00A414C8"/>
    <w:rsid w:val="00A41604"/>
    <w:rsid w:val="00A41674"/>
    <w:rsid w:val="00A41BDD"/>
    <w:rsid w:val="00A41BE8"/>
    <w:rsid w:val="00A41F0E"/>
    <w:rsid w:val="00A42149"/>
    <w:rsid w:val="00A4261F"/>
    <w:rsid w:val="00A42802"/>
    <w:rsid w:val="00A42857"/>
    <w:rsid w:val="00A42E07"/>
    <w:rsid w:val="00A44DAE"/>
    <w:rsid w:val="00A44DF8"/>
    <w:rsid w:val="00A44F24"/>
    <w:rsid w:val="00A45323"/>
    <w:rsid w:val="00A459BA"/>
    <w:rsid w:val="00A45DC7"/>
    <w:rsid w:val="00A45EEC"/>
    <w:rsid w:val="00A4658B"/>
    <w:rsid w:val="00A466DF"/>
    <w:rsid w:val="00A46760"/>
    <w:rsid w:val="00A467BC"/>
    <w:rsid w:val="00A46979"/>
    <w:rsid w:val="00A46C77"/>
    <w:rsid w:val="00A46DBB"/>
    <w:rsid w:val="00A46F65"/>
    <w:rsid w:val="00A470ED"/>
    <w:rsid w:val="00A47162"/>
    <w:rsid w:val="00A47174"/>
    <w:rsid w:val="00A500E0"/>
    <w:rsid w:val="00A5057E"/>
    <w:rsid w:val="00A50660"/>
    <w:rsid w:val="00A50749"/>
    <w:rsid w:val="00A507D5"/>
    <w:rsid w:val="00A50B0C"/>
    <w:rsid w:val="00A511C7"/>
    <w:rsid w:val="00A51A1D"/>
    <w:rsid w:val="00A51B9C"/>
    <w:rsid w:val="00A52128"/>
    <w:rsid w:val="00A5213A"/>
    <w:rsid w:val="00A5281B"/>
    <w:rsid w:val="00A52964"/>
    <w:rsid w:val="00A52B4E"/>
    <w:rsid w:val="00A530F4"/>
    <w:rsid w:val="00A53318"/>
    <w:rsid w:val="00A539E1"/>
    <w:rsid w:val="00A539EB"/>
    <w:rsid w:val="00A53A5F"/>
    <w:rsid w:val="00A54032"/>
    <w:rsid w:val="00A54A39"/>
    <w:rsid w:val="00A54EAD"/>
    <w:rsid w:val="00A54F3E"/>
    <w:rsid w:val="00A5510F"/>
    <w:rsid w:val="00A555EF"/>
    <w:rsid w:val="00A558A4"/>
    <w:rsid w:val="00A558CB"/>
    <w:rsid w:val="00A55914"/>
    <w:rsid w:val="00A55D21"/>
    <w:rsid w:val="00A56135"/>
    <w:rsid w:val="00A5680C"/>
    <w:rsid w:val="00A56BFF"/>
    <w:rsid w:val="00A56CEA"/>
    <w:rsid w:val="00A56D30"/>
    <w:rsid w:val="00A56E46"/>
    <w:rsid w:val="00A5700D"/>
    <w:rsid w:val="00A5748D"/>
    <w:rsid w:val="00A57648"/>
    <w:rsid w:val="00A578EB"/>
    <w:rsid w:val="00A57DCB"/>
    <w:rsid w:val="00A57E5D"/>
    <w:rsid w:val="00A57FED"/>
    <w:rsid w:val="00A602A8"/>
    <w:rsid w:val="00A605D6"/>
    <w:rsid w:val="00A61813"/>
    <w:rsid w:val="00A61910"/>
    <w:rsid w:val="00A61DF5"/>
    <w:rsid w:val="00A62072"/>
    <w:rsid w:val="00A627A9"/>
    <w:rsid w:val="00A62C20"/>
    <w:rsid w:val="00A6314D"/>
    <w:rsid w:val="00A635C3"/>
    <w:rsid w:val="00A638CF"/>
    <w:rsid w:val="00A63C12"/>
    <w:rsid w:val="00A642AF"/>
    <w:rsid w:val="00A644B1"/>
    <w:rsid w:val="00A644EA"/>
    <w:rsid w:val="00A645C3"/>
    <w:rsid w:val="00A646C7"/>
    <w:rsid w:val="00A64983"/>
    <w:rsid w:val="00A64BC2"/>
    <w:rsid w:val="00A64C44"/>
    <w:rsid w:val="00A64EF2"/>
    <w:rsid w:val="00A64F0A"/>
    <w:rsid w:val="00A650EF"/>
    <w:rsid w:val="00A656B9"/>
    <w:rsid w:val="00A65B1A"/>
    <w:rsid w:val="00A65C37"/>
    <w:rsid w:val="00A65D8E"/>
    <w:rsid w:val="00A65EB1"/>
    <w:rsid w:val="00A65F2E"/>
    <w:rsid w:val="00A661EB"/>
    <w:rsid w:val="00A66486"/>
    <w:rsid w:val="00A664C0"/>
    <w:rsid w:val="00A66B19"/>
    <w:rsid w:val="00A66C25"/>
    <w:rsid w:val="00A66DDF"/>
    <w:rsid w:val="00A6720C"/>
    <w:rsid w:val="00A673B0"/>
    <w:rsid w:val="00A67AF1"/>
    <w:rsid w:val="00A67AFF"/>
    <w:rsid w:val="00A67EAF"/>
    <w:rsid w:val="00A700B7"/>
    <w:rsid w:val="00A700CB"/>
    <w:rsid w:val="00A70494"/>
    <w:rsid w:val="00A704AD"/>
    <w:rsid w:val="00A70E5A"/>
    <w:rsid w:val="00A70E90"/>
    <w:rsid w:val="00A70F12"/>
    <w:rsid w:val="00A7167C"/>
    <w:rsid w:val="00A72021"/>
    <w:rsid w:val="00A72531"/>
    <w:rsid w:val="00A72612"/>
    <w:rsid w:val="00A72618"/>
    <w:rsid w:val="00A72720"/>
    <w:rsid w:val="00A72AD4"/>
    <w:rsid w:val="00A72CD2"/>
    <w:rsid w:val="00A72D48"/>
    <w:rsid w:val="00A72E43"/>
    <w:rsid w:val="00A72F73"/>
    <w:rsid w:val="00A73157"/>
    <w:rsid w:val="00A735DA"/>
    <w:rsid w:val="00A7361E"/>
    <w:rsid w:val="00A73A55"/>
    <w:rsid w:val="00A73B9E"/>
    <w:rsid w:val="00A73BE0"/>
    <w:rsid w:val="00A73D9B"/>
    <w:rsid w:val="00A73FB0"/>
    <w:rsid w:val="00A74307"/>
    <w:rsid w:val="00A74F4A"/>
    <w:rsid w:val="00A75049"/>
    <w:rsid w:val="00A750DE"/>
    <w:rsid w:val="00A7532A"/>
    <w:rsid w:val="00A75489"/>
    <w:rsid w:val="00A7589F"/>
    <w:rsid w:val="00A759B4"/>
    <w:rsid w:val="00A75CCA"/>
    <w:rsid w:val="00A75D88"/>
    <w:rsid w:val="00A76422"/>
    <w:rsid w:val="00A76C65"/>
    <w:rsid w:val="00A770F3"/>
    <w:rsid w:val="00A77C13"/>
    <w:rsid w:val="00A77D67"/>
    <w:rsid w:val="00A80494"/>
    <w:rsid w:val="00A80A91"/>
    <w:rsid w:val="00A80EB4"/>
    <w:rsid w:val="00A81238"/>
    <w:rsid w:val="00A816A6"/>
    <w:rsid w:val="00A81830"/>
    <w:rsid w:val="00A81950"/>
    <w:rsid w:val="00A81BE6"/>
    <w:rsid w:val="00A81CDC"/>
    <w:rsid w:val="00A81F2D"/>
    <w:rsid w:val="00A81F88"/>
    <w:rsid w:val="00A82021"/>
    <w:rsid w:val="00A82421"/>
    <w:rsid w:val="00A824E6"/>
    <w:rsid w:val="00A82602"/>
    <w:rsid w:val="00A8260A"/>
    <w:rsid w:val="00A8277E"/>
    <w:rsid w:val="00A827EA"/>
    <w:rsid w:val="00A82844"/>
    <w:rsid w:val="00A829A0"/>
    <w:rsid w:val="00A82A9B"/>
    <w:rsid w:val="00A82B3B"/>
    <w:rsid w:val="00A837A2"/>
    <w:rsid w:val="00A83F18"/>
    <w:rsid w:val="00A841D4"/>
    <w:rsid w:val="00A8426E"/>
    <w:rsid w:val="00A8470D"/>
    <w:rsid w:val="00A8498F"/>
    <w:rsid w:val="00A849BC"/>
    <w:rsid w:val="00A84BED"/>
    <w:rsid w:val="00A850BD"/>
    <w:rsid w:val="00A85271"/>
    <w:rsid w:val="00A85381"/>
    <w:rsid w:val="00A85CA8"/>
    <w:rsid w:val="00A85CF7"/>
    <w:rsid w:val="00A85D3D"/>
    <w:rsid w:val="00A85EAC"/>
    <w:rsid w:val="00A85F20"/>
    <w:rsid w:val="00A8608A"/>
    <w:rsid w:val="00A8618A"/>
    <w:rsid w:val="00A861BD"/>
    <w:rsid w:val="00A86415"/>
    <w:rsid w:val="00A8681F"/>
    <w:rsid w:val="00A86B46"/>
    <w:rsid w:val="00A86E5F"/>
    <w:rsid w:val="00A8702A"/>
    <w:rsid w:val="00A87541"/>
    <w:rsid w:val="00A87670"/>
    <w:rsid w:val="00A8775B"/>
    <w:rsid w:val="00A903AC"/>
    <w:rsid w:val="00A905DA"/>
    <w:rsid w:val="00A90A1A"/>
    <w:rsid w:val="00A90BC1"/>
    <w:rsid w:val="00A90C0D"/>
    <w:rsid w:val="00A917E4"/>
    <w:rsid w:val="00A91897"/>
    <w:rsid w:val="00A91974"/>
    <w:rsid w:val="00A91B2A"/>
    <w:rsid w:val="00A91C4C"/>
    <w:rsid w:val="00A9214E"/>
    <w:rsid w:val="00A92203"/>
    <w:rsid w:val="00A92264"/>
    <w:rsid w:val="00A92C8B"/>
    <w:rsid w:val="00A935AA"/>
    <w:rsid w:val="00A93881"/>
    <w:rsid w:val="00A93BAB"/>
    <w:rsid w:val="00A93D11"/>
    <w:rsid w:val="00A93DA6"/>
    <w:rsid w:val="00A93E4A"/>
    <w:rsid w:val="00A9413B"/>
    <w:rsid w:val="00A9414C"/>
    <w:rsid w:val="00A94262"/>
    <w:rsid w:val="00A94365"/>
    <w:rsid w:val="00A94682"/>
    <w:rsid w:val="00A9474B"/>
    <w:rsid w:val="00A94FDC"/>
    <w:rsid w:val="00A95479"/>
    <w:rsid w:val="00A955BE"/>
    <w:rsid w:val="00A95A29"/>
    <w:rsid w:val="00A95A33"/>
    <w:rsid w:val="00A960DF"/>
    <w:rsid w:val="00A960F1"/>
    <w:rsid w:val="00A962D1"/>
    <w:rsid w:val="00A9638A"/>
    <w:rsid w:val="00A96465"/>
    <w:rsid w:val="00A9691B"/>
    <w:rsid w:val="00A97414"/>
    <w:rsid w:val="00A97485"/>
    <w:rsid w:val="00A97611"/>
    <w:rsid w:val="00A97B36"/>
    <w:rsid w:val="00A97B61"/>
    <w:rsid w:val="00AA037E"/>
    <w:rsid w:val="00AA0386"/>
    <w:rsid w:val="00AA0912"/>
    <w:rsid w:val="00AA128D"/>
    <w:rsid w:val="00AA19E2"/>
    <w:rsid w:val="00AA1CA7"/>
    <w:rsid w:val="00AA1DA1"/>
    <w:rsid w:val="00AA1FAA"/>
    <w:rsid w:val="00AA228A"/>
    <w:rsid w:val="00AA2530"/>
    <w:rsid w:val="00AA25C0"/>
    <w:rsid w:val="00AA2A99"/>
    <w:rsid w:val="00AA2BCE"/>
    <w:rsid w:val="00AA2F14"/>
    <w:rsid w:val="00AA3667"/>
    <w:rsid w:val="00AA3C90"/>
    <w:rsid w:val="00AA3CCB"/>
    <w:rsid w:val="00AA43DD"/>
    <w:rsid w:val="00AA4B8A"/>
    <w:rsid w:val="00AA5066"/>
    <w:rsid w:val="00AA5070"/>
    <w:rsid w:val="00AA508A"/>
    <w:rsid w:val="00AA53B4"/>
    <w:rsid w:val="00AA5E15"/>
    <w:rsid w:val="00AA5F51"/>
    <w:rsid w:val="00AA6741"/>
    <w:rsid w:val="00AA6878"/>
    <w:rsid w:val="00AA6A2C"/>
    <w:rsid w:val="00AA6AA1"/>
    <w:rsid w:val="00AA7303"/>
    <w:rsid w:val="00AA782B"/>
    <w:rsid w:val="00AA7843"/>
    <w:rsid w:val="00AA7D8F"/>
    <w:rsid w:val="00AA7E7B"/>
    <w:rsid w:val="00AB040F"/>
    <w:rsid w:val="00AB043F"/>
    <w:rsid w:val="00AB08EE"/>
    <w:rsid w:val="00AB0E2A"/>
    <w:rsid w:val="00AB10E5"/>
    <w:rsid w:val="00AB1170"/>
    <w:rsid w:val="00AB15FF"/>
    <w:rsid w:val="00AB184B"/>
    <w:rsid w:val="00AB1B44"/>
    <w:rsid w:val="00AB2B1E"/>
    <w:rsid w:val="00AB2B9F"/>
    <w:rsid w:val="00AB2C5A"/>
    <w:rsid w:val="00AB2CEF"/>
    <w:rsid w:val="00AB2F33"/>
    <w:rsid w:val="00AB3408"/>
    <w:rsid w:val="00AB37F3"/>
    <w:rsid w:val="00AB3E41"/>
    <w:rsid w:val="00AB4163"/>
    <w:rsid w:val="00AB424E"/>
    <w:rsid w:val="00AB4CCA"/>
    <w:rsid w:val="00AB4F26"/>
    <w:rsid w:val="00AB50DA"/>
    <w:rsid w:val="00AB5CCE"/>
    <w:rsid w:val="00AB5F54"/>
    <w:rsid w:val="00AB6215"/>
    <w:rsid w:val="00AB651A"/>
    <w:rsid w:val="00AB6CE1"/>
    <w:rsid w:val="00AB721A"/>
    <w:rsid w:val="00AB72F7"/>
    <w:rsid w:val="00AB77B1"/>
    <w:rsid w:val="00AB7932"/>
    <w:rsid w:val="00AB7B13"/>
    <w:rsid w:val="00AB7E5B"/>
    <w:rsid w:val="00AC0AE9"/>
    <w:rsid w:val="00AC0B3B"/>
    <w:rsid w:val="00AC10B9"/>
    <w:rsid w:val="00AC140C"/>
    <w:rsid w:val="00AC18DA"/>
    <w:rsid w:val="00AC1AE2"/>
    <w:rsid w:val="00AC1F33"/>
    <w:rsid w:val="00AC1F6E"/>
    <w:rsid w:val="00AC22B3"/>
    <w:rsid w:val="00AC250D"/>
    <w:rsid w:val="00AC2A19"/>
    <w:rsid w:val="00AC2AA2"/>
    <w:rsid w:val="00AC2BC2"/>
    <w:rsid w:val="00AC2CE2"/>
    <w:rsid w:val="00AC2EDF"/>
    <w:rsid w:val="00AC33E5"/>
    <w:rsid w:val="00AC36A8"/>
    <w:rsid w:val="00AC395A"/>
    <w:rsid w:val="00AC40E4"/>
    <w:rsid w:val="00AC4DBD"/>
    <w:rsid w:val="00AC4FC8"/>
    <w:rsid w:val="00AC53B0"/>
    <w:rsid w:val="00AC5B6E"/>
    <w:rsid w:val="00AC5C5D"/>
    <w:rsid w:val="00AC5FE1"/>
    <w:rsid w:val="00AC6257"/>
    <w:rsid w:val="00AC64B0"/>
    <w:rsid w:val="00AC663D"/>
    <w:rsid w:val="00AC6ACF"/>
    <w:rsid w:val="00AC6E80"/>
    <w:rsid w:val="00AC6EF5"/>
    <w:rsid w:val="00AC7D7D"/>
    <w:rsid w:val="00AC7F0A"/>
    <w:rsid w:val="00AD017B"/>
    <w:rsid w:val="00AD03E5"/>
    <w:rsid w:val="00AD061E"/>
    <w:rsid w:val="00AD0A81"/>
    <w:rsid w:val="00AD1060"/>
    <w:rsid w:val="00AD12E7"/>
    <w:rsid w:val="00AD1589"/>
    <w:rsid w:val="00AD18BB"/>
    <w:rsid w:val="00AD1B81"/>
    <w:rsid w:val="00AD1D62"/>
    <w:rsid w:val="00AD1F48"/>
    <w:rsid w:val="00AD2032"/>
    <w:rsid w:val="00AD2432"/>
    <w:rsid w:val="00AD25B8"/>
    <w:rsid w:val="00AD2910"/>
    <w:rsid w:val="00AD3050"/>
    <w:rsid w:val="00AD3175"/>
    <w:rsid w:val="00AD371B"/>
    <w:rsid w:val="00AD407E"/>
    <w:rsid w:val="00AD44CE"/>
    <w:rsid w:val="00AD4774"/>
    <w:rsid w:val="00AD4EF9"/>
    <w:rsid w:val="00AD4F0E"/>
    <w:rsid w:val="00AD5237"/>
    <w:rsid w:val="00AD530A"/>
    <w:rsid w:val="00AD57E6"/>
    <w:rsid w:val="00AD598F"/>
    <w:rsid w:val="00AD6A5E"/>
    <w:rsid w:val="00AD6BD8"/>
    <w:rsid w:val="00AD6C5B"/>
    <w:rsid w:val="00AD7603"/>
    <w:rsid w:val="00AD77BB"/>
    <w:rsid w:val="00AD78D8"/>
    <w:rsid w:val="00AD7B47"/>
    <w:rsid w:val="00AD7B4B"/>
    <w:rsid w:val="00AD7BEE"/>
    <w:rsid w:val="00AD7C00"/>
    <w:rsid w:val="00AD7D0C"/>
    <w:rsid w:val="00AE007A"/>
    <w:rsid w:val="00AE09E2"/>
    <w:rsid w:val="00AE102A"/>
    <w:rsid w:val="00AE10A8"/>
    <w:rsid w:val="00AE111E"/>
    <w:rsid w:val="00AE149C"/>
    <w:rsid w:val="00AE1613"/>
    <w:rsid w:val="00AE185B"/>
    <w:rsid w:val="00AE1883"/>
    <w:rsid w:val="00AE1FE8"/>
    <w:rsid w:val="00AE23B0"/>
    <w:rsid w:val="00AE2496"/>
    <w:rsid w:val="00AE27ED"/>
    <w:rsid w:val="00AE2884"/>
    <w:rsid w:val="00AE29C7"/>
    <w:rsid w:val="00AE2BD9"/>
    <w:rsid w:val="00AE3082"/>
    <w:rsid w:val="00AE31E4"/>
    <w:rsid w:val="00AE3DE8"/>
    <w:rsid w:val="00AE3E21"/>
    <w:rsid w:val="00AE3E41"/>
    <w:rsid w:val="00AE42E0"/>
    <w:rsid w:val="00AE4716"/>
    <w:rsid w:val="00AE4A43"/>
    <w:rsid w:val="00AE4AB1"/>
    <w:rsid w:val="00AE4C36"/>
    <w:rsid w:val="00AE51DB"/>
    <w:rsid w:val="00AE558B"/>
    <w:rsid w:val="00AE5A64"/>
    <w:rsid w:val="00AE5D2D"/>
    <w:rsid w:val="00AE5F3F"/>
    <w:rsid w:val="00AE61A2"/>
    <w:rsid w:val="00AE644A"/>
    <w:rsid w:val="00AE64CC"/>
    <w:rsid w:val="00AE64E3"/>
    <w:rsid w:val="00AE669A"/>
    <w:rsid w:val="00AE68D9"/>
    <w:rsid w:val="00AE6910"/>
    <w:rsid w:val="00AE6C3C"/>
    <w:rsid w:val="00AE7040"/>
    <w:rsid w:val="00AE70C6"/>
    <w:rsid w:val="00AE72B4"/>
    <w:rsid w:val="00AE7FC5"/>
    <w:rsid w:val="00AF00B5"/>
    <w:rsid w:val="00AF0396"/>
    <w:rsid w:val="00AF09A8"/>
    <w:rsid w:val="00AF0A2E"/>
    <w:rsid w:val="00AF0D8B"/>
    <w:rsid w:val="00AF1A8C"/>
    <w:rsid w:val="00AF1B54"/>
    <w:rsid w:val="00AF2023"/>
    <w:rsid w:val="00AF225E"/>
    <w:rsid w:val="00AF2443"/>
    <w:rsid w:val="00AF29DE"/>
    <w:rsid w:val="00AF2D6B"/>
    <w:rsid w:val="00AF2DA1"/>
    <w:rsid w:val="00AF3545"/>
    <w:rsid w:val="00AF35F1"/>
    <w:rsid w:val="00AF3675"/>
    <w:rsid w:val="00AF3890"/>
    <w:rsid w:val="00AF3947"/>
    <w:rsid w:val="00AF3987"/>
    <w:rsid w:val="00AF40E5"/>
    <w:rsid w:val="00AF46FB"/>
    <w:rsid w:val="00AF4719"/>
    <w:rsid w:val="00AF4F28"/>
    <w:rsid w:val="00AF5072"/>
    <w:rsid w:val="00AF56A2"/>
    <w:rsid w:val="00AF5865"/>
    <w:rsid w:val="00AF5D6A"/>
    <w:rsid w:val="00AF5F07"/>
    <w:rsid w:val="00AF603A"/>
    <w:rsid w:val="00AF65EB"/>
    <w:rsid w:val="00AF6659"/>
    <w:rsid w:val="00AF67CE"/>
    <w:rsid w:val="00AF716A"/>
    <w:rsid w:val="00AF72DA"/>
    <w:rsid w:val="00AF79EB"/>
    <w:rsid w:val="00AF7CE0"/>
    <w:rsid w:val="00AF7FF5"/>
    <w:rsid w:val="00B00031"/>
    <w:rsid w:val="00B00248"/>
    <w:rsid w:val="00B003A0"/>
    <w:rsid w:val="00B00671"/>
    <w:rsid w:val="00B009FE"/>
    <w:rsid w:val="00B00C9E"/>
    <w:rsid w:val="00B01314"/>
    <w:rsid w:val="00B0148F"/>
    <w:rsid w:val="00B016A9"/>
    <w:rsid w:val="00B01913"/>
    <w:rsid w:val="00B01B2F"/>
    <w:rsid w:val="00B01E94"/>
    <w:rsid w:val="00B02394"/>
    <w:rsid w:val="00B0248C"/>
    <w:rsid w:val="00B0263C"/>
    <w:rsid w:val="00B02736"/>
    <w:rsid w:val="00B02B7A"/>
    <w:rsid w:val="00B02D41"/>
    <w:rsid w:val="00B0312E"/>
    <w:rsid w:val="00B031B2"/>
    <w:rsid w:val="00B032B1"/>
    <w:rsid w:val="00B03546"/>
    <w:rsid w:val="00B039F4"/>
    <w:rsid w:val="00B03A0D"/>
    <w:rsid w:val="00B03B87"/>
    <w:rsid w:val="00B04136"/>
    <w:rsid w:val="00B046C7"/>
    <w:rsid w:val="00B049C1"/>
    <w:rsid w:val="00B05018"/>
    <w:rsid w:val="00B05504"/>
    <w:rsid w:val="00B05831"/>
    <w:rsid w:val="00B05C00"/>
    <w:rsid w:val="00B061F8"/>
    <w:rsid w:val="00B06404"/>
    <w:rsid w:val="00B0647B"/>
    <w:rsid w:val="00B0650F"/>
    <w:rsid w:val="00B06A0E"/>
    <w:rsid w:val="00B06E3D"/>
    <w:rsid w:val="00B06EC6"/>
    <w:rsid w:val="00B06EED"/>
    <w:rsid w:val="00B0704F"/>
    <w:rsid w:val="00B070AE"/>
    <w:rsid w:val="00B074CB"/>
    <w:rsid w:val="00B07955"/>
    <w:rsid w:val="00B07990"/>
    <w:rsid w:val="00B07A7D"/>
    <w:rsid w:val="00B07C56"/>
    <w:rsid w:val="00B07CE8"/>
    <w:rsid w:val="00B07EE8"/>
    <w:rsid w:val="00B07F22"/>
    <w:rsid w:val="00B10652"/>
    <w:rsid w:val="00B109FC"/>
    <w:rsid w:val="00B10B7F"/>
    <w:rsid w:val="00B10F39"/>
    <w:rsid w:val="00B11269"/>
    <w:rsid w:val="00B1159B"/>
    <w:rsid w:val="00B117C7"/>
    <w:rsid w:val="00B11EC8"/>
    <w:rsid w:val="00B12266"/>
    <w:rsid w:val="00B12625"/>
    <w:rsid w:val="00B12F4E"/>
    <w:rsid w:val="00B13B18"/>
    <w:rsid w:val="00B13D73"/>
    <w:rsid w:val="00B13E5C"/>
    <w:rsid w:val="00B13EBA"/>
    <w:rsid w:val="00B145AD"/>
    <w:rsid w:val="00B14960"/>
    <w:rsid w:val="00B14D1C"/>
    <w:rsid w:val="00B1514C"/>
    <w:rsid w:val="00B15370"/>
    <w:rsid w:val="00B154D5"/>
    <w:rsid w:val="00B15608"/>
    <w:rsid w:val="00B15654"/>
    <w:rsid w:val="00B15CA5"/>
    <w:rsid w:val="00B1643F"/>
    <w:rsid w:val="00B16AC0"/>
    <w:rsid w:val="00B17169"/>
    <w:rsid w:val="00B17265"/>
    <w:rsid w:val="00B173DB"/>
    <w:rsid w:val="00B17739"/>
    <w:rsid w:val="00B1784E"/>
    <w:rsid w:val="00B17B33"/>
    <w:rsid w:val="00B17D64"/>
    <w:rsid w:val="00B205E1"/>
    <w:rsid w:val="00B205FF"/>
    <w:rsid w:val="00B20C2F"/>
    <w:rsid w:val="00B211EF"/>
    <w:rsid w:val="00B213CF"/>
    <w:rsid w:val="00B213F9"/>
    <w:rsid w:val="00B2175B"/>
    <w:rsid w:val="00B21A9F"/>
    <w:rsid w:val="00B21DC6"/>
    <w:rsid w:val="00B226BD"/>
    <w:rsid w:val="00B227EF"/>
    <w:rsid w:val="00B22AFA"/>
    <w:rsid w:val="00B22E80"/>
    <w:rsid w:val="00B23026"/>
    <w:rsid w:val="00B2308C"/>
    <w:rsid w:val="00B23212"/>
    <w:rsid w:val="00B23446"/>
    <w:rsid w:val="00B23A6A"/>
    <w:rsid w:val="00B23B12"/>
    <w:rsid w:val="00B23B38"/>
    <w:rsid w:val="00B23BB9"/>
    <w:rsid w:val="00B23C22"/>
    <w:rsid w:val="00B23EB4"/>
    <w:rsid w:val="00B23F22"/>
    <w:rsid w:val="00B240AC"/>
    <w:rsid w:val="00B24823"/>
    <w:rsid w:val="00B24A75"/>
    <w:rsid w:val="00B24DF1"/>
    <w:rsid w:val="00B24E58"/>
    <w:rsid w:val="00B25452"/>
    <w:rsid w:val="00B2564C"/>
    <w:rsid w:val="00B2575C"/>
    <w:rsid w:val="00B25AD2"/>
    <w:rsid w:val="00B2601D"/>
    <w:rsid w:val="00B261CE"/>
    <w:rsid w:val="00B261E1"/>
    <w:rsid w:val="00B26267"/>
    <w:rsid w:val="00B262DB"/>
    <w:rsid w:val="00B264A1"/>
    <w:rsid w:val="00B26611"/>
    <w:rsid w:val="00B26AC8"/>
    <w:rsid w:val="00B26B1B"/>
    <w:rsid w:val="00B2770A"/>
    <w:rsid w:val="00B2781B"/>
    <w:rsid w:val="00B27896"/>
    <w:rsid w:val="00B278C9"/>
    <w:rsid w:val="00B278F5"/>
    <w:rsid w:val="00B27921"/>
    <w:rsid w:val="00B279D2"/>
    <w:rsid w:val="00B27BB7"/>
    <w:rsid w:val="00B27D18"/>
    <w:rsid w:val="00B27D72"/>
    <w:rsid w:val="00B3056D"/>
    <w:rsid w:val="00B3059F"/>
    <w:rsid w:val="00B306BF"/>
    <w:rsid w:val="00B309EB"/>
    <w:rsid w:val="00B30BE7"/>
    <w:rsid w:val="00B30E28"/>
    <w:rsid w:val="00B30E2C"/>
    <w:rsid w:val="00B311FE"/>
    <w:rsid w:val="00B31434"/>
    <w:rsid w:val="00B3145B"/>
    <w:rsid w:val="00B314B8"/>
    <w:rsid w:val="00B31618"/>
    <w:rsid w:val="00B31893"/>
    <w:rsid w:val="00B319A3"/>
    <w:rsid w:val="00B31FAB"/>
    <w:rsid w:val="00B320AB"/>
    <w:rsid w:val="00B321DE"/>
    <w:rsid w:val="00B326ED"/>
    <w:rsid w:val="00B328A2"/>
    <w:rsid w:val="00B32987"/>
    <w:rsid w:val="00B32F4F"/>
    <w:rsid w:val="00B33437"/>
    <w:rsid w:val="00B338FC"/>
    <w:rsid w:val="00B33914"/>
    <w:rsid w:val="00B33A53"/>
    <w:rsid w:val="00B34225"/>
    <w:rsid w:val="00B34292"/>
    <w:rsid w:val="00B342CE"/>
    <w:rsid w:val="00B345BE"/>
    <w:rsid w:val="00B34FA3"/>
    <w:rsid w:val="00B354A8"/>
    <w:rsid w:val="00B3579E"/>
    <w:rsid w:val="00B35961"/>
    <w:rsid w:val="00B35A8D"/>
    <w:rsid w:val="00B35DB7"/>
    <w:rsid w:val="00B35DD3"/>
    <w:rsid w:val="00B363C9"/>
    <w:rsid w:val="00B36410"/>
    <w:rsid w:val="00B368DB"/>
    <w:rsid w:val="00B36A22"/>
    <w:rsid w:val="00B371CF"/>
    <w:rsid w:val="00B3736C"/>
    <w:rsid w:val="00B37B68"/>
    <w:rsid w:val="00B37CB1"/>
    <w:rsid w:val="00B37CDB"/>
    <w:rsid w:val="00B4000C"/>
    <w:rsid w:val="00B4011A"/>
    <w:rsid w:val="00B40E6D"/>
    <w:rsid w:val="00B40F1E"/>
    <w:rsid w:val="00B40F43"/>
    <w:rsid w:val="00B412D3"/>
    <w:rsid w:val="00B41431"/>
    <w:rsid w:val="00B414C1"/>
    <w:rsid w:val="00B417F9"/>
    <w:rsid w:val="00B41829"/>
    <w:rsid w:val="00B41A80"/>
    <w:rsid w:val="00B41E1C"/>
    <w:rsid w:val="00B42427"/>
    <w:rsid w:val="00B42428"/>
    <w:rsid w:val="00B4255A"/>
    <w:rsid w:val="00B425A5"/>
    <w:rsid w:val="00B428D3"/>
    <w:rsid w:val="00B42A09"/>
    <w:rsid w:val="00B42B9E"/>
    <w:rsid w:val="00B42BAF"/>
    <w:rsid w:val="00B43031"/>
    <w:rsid w:val="00B43051"/>
    <w:rsid w:val="00B434FE"/>
    <w:rsid w:val="00B43559"/>
    <w:rsid w:val="00B43F62"/>
    <w:rsid w:val="00B448E0"/>
    <w:rsid w:val="00B44D18"/>
    <w:rsid w:val="00B44D6F"/>
    <w:rsid w:val="00B45497"/>
    <w:rsid w:val="00B45515"/>
    <w:rsid w:val="00B455B6"/>
    <w:rsid w:val="00B4580A"/>
    <w:rsid w:val="00B45A63"/>
    <w:rsid w:val="00B45BAD"/>
    <w:rsid w:val="00B45D93"/>
    <w:rsid w:val="00B46013"/>
    <w:rsid w:val="00B46468"/>
    <w:rsid w:val="00B46A32"/>
    <w:rsid w:val="00B46AFA"/>
    <w:rsid w:val="00B46E5D"/>
    <w:rsid w:val="00B46E83"/>
    <w:rsid w:val="00B470B8"/>
    <w:rsid w:val="00B472FA"/>
    <w:rsid w:val="00B47940"/>
    <w:rsid w:val="00B47D7F"/>
    <w:rsid w:val="00B50051"/>
    <w:rsid w:val="00B500B4"/>
    <w:rsid w:val="00B5023F"/>
    <w:rsid w:val="00B5148A"/>
    <w:rsid w:val="00B51E22"/>
    <w:rsid w:val="00B522A3"/>
    <w:rsid w:val="00B52324"/>
    <w:rsid w:val="00B523EF"/>
    <w:rsid w:val="00B52963"/>
    <w:rsid w:val="00B52B31"/>
    <w:rsid w:val="00B53133"/>
    <w:rsid w:val="00B5385B"/>
    <w:rsid w:val="00B53B63"/>
    <w:rsid w:val="00B53D8D"/>
    <w:rsid w:val="00B53FF4"/>
    <w:rsid w:val="00B54100"/>
    <w:rsid w:val="00B545C4"/>
    <w:rsid w:val="00B54685"/>
    <w:rsid w:val="00B54F4F"/>
    <w:rsid w:val="00B552DD"/>
    <w:rsid w:val="00B5538E"/>
    <w:rsid w:val="00B55709"/>
    <w:rsid w:val="00B55D70"/>
    <w:rsid w:val="00B55F3D"/>
    <w:rsid w:val="00B56217"/>
    <w:rsid w:val="00B564AE"/>
    <w:rsid w:val="00B564D1"/>
    <w:rsid w:val="00B5653B"/>
    <w:rsid w:val="00B570A0"/>
    <w:rsid w:val="00B571BF"/>
    <w:rsid w:val="00B57367"/>
    <w:rsid w:val="00B600CF"/>
    <w:rsid w:val="00B60709"/>
    <w:rsid w:val="00B61400"/>
    <w:rsid w:val="00B61B78"/>
    <w:rsid w:val="00B62075"/>
    <w:rsid w:val="00B62342"/>
    <w:rsid w:val="00B624E1"/>
    <w:rsid w:val="00B62853"/>
    <w:rsid w:val="00B62A9E"/>
    <w:rsid w:val="00B62DA1"/>
    <w:rsid w:val="00B635B2"/>
    <w:rsid w:val="00B64130"/>
    <w:rsid w:val="00B646A0"/>
    <w:rsid w:val="00B64F6C"/>
    <w:rsid w:val="00B6571A"/>
    <w:rsid w:val="00B65A27"/>
    <w:rsid w:val="00B666E8"/>
    <w:rsid w:val="00B6699F"/>
    <w:rsid w:val="00B66B21"/>
    <w:rsid w:val="00B66D14"/>
    <w:rsid w:val="00B66F61"/>
    <w:rsid w:val="00B6736E"/>
    <w:rsid w:val="00B676E4"/>
    <w:rsid w:val="00B67766"/>
    <w:rsid w:val="00B67A1E"/>
    <w:rsid w:val="00B67F0C"/>
    <w:rsid w:val="00B70F6D"/>
    <w:rsid w:val="00B71128"/>
    <w:rsid w:val="00B71381"/>
    <w:rsid w:val="00B7141B"/>
    <w:rsid w:val="00B71809"/>
    <w:rsid w:val="00B71A8D"/>
    <w:rsid w:val="00B72399"/>
    <w:rsid w:val="00B724A6"/>
    <w:rsid w:val="00B72C0F"/>
    <w:rsid w:val="00B72D0E"/>
    <w:rsid w:val="00B73981"/>
    <w:rsid w:val="00B739E1"/>
    <w:rsid w:val="00B739F6"/>
    <w:rsid w:val="00B73AAE"/>
    <w:rsid w:val="00B73C55"/>
    <w:rsid w:val="00B73D7B"/>
    <w:rsid w:val="00B740FC"/>
    <w:rsid w:val="00B74127"/>
    <w:rsid w:val="00B741BB"/>
    <w:rsid w:val="00B7449F"/>
    <w:rsid w:val="00B74B8E"/>
    <w:rsid w:val="00B74C05"/>
    <w:rsid w:val="00B74E87"/>
    <w:rsid w:val="00B74EDC"/>
    <w:rsid w:val="00B75175"/>
    <w:rsid w:val="00B751FE"/>
    <w:rsid w:val="00B752B5"/>
    <w:rsid w:val="00B7569C"/>
    <w:rsid w:val="00B75DA1"/>
    <w:rsid w:val="00B76155"/>
    <w:rsid w:val="00B7616D"/>
    <w:rsid w:val="00B76217"/>
    <w:rsid w:val="00B77A5A"/>
    <w:rsid w:val="00B77A6E"/>
    <w:rsid w:val="00B77B97"/>
    <w:rsid w:val="00B805DD"/>
    <w:rsid w:val="00B805ED"/>
    <w:rsid w:val="00B80802"/>
    <w:rsid w:val="00B80ABB"/>
    <w:rsid w:val="00B80C4C"/>
    <w:rsid w:val="00B80E7B"/>
    <w:rsid w:val="00B8131D"/>
    <w:rsid w:val="00B813E0"/>
    <w:rsid w:val="00B8155C"/>
    <w:rsid w:val="00B81B5C"/>
    <w:rsid w:val="00B823B5"/>
    <w:rsid w:val="00B8255E"/>
    <w:rsid w:val="00B826A9"/>
    <w:rsid w:val="00B8287A"/>
    <w:rsid w:val="00B82B6C"/>
    <w:rsid w:val="00B82DFC"/>
    <w:rsid w:val="00B8355A"/>
    <w:rsid w:val="00B83A32"/>
    <w:rsid w:val="00B83EB0"/>
    <w:rsid w:val="00B83ED1"/>
    <w:rsid w:val="00B84092"/>
    <w:rsid w:val="00B8449D"/>
    <w:rsid w:val="00B848B2"/>
    <w:rsid w:val="00B84FA8"/>
    <w:rsid w:val="00B852A8"/>
    <w:rsid w:val="00B852D1"/>
    <w:rsid w:val="00B85334"/>
    <w:rsid w:val="00B857C6"/>
    <w:rsid w:val="00B85C62"/>
    <w:rsid w:val="00B85CB9"/>
    <w:rsid w:val="00B861AE"/>
    <w:rsid w:val="00B8623B"/>
    <w:rsid w:val="00B86861"/>
    <w:rsid w:val="00B86AD0"/>
    <w:rsid w:val="00B86AEC"/>
    <w:rsid w:val="00B86BA2"/>
    <w:rsid w:val="00B871C8"/>
    <w:rsid w:val="00B87BB7"/>
    <w:rsid w:val="00B90086"/>
    <w:rsid w:val="00B903D9"/>
    <w:rsid w:val="00B9175D"/>
    <w:rsid w:val="00B917CD"/>
    <w:rsid w:val="00B91AA2"/>
    <w:rsid w:val="00B91B37"/>
    <w:rsid w:val="00B91C67"/>
    <w:rsid w:val="00B91D0D"/>
    <w:rsid w:val="00B91D99"/>
    <w:rsid w:val="00B91EAE"/>
    <w:rsid w:val="00B91F1C"/>
    <w:rsid w:val="00B91FB2"/>
    <w:rsid w:val="00B92B7A"/>
    <w:rsid w:val="00B92F06"/>
    <w:rsid w:val="00B93736"/>
    <w:rsid w:val="00B93941"/>
    <w:rsid w:val="00B93ADB"/>
    <w:rsid w:val="00B93E26"/>
    <w:rsid w:val="00B941D0"/>
    <w:rsid w:val="00B942B4"/>
    <w:rsid w:val="00B94644"/>
    <w:rsid w:val="00B94803"/>
    <w:rsid w:val="00B9491C"/>
    <w:rsid w:val="00B94CB0"/>
    <w:rsid w:val="00B95E2C"/>
    <w:rsid w:val="00B9607E"/>
    <w:rsid w:val="00B9644A"/>
    <w:rsid w:val="00B9664A"/>
    <w:rsid w:val="00B96742"/>
    <w:rsid w:val="00B96D71"/>
    <w:rsid w:val="00B96E16"/>
    <w:rsid w:val="00B975BD"/>
    <w:rsid w:val="00B97E9F"/>
    <w:rsid w:val="00B97FDB"/>
    <w:rsid w:val="00BA0507"/>
    <w:rsid w:val="00BA0CDB"/>
    <w:rsid w:val="00BA0EF5"/>
    <w:rsid w:val="00BA12DC"/>
    <w:rsid w:val="00BA13FF"/>
    <w:rsid w:val="00BA15F1"/>
    <w:rsid w:val="00BA1BE6"/>
    <w:rsid w:val="00BA1FDA"/>
    <w:rsid w:val="00BA2787"/>
    <w:rsid w:val="00BA27CE"/>
    <w:rsid w:val="00BA27D0"/>
    <w:rsid w:val="00BA2C9D"/>
    <w:rsid w:val="00BA2F61"/>
    <w:rsid w:val="00BA2F7F"/>
    <w:rsid w:val="00BA3004"/>
    <w:rsid w:val="00BA3155"/>
    <w:rsid w:val="00BA34C5"/>
    <w:rsid w:val="00BA36F5"/>
    <w:rsid w:val="00BA39BF"/>
    <w:rsid w:val="00BA3A20"/>
    <w:rsid w:val="00BA3A32"/>
    <w:rsid w:val="00BA3A37"/>
    <w:rsid w:val="00BA3E6A"/>
    <w:rsid w:val="00BA3E7C"/>
    <w:rsid w:val="00BA3EF2"/>
    <w:rsid w:val="00BA441F"/>
    <w:rsid w:val="00BA55FF"/>
    <w:rsid w:val="00BA5825"/>
    <w:rsid w:val="00BA5D4C"/>
    <w:rsid w:val="00BA5D98"/>
    <w:rsid w:val="00BA673E"/>
    <w:rsid w:val="00BA6BB9"/>
    <w:rsid w:val="00BA6C5C"/>
    <w:rsid w:val="00BA6CBD"/>
    <w:rsid w:val="00BA704C"/>
    <w:rsid w:val="00BA72CD"/>
    <w:rsid w:val="00BA78A7"/>
    <w:rsid w:val="00BA7CFF"/>
    <w:rsid w:val="00BA7F07"/>
    <w:rsid w:val="00BA7FE2"/>
    <w:rsid w:val="00BB01D7"/>
    <w:rsid w:val="00BB031A"/>
    <w:rsid w:val="00BB044E"/>
    <w:rsid w:val="00BB0741"/>
    <w:rsid w:val="00BB0DF9"/>
    <w:rsid w:val="00BB0E02"/>
    <w:rsid w:val="00BB0E1A"/>
    <w:rsid w:val="00BB15CC"/>
    <w:rsid w:val="00BB1667"/>
    <w:rsid w:val="00BB20AB"/>
    <w:rsid w:val="00BB228E"/>
    <w:rsid w:val="00BB22E5"/>
    <w:rsid w:val="00BB233E"/>
    <w:rsid w:val="00BB2615"/>
    <w:rsid w:val="00BB2870"/>
    <w:rsid w:val="00BB2970"/>
    <w:rsid w:val="00BB2F46"/>
    <w:rsid w:val="00BB3321"/>
    <w:rsid w:val="00BB34DA"/>
    <w:rsid w:val="00BB35B0"/>
    <w:rsid w:val="00BB3DE0"/>
    <w:rsid w:val="00BB3E87"/>
    <w:rsid w:val="00BB403F"/>
    <w:rsid w:val="00BB4118"/>
    <w:rsid w:val="00BB4529"/>
    <w:rsid w:val="00BB52B3"/>
    <w:rsid w:val="00BB5365"/>
    <w:rsid w:val="00BB546E"/>
    <w:rsid w:val="00BB54B1"/>
    <w:rsid w:val="00BB551D"/>
    <w:rsid w:val="00BB5857"/>
    <w:rsid w:val="00BB5CCD"/>
    <w:rsid w:val="00BB5DEC"/>
    <w:rsid w:val="00BB6017"/>
    <w:rsid w:val="00BB6A0C"/>
    <w:rsid w:val="00BB6A43"/>
    <w:rsid w:val="00BB6B12"/>
    <w:rsid w:val="00BB6CD8"/>
    <w:rsid w:val="00BB6E3C"/>
    <w:rsid w:val="00BB70D3"/>
    <w:rsid w:val="00BB71BA"/>
    <w:rsid w:val="00BB74B3"/>
    <w:rsid w:val="00BB75BD"/>
    <w:rsid w:val="00BB7875"/>
    <w:rsid w:val="00BB79DC"/>
    <w:rsid w:val="00BB7A44"/>
    <w:rsid w:val="00BC0121"/>
    <w:rsid w:val="00BC094C"/>
    <w:rsid w:val="00BC0B86"/>
    <w:rsid w:val="00BC1613"/>
    <w:rsid w:val="00BC1A84"/>
    <w:rsid w:val="00BC1FDB"/>
    <w:rsid w:val="00BC208A"/>
    <w:rsid w:val="00BC2131"/>
    <w:rsid w:val="00BC235D"/>
    <w:rsid w:val="00BC3057"/>
    <w:rsid w:val="00BC3349"/>
    <w:rsid w:val="00BC354A"/>
    <w:rsid w:val="00BC37D9"/>
    <w:rsid w:val="00BC380A"/>
    <w:rsid w:val="00BC39A6"/>
    <w:rsid w:val="00BC3D4C"/>
    <w:rsid w:val="00BC3DE0"/>
    <w:rsid w:val="00BC3F77"/>
    <w:rsid w:val="00BC4626"/>
    <w:rsid w:val="00BC4A7A"/>
    <w:rsid w:val="00BC5110"/>
    <w:rsid w:val="00BC546E"/>
    <w:rsid w:val="00BC54C6"/>
    <w:rsid w:val="00BC5879"/>
    <w:rsid w:val="00BC59CF"/>
    <w:rsid w:val="00BC59F2"/>
    <w:rsid w:val="00BC5DB0"/>
    <w:rsid w:val="00BC5E27"/>
    <w:rsid w:val="00BC5EC1"/>
    <w:rsid w:val="00BC652F"/>
    <w:rsid w:val="00BC6C18"/>
    <w:rsid w:val="00BC74A9"/>
    <w:rsid w:val="00BC7644"/>
    <w:rsid w:val="00BC788D"/>
    <w:rsid w:val="00BD019B"/>
    <w:rsid w:val="00BD0591"/>
    <w:rsid w:val="00BD079E"/>
    <w:rsid w:val="00BD1559"/>
    <w:rsid w:val="00BD1AD7"/>
    <w:rsid w:val="00BD1EE4"/>
    <w:rsid w:val="00BD2B47"/>
    <w:rsid w:val="00BD2E2E"/>
    <w:rsid w:val="00BD34DB"/>
    <w:rsid w:val="00BD354A"/>
    <w:rsid w:val="00BD35FC"/>
    <w:rsid w:val="00BD3F68"/>
    <w:rsid w:val="00BD47E5"/>
    <w:rsid w:val="00BD4BF0"/>
    <w:rsid w:val="00BD4C4E"/>
    <w:rsid w:val="00BD51CA"/>
    <w:rsid w:val="00BD550B"/>
    <w:rsid w:val="00BD5769"/>
    <w:rsid w:val="00BD57F0"/>
    <w:rsid w:val="00BD59AE"/>
    <w:rsid w:val="00BD5C2D"/>
    <w:rsid w:val="00BD5CC3"/>
    <w:rsid w:val="00BD5DF9"/>
    <w:rsid w:val="00BD6246"/>
    <w:rsid w:val="00BD6367"/>
    <w:rsid w:val="00BD636A"/>
    <w:rsid w:val="00BD6A85"/>
    <w:rsid w:val="00BD6F5E"/>
    <w:rsid w:val="00BD6F61"/>
    <w:rsid w:val="00BD7593"/>
    <w:rsid w:val="00BD7A96"/>
    <w:rsid w:val="00BD7FC8"/>
    <w:rsid w:val="00BD7FFA"/>
    <w:rsid w:val="00BE0248"/>
    <w:rsid w:val="00BE095C"/>
    <w:rsid w:val="00BE0C02"/>
    <w:rsid w:val="00BE0ED0"/>
    <w:rsid w:val="00BE1144"/>
    <w:rsid w:val="00BE1570"/>
    <w:rsid w:val="00BE1922"/>
    <w:rsid w:val="00BE1B0F"/>
    <w:rsid w:val="00BE1F9E"/>
    <w:rsid w:val="00BE2879"/>
    <w:rsid w:val="00BE29F9"/>
    <w:rsid w:val="00BE3098"/>
    <w:rsid w:val="00BE316C"/>
    <w:rsid w:val="00BE3A6A"/>
    <w:rsid w:val="00BE3F0B"/>
    <w:rsid w:val="00BE41E4"/>
    <w:rsid w:val="00BE4874"/>
    <w:rsid w:val="00BE4938"/>
    <w:rsid w:val="00BE4C10"/>
    <w:rsid w:val="00BE4C59"/>
    <w:rsid w:val="00BE50AA"/>
    <w:rsid w:val="00BE5122"/>
    <w:rsid w:val="00BE544C"/>
    <w:rsid w:val="00BE58DA"/>
    <w:rsid w:val="00BE5D14"/>
    <w:rsid w:val="00BE642F"/>
    <w:rsid w:val="00BE64CF"/>
    <w:rsid w:val="00BE677B"/>
    <w:rsid w:val="00BE69BF"/>
    <w:rsid w:val="00BE6DB9"/>
    <w:rsid w:val="00BE6F65"/>
    <w:rsid w:val="00BE7CB1"/>
    <w:rsid w:val="00BE7D3F"/>
    <w:rsid w:val="00BE7F08"/>
    <w:rsid w:val="00BF01BF"/>
    <w:rsid w:val="00BF0240"/>
    <w:rsid w:val="00BF05DF"/>
    <w:rsid w:val="00BF09D5"/>
    <w:rsid w:val="00BF0AD8"/>
    <w:rsid w:val="00BF0DC9"/>
    <w:rsid w:val="00BF0F87"/>
    <w:rsid w:val="00BF0FDE"/>
    <w:rsid w:val="00BF116C"/>
    <w:rsid w:val="00BF1403"/>
    <w:rsid w:val="00BF1CF0"/>
    <w:rsid w:val="00BF2126"/>
    <w:rsid w:val="00BF2398"/>
    <w:rsid w:val="00BF2599"/>
    <w:rsid w:val="00BF264B"/>
    <w:rsid w:val="00BF27DC"/>
    <w:rsid w:val="00BF28C4"/>
    <w:rsid w:val="00BF29C2"/>
    <w:rsid w:val="00BF31CB"/>
    <w:rsid w:val="00BF31E2"/>
    <w:rsid w:val="00BF3603"/>
    <w:rsid w:val="00BF360E"/>
    <w:rsid w:val="00BF3C58"/>
    <w:rsid w:val="00BF3E4D"/>
    <w:rsid w:val="00BF4B7C"/>
    <w:rsid w:val="00BF4F49"/>
    <w:rsid w:val="00BF5262"/>
    <w:rsid w:val="00BF561D"/>
    <w:rsid w:val="00BF57F8"/>
    <w:rsid w:val="00BF5877"/>
    <w:rsid w:val="00BF6298"/>
    <w:rsid w:val="00BF6367"/>
    <w:rsid w:val="00BF6422"/>
    <w:rsid w:val="00BF642B"/>
    <w:rsid w:val="00BF6526"/>
    <w:rsid w:val="00BF6615"/>
    <w:rsid w:val="00BF6BDA"/>
    <w:rsid w:val="00BF7367"/>
    <w:rsid w:val="00BF7652"/>
    <w:rsid w:val="00BF7676"/>
    <w:rsid w:val="00BF7AE8"/>
    <w:rsid w:val="00BF7D87"/>
    <w:rsid w:val="00BF7F46"/>
    <w:rsid w:val="00C0004C"/>
    <w:rsid w:val="00C002B2"/>
    <w:rsid w:val="00C004EC"/>
    <w:rsid w:val="00C00658"/>
    <w:rsid w:val="00C00712"/>
    <w:rsid w:val="00C009E2"/>
    <w:rsid w:val="00C01A48"/>
    <w:rsid w:val="00C01CCD"/>
    <w:rsid w:val="00C01F42"/>
    <w:rsid w:val="00C026B1"/>
    <w:rsid w:val="00C027F6"/>
    <w:rsid w:val="00C02A1D"/>
    <w:rsid w:val="00C02D7A"/>
    <w:rsid w:val="00C034A2"/>
    <w:rsid w:val="00C035DD"/>
    <w:rsid w:val="00C03A29"/>
    <w:rsid w:val="00C03DDF"/>
    <w:rsid w:val="00C04610"/>
    <w:rsid w:val="00C049A1"/>
    <w:rsid w:val="00C04C15"/>
    <w:rsid w:val="00C04C74"/>
    <w:rsid w:val="00C05089"/>
    <w:rsid w:val="00C051BF"/>
    <w:rsid w:val="00C0535C"/>
    <w:rsid w:val="00C058F6"/>
    <w:rsid w:val="00C05B9C"/>
    <w:rsid w:val="00C05C38"/>
    <w:rsid w:val="00C05D1E"/>
    <w:rsid w:val="00C05E99"/>
    <w:rsid w:val="00C06317"/>
    <w:rsid w:val="00C069FE"/>
    <w:rsid w:val="00C06DB6"/>
    <w:rsid w:val="00C0721A"/>
    <w:rsid w:val="00C07C2F"/>
    <w:rsid w:val="00C07D00"/>
    <w:rsid w:val="00C10263"/>
    <w:rsid w:val="00C110F8"/>
    <w:rsid w:val="00C11266"/>
    <w:rsid w:val="00C11708"/>
    <w:rsid w:val="00C11961"/>
    <w:rsid w:val="00C11B0D"/>
    <w:rsid w:val="00C11B79"/>
    <w:rsid w:val="00C11FC7"/>
    <w:rsid w:val="00C123FF"/>
    <w:rsid w:val="00C12680"/>
    <w:rsid w:val="00C13169"/>
    <w:rsid w:val="00C132A3"/>
    <w:rsid w:val="00C133CB"/>
    <w:rsid w:val="00C136D9"/>
    <w:rsid w:val="00C13D56"/>
    <w:rsid w:val="00C14147"/>
    <w:rsid w:val="00C1439D"/>
    <w:rsid w:val="00C144CC"/>
    <w:rsid w:val="00C144DC"/>
    <w:rsid w:val="00C147E8"/>
    <w:rsid w:val="00C14882"/>
    <w:rsid w:val="00C14D3E"/>
    <w:rsid w:val="00C14E5F"/>
    <w:rsid w:val="00C14FB4"/>
    <w:rsid w:val="00C1500F"/>
    <w:rsid w:val="00C15127"/>
    <w:rsid w:val="00C1579F"/>
    <w:rsid w:val="00C15BB0"/>
    <w:rsid w:val="00C15CAE"/>
    <w:rsid w:val="00C15F72"/>
    <w:rsid w:val="00C15F98"/>
    <w:rsid w:val="00C16BDC"/>
    <w:rsid w:val="00C16F2D"/>
    <w:rsid w:val="00C170D5"/>
    <w:rsid w:val="00C17237"/>
    <w:rsid w:val="00C17643"/>
    <w:rsid w:val="00C17EB5"/>
    <w:rsid w:val="00C17F3C"/>
    <w:rsid w:val="00C200B7"/>
    <w:rsid w:val="00C20615"/>
    <w:rsid w:val="00C2088D"/>
    <w:rsid w:val="00C20FC2"/>
    <w:rsid w:val="00C214FF"/>
    <w:rsid w:val="00C2222A"/>
    <w:rsid w:val="00C224EB"/>
    <w:rsid w:val="00C22918"/>
    <w:rsid w:val="00C2293E"/>
    <w:rsid w:val="00C2298D"/>
    <w:rsid w:val="00C22A9F"/>
    <w:rsid w:val="00C230A4"/>
    <w:rsid w:val="00C23841"/>
    <w:rsid w:val="00C239A9"/>
    <w:rsid w:val="00C23AE9"/>
    <w:rsid w:val="00C23B90"/>
    <w:rsid w:val="00C23FA3"/>
    <w:rsid w:val="00C24208"/>
    <w:rsid w:val="00C24983"/>
    <w:rsid w:val="00C24B2C"/>
    <w:rsid w:val="00C25B6A"/>
    <w:rsid w:val="00C25CB3"/>
    <w:rsid w:val="00C25FFF"/>
    <w:rsid w:val="00C26773"/>
    <w:rsid w:val="00C2686A"/>
    <w:rsid w:val="00C26B11"/>
    <w:rsid w:val="00C26CA0"/>
    <w:rsid w:val="00C26FFB"/>
    <w:rsid w:val="00C27346"/>
    <w:rsid w:val="00C2770C"/>
    <w:rsid w:val="00C27C44"/>
    <w:rsid w:val="00C27FA3"/>
    <w:rsid w:val="00C301BF"/>
    <w:rsid w:val="00C30234"/>
    <w:rsid w:val="00C30AAD"/>
    <w:rsid w:val="00C30FBD"/>
    <w:rsid w:val="00C315FF"/>
    <w:rsid w:val="00C31676"/>
    <w:rsid w:val="00C31685"/>
    <w:rsid w:val="00C319DF"/>
    <w:rsid w:val="00C31BF8"/>
    <w:rsid w:val="00C3229C"/>
    <w:rsid w:val="00C325D8"/>
    <w:rsid w:val="00C3270A"/>
    <w:rsid w:val="00C32D07"/>
    <w:rsid w:val="00C32EE7"/>
    <w:rsid w:val="00C336F3"/>
    <w:rsid w:val="00C33F4D"/>
    <w:rsid w:val="00C33F7B"/>
    <w:rsid w:val="00C3402F"/>
    <w:rsid w:val="00C3405B"/>
    <w:rsid w:val="00C34250"/>
    <w:rsid w:val="00C342D5"/>
    <w:rsid w:val="00C343EE"/>
    <w:rsid w:val="00C3442B"/>
    <w:rsid w:val="00C34A93"/>
    <w:rsid w:val="00C35F3F"/>
    <w:rsid w:val="00C3655F"/>
    <w:rsid w:val="00C36583"/>
    <w:rsid w:val="00C36737"/>
    <w:rsid w:val="00C368D3"/>
    <w:rsid w:val="00C369FD"/>
    <w:rsid w:val="00C36A66"/>
    <w:rsid w:val="00C36A67"/>
    <w:rsid w:val="00C36B4A"/>
    <w:rsid w:val="00C36EB6"/>
    <w:rsid w:val="00C36FCB"/>
    <w:rsid w:val="00C37BA8"/>
    <w:rsid w:val="00C37E30"/>
    <w:rsid w:val="00C40170"/>
    <w:rsid w:val="00C4065F"/>
    <w:rsid w:val="00C406D1"/>
    <w:rsid w:val="00C40727"/>
    <w:rsid w:val="00C40B2D"/>
    <w:rsid w:val="00C41484"/>
    <w:rsid w:val="00C41628"/>
    <w:rsid w:val="00C41996"/>
    <w:rsid w:val="00C41A19"/>
    <w:rsid w:val="00C41F63"/>
    <w:rsid w:val="00C42127"/>
    <w:rsid w:val="00C42260"/>
    <w:rsid w:val="00C42BA6"/>
    <w:rsid w:val="00C42D10"/>
    <w:rsid w:val="00C42D22"/>
    <w:rsid w:val="00C42DBA"/>
    <w:rsid w:val="00C42EB7"/>
    <w:rsid w:val="00C43254"/>
    <w:rsid w:val="00C437BC"/>
    <w:rsid w:val="00C439F9"/>
    <w:rsid w:val="00C446F9"/>
    <w:rsid w:val="00C44C66"/>
    <w:rsid w:val="00C45517"/>
    <w:rsid w:val="00C45563"/>
    <w:rsid w:val="00C45A41"/>
    <w:rsid w:val="00C45AD8"/>
    <w:rsid w:val="00C45B3D"/>
    <w:rsid w:val="00C45B47"/>
    <w:rsid w:val="00C45CB2"/>
    <w:rsid w:val="00C45CD1"/>
    <w:rsid w:val="00C462CA"/>
    <w:rsid w:val="00C465F4"/>
    <w:rsid w:val="00C466BD"/>
    <w:rsid w:val="00C46705"/>
    <w:rsid w:val="00C468A9"/>
    <w:rsid w:val="00C46A12"/>
    <w:rsid w:val="00C46D3C"/>
    <w:rsid w:val="00C47153"/>
    <w:rsid w:val="00C4745F"/>
    <w:rsid w:val="00C47D7C"/>
    <w:rsid w:val="00C5024F"/>
    <w:rsid w:val="00C50D9E"/>
    <w:rsid w:val="00C513E3"/>
    <w:rsid w:val="00C518D6"/>
    <w:rsid w:val="00C519F1"/>
    <w:rsid w:val="00C51D69"/>
    <w:rsid w:val="00C51DBA"/>
    <w:rsid w:val="00C51E2F"/>
    <w:rsid w:val="00C51F30"/>
    <w:rsid w:val="00C524B5"/>
    <w:rsid w:val="00C52827"/>
    <w:rsid w:val="00C529C3"/>
    <w:rsid w:val="00C52D9E"/>
    <w:rsid w:val="00C52F59"/>
    <w:rsid w:val="00C53BE4"/>
    <w:rsid w:val="00C53D18"/>
    <w:rsid w:val="00C54315"/>
    <w:rsid w:val="00C543D5"/>
    <w:rsid w:val="00C5441E"/>
    <w:rsid w:val="00C546CF"/>
    <w:rsid w:val="00C54A84"/>
    <w:rsid w:val="00C54F68"/>
    <w:rsid w:val="00C55164"/>
    <w:rsid w:val="00C55359"/>
    <w:rsid w:val="00C553B9"/>
    <w:rsid w:val="00C553E4"/>
    <w:rsid w:val="00C56CCC"/>
    <w:rsid w:val="00C56DA2"/>
    <w:rsid w:val="00C5720A"/>
    <w:rsid w:val="00C57CE8"/>
    <w:rsid w:val="00C57DC6"/>
    <w:rsid w:val="00C57E61"/>
    <w:rsid w:val="00C60872"/>
    <w:rsid w:val="00C60E66"/>
    <w:rsid w:val="00C612B2"/>
    <w:rsid w:val="00C614BD"/>
    <w:rsid w:val="00C614F6"/>
    <w:rsid w:val="00C61743"/>
    <w:rsid w:val="00C61B73"/>
    <w:rsid w:val="00C61F91"/>
    <w:rsid w:val="00C62545"/>
    <w:rsid w:val="00C62592"/>
    <w:rsid w:val="00C62927"/>
    <w:rsid w:val="00C62D21"/>
    <w:rsid w:val="00C62F11"/>
    <w:rsid w:val="00C633CB"/>
    <w:rsid w:val="00C63636"/>
    <w:rsid w:val="00C63799"/>
    <w:rsid w:val="00C63AE7"/>
    <w:rsid w:val="00C63B63"/>
    <w:rsid w:val="00C63E82"/>
    <w:rsid w:val="00C640A2"/>
    <w:rsid w:val="00C64225"/>
    <w:rsid w:val="00C64236"/>
    <w:rsid w:val="00C6484D"/>
    <w:rsid w:val="00C64858"/>
    <w:rsid w:val="00C64BFE"/>
    <w:rsid w:val="00C65138"/>
    <w:rsid w:val="00C6516B"/>
    <w:rsid w:val="00C65284"/>
    <w:rsid w:val="00C65737"/>
    <w:rsid w:val="00C657BD"/>
    <w:rsid w:val="00C65BCC"/>
    <w:rsid w:val="00C6600F"/>
    <w:rsid w:val="00C662B9"/>
    <w:rsid w:val="00C6658C"/>
    <w:rsid w:val="00C66688"/>
    <w:rsid w:val="00C66B18"/>
    <w:rsid w:val="00C66D0E"/>
    <w:rsid w:val="00C66E17"/>
    <w:rsid w:val="00C66FC8"/>
    <w:rsid w:val="00C67B8D"/>
    <w:rsid w:val="00C67D09"/>
    <w:rsid w:val="00C67D0D"/>
    <w:rsid w:val="00C67F65"/>
    <w:rsid w:val="00C70B95"/>
    <w:rsid w:val="00C71046"/>
    <w:rsid w:val="00C71192"/>
    <w:rsid w:val="00C714A1"/>
    <w:rsid w:val="00C71B36"/>
    <w:rsid w:val="00C728AF"/>
    <w:rsid w:val="00C72E2C"/>
    <w:rsid w:val="00C72F3E"/>
    <w:rsid w:val="00C7300F"/>
    <w:rsid w:val="00C731F6"/>
    <w:rsid w:val="00C73292"/>
    <w:rsid w:val="00C732E8"/>
    <w:rsid w:val="00C73702"/>
    <w:rsid w:val="00C737BA"/>
    <w:rsid w:val="00C74396"/>
    <w:rsid w:val="00C74451"/>
    <w:rsid w:val="00C74525"/>
    <w:rsid w:val="00C74CE4"/>
    <w:rsid w:val="00C74D5B"/>
    <w:rsid w:val="00C74F4A"/>
    <w:rsid w:val="00C75170"/>
    <w:rsid w:val="00C75614"/>
    <w:rsid w:val="00C75BE5"/>
    <w:rsid w:val="00C75F81"/>
    <w:rsid w:val="00C76125"/>
    <w:rsid w:val="00C763F8"/>
    <w:rsid w:val="00C76D5B"/>
    <w:rsid w:val="00C774AF"/>
    <w:rsid w:val="00C77684"/>
    <w:rsid w:val="00C77BA4"/>
    <w:rsid w:val="00C77C41"/>
    <w:rsid w:val="00C807A1"/>
    <w:rsid w:val="00C80A35"/>
    <w:rsid w:val="00C8133A"/>
    <w:rsid w:val="00C81751"/>
    <w:rsid w:val="00C818BA"/>
    <w:rsid w:val="00C81BED"/>
    <w:rsid w:val="00C8208D"/>
    <w:rsid w:val="00C820AA"/>
    <w:rsid w:val="00C820ED"/>
    <w:rsid w:val="00C8247E"/>
    <w:rsid w:val="00C82603"/>
    <w:rsid w:val="00C8262B"/>
    <w:rsid w:val="00C826CC"/>
    <w:rsid w:val="00C82A31"/>
    <w:rsid w:val="00C82ABB"/>
    <w:rsid w:val="00C82B56"/>
    <w:rsid w:val="00C82F22"/>
    <w:rsid w:val="00C82FC9"/>
    <w:rsid w:val="00C830C0"/>
    <w:rsid w:val="00C83478"/>
    <w:rsid w:val="00C83CB0"/>
    <w:rsid w:val="00C83F1A"/>
    <w:rsid w:val="00C84895"/>
    <w:rsid w:val="00C84D3A"/>
    <w:rsid w:val="00C8500E"/>
    <w:rsid w:val="00C8501E"/>
    <w:rsid w:val="00C851C8"/>
    <w:rsid w:val="00C853AC"/>
    <w:rsid w:val="00C85429"/>
    <w:rsid w:val="00C8580E"/>
    <w:rsid w:val="00C85C85"/>
    <w:rsid w:val="00C85FD4"/>
    <w:rsid w:val="00C864CF"/>
    <w:rsid w:val="00C87243"/>
    <w:rsid w:val="00C872C4"/>
    <w:rsid w:val="00C87356"/>
    <w:rsid w:val="00C87747"/>
    <w:rsid w:val="00C8786F"/>
    <w:rsid w:val="00C87EA3"/>
    <w:rsid w:val="00C87F22"/>
    <w:rsid w:val="00C902BA"/>
    <w:rsid w:val="00C90387"/>
    <w:rsid w:val="00C9040E"/>
    <w:rsid w:val="00C904CB"/>
    <w:rsid w:val="00C9070C"/>
    <w:rsid w:val="00C90785"/>
    <w:rsid w:val="00C9126A"/>
    <w:rsid w:val="00C91332"/>
    <w:rsid w:val="00C914CF"/>
    <w:rsid w:val="00C91C62"/>
    <w:rsid w:val="00C91CB5"/>
    <w:rsid w:val="00C91FDD"/>
    <w:rsid w:val="00C922C0"/>
    <w:rsid w:val="00C92833"/>
    <w:rsid w:val="00C92C17"/>
    <w:rsid w:val="00C92FAD"/>
    <w:rsid w:val="00C93164"/>
    <w:rsid w:val="00C935A5"/>
    <w:rsid w:val="00C93703"/>
    <w:rsid w:val="00C9375A"/>
    <w:rsid w:val="00C93C47"/>
    <w:rsid w:val="00C93D8C"/>
    <w:rsid w:val="00C93DAB"/>
    <w:rsid w:val="00C9407B"/>
    <w:rsid w:val="00C941E5"/>
    <w:rsid w:val="00C9473F"/>
    <w:rsid w:val="00C94D18"/>
    <w:rsid w:val="00C94E7A"/>
    <w:rsid w:val="00C954E5"/>
    <w:rsid w:val="00C95A98"/>
    <w:rsid w:val="00C9604D"/>
    <w:rsid w:val="00C96199"/>
    <w:rsid w:val="00C965C3"/>
    <w:rsid w:val="00C96645"/>
    <w:rsid w:val="00C96C16"/>
    <w:rsid w:val="00C96EE5"/>
    <w:rsid w:val="00C97629"/>
    <w:rsid w:val="00C97682"/>
    <w:rsid w:val="00C97C5C"/>
    <w:rsid w:val="00CA03F2"/>
    <w:rsid w:val="00CA04E8"/>
    <w:rsid w:val="00CA0529"/>
    <w:rsid w:val="00CA0FEF"/>
    <w:rsid w:val="00CA1054"/>
    <w:rsid w:val="00CA105F"/>
    <w:rsid w:val="00CA142D"/>
    <w:rsid w:val="00CA1514"/>
    <w:rsid w:val="00CA17F0"/>
    <w:rsid w:val="00CA1891"/>
    <w:rsid w:val="00CA1906"/>
    <w:rsid w:val="00CA1A46"/>
    <w:rsid w:val="00CA1A95"/>
    <w:rsid w:val="00CA1BB8"/>
    <w:rsid w:val="00CA1D45"/>
    <w:rsid w:val="00CA1E14"/>
    <w:rsid w:val="00CA1E5E"/>
    <w:rsid w:val="00CA1FC8"/>
    <w:rsid w:val="00CA2717"/>
    <w:rsid w:val="00CA2A39"/>
    <w:rsid w:val="00CA2A7B"/>
    <w:rsid w:val="00CA2D7B"/>
    <w:rsid w:val="00CA3631"/>
    <w:rsid w:val="00CA365E"/>
    <w:rsid w:val="00CA372B"/>
    <w:rsid w:val="00CA3946"/>
    <w:rsid w:val="00CA4604"/>
    <w:rsid w:val="00CA4C24"/>
    <w:rsid w:val="00CA5610"/>
    <w:rsid w:val="00CA57E3"/>
    <w:rsid w:val="00CA5A25"/>
    <w:rsid w:val="00CA5C04"/>
    <w:rsid w:val="00CA5CD6"/>
    <w:rsid w:val="00CA62B7"/>
    <w:rsid w:val="00CA648E"/>
    <w:rsid w:val="00CA650A"/>
    <w:rsid w:val="00CA6859"/>
    <w:rsid w:val="00CA6BDF"/>
    <w:rsid w:val="00CA6DD5"/>
    <w:rsid w:val="00CA6EF3"/>
    <w:rsid w:val="00CA6EFD"/>
    <w:rsid w:val="00CA77F4"/>
    <w:rsid w:val="00CA7DAD"/>
    <w:rsid w:val="00CA7E75"/>
    <w:rsid w:val="00CB0A9D"/>
    <w:rsid w:val="00CB0C5C"/>
    <w:rsid w:val="00CB12AD"/>
    <w:rsid w:val="00CB18A6"/>
    <w:rsid w:val="00CB1AFE"/>
    <w:rsid w:val="00CB1B75"/>
    <w:rsid w:val="00CB1C71"/>
    <w:rsid w:val="00CB1D1C"/>
    <w:rsid w:val="00CB2733"/>
    <w:rsid w:val="00CB2826"/>
    <w:rsid w:val="00CB28A6"/>
    <w:rsid w:val="00CB28C4"/>
    <w:rsid w:val="00CB293F"/>
    <w:rsid w:val="00CB2DB4"/>
    <w:rsid w:val="00CB2EA7"/>
    <w:rsid w:val="00CB2ED0"/>
    <w:rsid w:val="00CB3509"/>
    <w:rsid w:val="00CB3D5F"/>
    <w:rsid w:val="00CB4258"/>
    <w:rsid w:val="00CB42C8"/>
    <w:rsid w:val="00CB42D1"/>
    <w:rsid w:val="00CB4764"/>
    <w:rsid w:val="00CB4929"/>
    <w:rsid w:val="00CB51CD"/>
    <w:rsid w:val="00CB528F"/>
    <w:rsid w:val="00CB529D"/>
    <w:rsid w:val="00CB5826"/>
    <w:rsid w:val="00CB599F"/>
    <w:rsid w:val="00CB5CD7"/>
    <w:rsid w:val="00CB5D1D"/>
    <w:rsid w:val="00CB6174"/>
    <w:rsid w:val="00CB64B8"/>
    <w:rsid w:val="00CB6617"/>
    <w:rsid w:val="00CB6620"/>
    <w:rsid w:val="00CB6654"/>
    <w:rsid w:val="00CB66D1"/>
    <w:rsid w:val="00CB6778"/>
    <w:rsid w:val="00CB6E0A"/>
    <w:rsid w:val="00CB7451"/>
    <w:rsid w:val="00CB78BE"/>
    <w:rsid w:val="00CB78C0"/>
    <w:rsid w:val="00CB7A32"/>
    <w:rsid w:val="00CB7AF9"/>
    <w:rsid w:val="00CB7F8B"/>
    <w:rsid w:val="00CB7FDC"/>
    <w:rsid w:val="00CC017B"/>
    <w:rsid w:val="00CC01E4"/>
    <w:rsid w:val="00CC0596"/>
    <w:rsid w:val="00CC0708"/>
    <w:rsid w:val="00CC085E"/>
    <w:rsid w:val="00CC0C67"/>
    <w:rsid w:val="00CC0C6A"/>
    <w:rsid w:val="00CC0E1F"/>
    <w:rsid w:val="00CC141C"/>
    <w:rsid w:val="00CC18CC"/>
    <w:rsid w:val="00CC1C05"/>
    <w:rsid w:val="00CC1EA2"/>
    <w:rsid w:val="00CC21DD"/>
    <w:rsid w:val="00CC2497"/>
    <w:rsid w:val="00CC24AE"/>
    <w:rsid w:val="00CC2A28"/>
    <w:rsid w:val="00CC2EF2"/>
    <w:rsid w:val="00CC2F81"/>
    <w:rsid w:val="00CC3A44"/>
    <w:rsid w:val="00CC3FDB"/>
    <w:rsid w:val="00CC4093"/>
    <w:rsid w:val="00CC4103"/>
    <w:rsid w:val="00CC43B0"/>
    <w:rsid w:val="00CC4639"/>
    <w:rsid w:val="00CC4953"/>
    <w:rsid w:val="00CC4BC8"/>
    <w:rsid w:val="00CC53A4"/>
    <w:rsid w:val="00CC55ED"/>
    <w:rsid w:val="00CC5704"/>
    <w:rsid w:val="00CC5A5C"/>
    <w:rsid w:val="00CC5BA3"/>
    <w:rsid w:val="00CC5FEE"/>
    <w:rsid w:val="00CC6391"/>
    <w:rsid w:val="00CC64E4"/>
    <w:rsid w:val="00CC6896"/>
    <w:rsid w:val="00CC6B01"/>
    <w:rsid w:val="00CC7DAD"/>
    <w:rsid w:val="00CD02A5"/>
    <w:rsid w:val="00CD02D9"/>
    <w:rsid w:val="00CD0375"/>
    <w:rsid w:val="00CD077C"/>
    <w:rsid w:val="00CD0A59"/>
    <w:rsid w:val="00CD0FA3"/>
    <w:rsid w:val="00CD1E3E"/>
    <w:rsid w:val="00CD2680"/>
    <w:rsid w:val="00CD2B5C"/>
    <w:rsid w:val="00CD3151"/>
    <w:rsid w:val="00CD32A1"/>
    <w:rsid w:val="00CD368F"/>
    <w:rsid w:val="00CD3A1F"/>
    <w:rsid w:val="00CD3B88"/>
    <w:rsid w:val="00CD49A1"/>
    <w:rsid w:val="00CD49EF"/>
    <w:rsid w:val="00CD4A51"/>
    <w:rsid w:val="00CD4C65"/>
    <w:rsid w:val="00CD5069"/>
    <w:rsid w:val="00CD5298"/>
    <w:rsid w:val="00CD56E1"/>
    <w:rsid w:val="00CD58CC"/>
    <w:rsid w:val="00CD5BA7"/>
    <w:rsid w:val="00CD5FEA"/>
    <w:rsid w:val="00CD6067"/>
    <w:rsid w:val="00CD6199"/>
    <w:rsid w:val="00CD646A"/>
    <w:rsid w:val="00CD6605"/>
    <w:rsid w:val="00CD6675"/>
    <w:rsid w:val="00CD66A1"/>
    <w:rsid w:val="00CD6E1B"/>
    <w:rsid w:val="00CD7279"/>
    <w:rsid w:val="00CD76DA"/>
    <w:rsid w:val="00CD76F3"/>
    <w:rsid w:val="00CD7705"/>
    <w:rsid w:val="00CD7B40"/>
    <w:rsid w:val="00CD7D68"/>
    <w:rsid w:val="00CD7D89"/>
    <w:rsid w:val="00CD7E65"/>
    <w:rsid w:val="00CE03CE"/>
    <w:rsid w:val="00CE08EE"/>
    <w:rsid w:val="00CE0E07"/>
    <w:rsid w:val="00CE1243"/>
    <w:rsid w:val="00CE1382"/>
    <w:rsid w:val="00CE1790"/>
    <w:rsid w:val="00CE17C9"/>
    <w:rsid w:val="00CE17EC"/>
    <w:rsid w:val="00CE1CAE"/>
    <w:rsid w:val="00CE1E5C"/>
    <w:rsid w:val="00CE1F72"/>
    <w:rsid w:val="00CE2047"/>
    <w:rsid w:val="00CE2480"/>
    <w:rsid w:val="00CE2C50"/>
    <w:rsid w:val="00CE2D79"/>
    <w:rsid w:val="00CE2EC8"/>
    <w:rsid w:val="00CE2EEE"/>
    <w:rsid w:val="00CE348D"/>
    <w:rsid w:val="00CE34E6"/>
    <w:rsid w:val="00CE42EC"/>
    <w:rsid w:val="00CE42F3"/>
    <w:rsid w:val="00CE4300"/>
    <w:rsid w:val="00CE46F9"/>
    <w:rsid w:val="00CE4924"/>
    <w:rsid w:val="00CE49A2"/>
    <w:rsid w:val="00CE4EF9"/>
    <w:rsid w:val="00CE5006"/>
    <w:rsid w:val="00CE5046"/>
    <w:rsid w:val="00CE58DC"/>
    <w:rsid w:val="00CE5AF9"/>
    <w:rsid w:val="00CE5C45"/>
    <w:rsid w:val="00CE5D4B"/>
    <w:rsid w:val="00CE5D84"/>
    <w:rsid w:val="00CE5D9C"/>
    <w:rsid w:val="00CE5DCA"/>
    <w:rsid w:val="00CE62A1"/>
    <w:rsid w:val="00CE6B52"/>
    <w:rsid w:val="00CE6C88"/>
    <w:rsid w:val="00CE73D1"/>
    <w:rsid w:val="00CE79D3"/>
    <w:rsid w:val="00CE7C67"/>
    <w:rsid w:val="00CE7D9C"/>
    <w:rsid w:val="00CF086B"/>
    <w:rsid w:val="00CF08AD"/>
    <w:rsid w:val="00CF0B60"/>
    <w:rsid w:val="00CF0DAC"/>
    <w:rsid w:val="00CF1797"/>
    <w:rsid w:val="00CF18A3"/>
    <w:rsid w:val="00CF1B00"/>
    <w:rsid w:val="00CF1B54"/>
    <w:rsid w:val="00CF1C49"/>
    <w:rsid w:val="00CF1E5E"/>
    <w:rsid w:val="00CF21BF"/>
    <w:rsid w:val="00CF2516"/>
    <w:rsid w:val="00CF28C3"/>
    <w:rsid w:val="00CF298E"/>
    <w:rsid w:val="00CF2A10"/>
    <w:rsid w:val="00CF2B4E"/>
    <w:rsid w:val="00CF2BD7"/>
    <w:rsid w:val="00CF2BFE"/>
    <w:rsid w:val="00CF306A"/>
    <w:rsid w:val="00CF342D"/>
    <w:rsid w:val="00CF376D"/>
    <w:rsid w:val="00CF38A5"/>
    <w:rsid w:val="00CF390F"/>
    <w:rsid w:val="00CF3992"/>
    <w:rsid w:val="00CF3BDE"/>
    <w:rsid w:val="00CF3F41"/>
    <w:rsid w:val="00CF40EB"/>
    <w:rsid w:val="00CF42C3"/>
    <w:rsid w:val="00CF44D0"/>
    <w:rsid w:val="00CF4BD0"/>
    <w:rsid w:val="00CF4FFC"/>
    <w:rsid w:val="00CF561D"/>
    <w:rsid w:val="00CF598F"/>
    <w:rsid w:val="00CF59CC"/>
    <w:rsid w:val="00CF5CB1"/>
    <w:rsid w:val="00CF6444"/>
    <w:rsid w:val="00CF6686"/>
    <w:rsid w:val="00CF6D40"/>
    <w:rsid w:val="00CF6F5E"/>
    <w:rsid w:val="00CF7284"/>
    <w:rsid w:val="00CF7338"/>
    <w:rsid w:val="00CF75BC"/>
    <w:rsid w:val="00CF7AF6"/>
    <w:rsid w:val="00CF7E8D"/>
    <w:rsid w:val="00CF7F4D"/>
    <w:rsid w:val="00D00245"/>
    <w:rsid w:val="00D0070F"/>
    <w:rsid w:val="00D008A0"/>
    <w:rsid w:val="00D00A28"/>
    <w:rsid w:val="00D00D1D"/>
    <w:rsid w:val="00D00ED2"/>
    <w:rsid w:val="00D01330"/>
    <w:rsid w:val="00D014E9"/>
    <w:rsid w:val="00D0166D"/>
    <w:rsid w:val="00D01798"/>
    <w:rsid w:val="00D01799"/>
    <w:rsid w:val="00D0180B"/>
    <w:rsid w:val="00D01B35"/>
    <w:rsid w:val="00D01CFF"/>
    <w:rsid w:val="00D01F4D"/>
    <w:rsid w:val="00D025EC"/>
    <w:rsid w:val="00D02C76"/>
    <w:rsid w:val="00D02F9C"/>
    <w:rsid w:val="00D0333A"/>
    <w:rsid w:val="00D03404"/>
    <w:rsid w:val="00D03A2F"/>
    <w:rsid w:val="00D03D11"/>
    <w:rsid w:val="00D042BE"/>
    <w:rsid w:val="00D049BC"/>
    <w:rsid w:val="00D04B6E"/>
    <w:rsid w:val="00D04DEE"/>
    <w:rsid w:val="00D05424"/>
    <w:rsid w:val="00D054D8"/>
    <w:rsid w:val="00D05507"/>
    <w:rsid w:val="00D05F26"/>
    <w:rsid w:val="00D06119"/>
    <w:rsid w:val="00D061F7"/>
    <w:rsid w:val="00D0627A"/>
    <w:rsid w:val="00D062C5"/>
    <w:rsid w:val="00D06930"/>
    <w:rsid w:val="00D074F7"/>
    <w:rsid w:val="00D07514"/>
    <w:rsid w:val="00D07C71"/>
    <w:rsid w:val="00D07ED8"/>
    <w:rsid w:val="00D1024F"/>
    <w:rsid w:val="00D103E3"/>
    <w:rsid w:val="00D10B93"/>
    <w:rsid w:val="00D10E19"/>
    <w:rsid w:val="00D113A0"/>
    <w:rsid w:val="00D116D9"/>
    <w:rsid w:val="00D11976"/>
    <w:rsid w:val="00D11B6E"/>
    <w:rsid w:val="00D11D7C"/>
    <w:rsid w:val="00D1243F"/>
    <w:rsid w:val="00D128C5"/>
    <w:rsid w:val="00D12A28"/>
    <w:rsid w:val="00D12E14"/>
    <w:rsid w:val="00D12E55"/>
    <w:rsid w:val="00D1304C"/>
    <w:rsid w:val="00D131EF"/>
    <w:rsid w:val="00D135B3"/>
    <w:rsid w:val="00D135C3"/>
    <w:rsid w:val="00D13688"/>
    <w:rsid w:val="00D13ABB"/>
    <w:rsid w:val="00D14225"/>
    <w:rsid w:val="00D14544"/>
    <w:rsid w:val="00D1466F"/>
    <w:rsid w:val="00D14B1A"/>
    <w:rsid w:val="00D14C12"/>
    <w:rsid w:val="00D14CE0"/>
    <w:rsid w:val="00D14E58"/>
    <w:rsid w:val="00D150C7"/>
    <w:rsid w:val="00D15363"/>
    <w:rsid w:val="00D15860"/>
    <w:rsid w:val="00D15D99"/>
    <w:rsid w:val="00D15DFE"/>
    <w:rsid w:val="00D16339"/>
    <w:rsid w:val="00D16CF9"/>
    <w:rsid w:val="00D1709A"/>
    <w:rsid w:val="00D17128"/>
    <w:rsid w:val="00D17ADA"/>
    <w:rsid w:val="00D17BA6"/>
    <w:rsid w:val="00D17D38"/>
    <w:rsid w:val="00D20068"/>
    <w:rsid w:val="00D202E7"/>
    <w:rsid w:val="00D2032C"/>
    <w:rsid w:val="00D20729"/>
    <w:rsid w:val="00D211BD"/>
    <w:rsid w:val="00D21280"/>
    <w:rsid w:val="00D2177E"/>
    <w:rsid w:val="00D2181D"/>
    <w:rsid w:val="00D22361"/>
    <w:rsid w:val="00D223A8"/>
    <w:rsid w:val="00D2246F"/>
    <w:rsid w:val="00D226CD"/>
    <w:rsid w:val="00D22732"/>
    <w:rsid w:val="00D2276D"/>
    <w:rsid w:val="00D2333E"/>
    <w:rsid w:val="00D234DD"/>
    <w:rsid w:val="00D2359D"/>
    <w:rsid w:val="00D2379C"/>
    <w:rsid w:val="00D238FD"/>
    <w:rsid w:val="00D23FA7"/>
    <w:rsid w:val="00D24065"/>
    <w:rsid w:val="00D240D7"/>
    <w:rsid w:val="00D241D3"/>
    <w:rsid w:val="00D248EC"/>
    <w:rsid w:val="00D24AE7"/>
    <w:rsid w:val="00D24B0B"/>
    <w:rsid w:val="00D24EB3"/>
    <w:rsid w:val="00D2630A"/>
    <w:rsid w:val="00D2665A"/>
    <w:rsid w:val="00D26875"/>
    <w:rsid w:val="00D268DE"/>
    <w:rsid w:val="00D26C79"/>
    <w:rsid w:val="00D271B4"/>
    <w:rsid w:val="00D27411"/>
    <w:rsid w:val="00D27A08"/>
    <w:rsid w:val="00D27FC8"/>
    <w:rsid w:val="00D30058"/>
    <w:rsid w:val="00D30360"/>
    <w:rsid w:val="00D30795"/>
    <w:rsid w:val="00D30B1F"/>
    <w:rsid w:val="00D30E99"/>
    <w:rsid w:val="00D314CC"/>
    <w:rsid w:val="00D316FE"/>
    <w:rsid w:val="00D31720"/>
    <w:rsid w:val="00D317A0"/>
    <w:rsid w:val="00D320C0"/>
    <w:rsid w:val="00D32622"/>
    <w:rsid w:val="00D328CD"/>
    <w:rsid w:val="00D32ACB"/>
    <w:rsid w:val="00D32B10"/>
    <w:rsid w:val="00D32C65"/>
    <w:rsid w:val="00D32D01"/>
    <w:rsid w:val="00D330BA"/>
    <w:rsid w:val="00D337BD"/>
    <w:rsid w:val="00D339B7"/>
    <w:rsid w:val="00D33D7E"/>
    <w:rsid w:val="00D34074"/>
    <w:rsid w:val="00D345C7"/>
    <w:rsid w:val="00D349F2"/>
    <w:rsid w:val="00D34F87"/>
    <w:rsid w:val="00D355A6"/>
    <w:rsid w:val="00D3575A"/>
    <w:rsid w:val="00D3585B"/>
    <w:rsid w:val="00D35BB7"/>
    <w:rsid w:val="00D35D7F"/>
    <w:rsid w:val="00D35F7D"/>
    <w:rsid w:val="00D36234"/>
    <w:rsid w:val="00D3631C"/>
    <w:rsid w:val="00D3691B"/>
    <w:rsid w:val="00D369F6"/>
    <w:rsid w:val="00D36BE1"/>
    <w:rsid w:val="00D36DE6"/>
    <w:rsid w:val="00D37024"/>
    <w:rsid w:val="00D3782F"/>
    <w:rsid w:val="00D400AD"/>
    <w:rsid w:val="00D401CD"/>
    <w:rsid w:val="00D403CF"/>
    <w:rsid w:val="00D4043B"/>
    <w:rsid w:val="00D40605"/>
    <w:rsid w:val="00D406A3"/>
    <w:rsid w:val="00D40D54"/>
    <w:rsid w:val="00D413D4"/>
    <w:rsid w:val="00D415B7"/>
    <w:rsid w:val="00D41BF5"/>
    <w:rsid w:val="00D425FE"/>
    <w:rsid w:val="00D42655"/>
    <w:rsid w:val="00D4273C"/>
    <w:rsid w:val="00D4283F"/>
    <w:rsid w:val="00D42A79"/>
    <w:rsid w:val="00D42C14"/>
    <w:rsid w:val="00D430A7"/>
    <w:rsid w:val="00D430C1"/>
    <w:rsid w:val="00D432C7"/>
    <w:rsid w:val="00D438DE"/>
    <w:rsid w:val="00D43A47"/>
    <w:rsid w:val="00D43D60"/>
    <w:rsid w:val="00D44204"/>
    <w:rsid w:val="00D442A4"/>
    <w:rsid w:val="00D44628"/>
    <w:rsid w:val="00D44866"/>
    <w:rsid w:val="00D44CFA"/>
    <w:rsid w:val="00D450B1"/>
    <w:rsid w:val="00D4577E"/>
    <w:rsid w:val="00D457C9"/>
    <w:rsid w:val="00D45B99"/>
    <w:rsid w:val="00D45C89"/>
    <w:rsid w:val="00D45D2C"/>
    <w:rsid w:val="00D45E37"/>
    <w:rsid w:val="00D466C6"/>
    <w:rsid w:val="00D468F0"/>
    <w:rsid w:val="00D46F6B"/>
    <w:rsid w:val="00D47433"/>
    <w:rsid w:val="00D47565"/>
    <w:rsid w:val="00D47A1B"/>
    <w:rsid w:val="00D5024A"/>
    <w:rsid w:val="00D50268"/>
    <w:rsid w:val="00D50484"/>
    <w:rsid w:val="00D508B4"/>
    <w:rsid w:val="00D50F47"/>
    <w:rsid w:val="00D510F5"/>
    <w:rsid w:val="00D515A7"/>
    <w:rsid w:val="00D51AB3"/>
    <w:rsid w:val="00D5207C"/>
    <w:rsid w:val="00D52369"/>
    <w:rsid w:val="00D5260E"/>
    <w:rsid w:val="00D527D9"/>
    <w:rsid w:val="00D5344C"/>
    <w:rsid w:val="00D53EAA"/>
    <w:rsid w:val="00D5446D"/>
    <w:rsid w:val="00D54BF4"/>
    <w:rsid w:val="00D54C59"/>
    <w:rsid w:val="00D5504E"/>
    <w:rsid w:val="00D55286"/>
    <w:rsid w:val="00D55743"/>
    <w:rsid w:val="00D557F2"/>
    <w:rsid w:val="00D55CC7"/>
    <w:rsid w:val="00D561BF"/>
    <w:rsid w:val="00D562F7"/>
    <w:rsid w:val="00D565AA"/>
    <w:rsid w:val="00D56815"/>
    <w:rsid w:val="00D56EFB"/>
    <w:rsid w:val="00D570DC"/>
    <w:rsid w:val="00D572D6"/>
    <w:rsid w:val="00D57352"/>
    <w:rsid w:val="00D5735F"/>
    <w:rsid w:val="00D573AA"/>
    <w:rsid w:val="00D57416"/>
    <w:rsid w:val="00D576C7"/>
    <w:rsid w:val="00D577ED"/>
    <w:rsid w:val="00D579D1"/>
    <w:rsid w:val="00D57B04"/>
    <w:rsid w:val="00D57C3A"/>
    <w:rsid w:val="00D57DE3"/>
    <w:rsid w:val="00D57E70"/>
    <w:rsid w:val="00D600C9"/>
    <w:rsid w:val="00D605D7"/>
    <w:rsid w:val="00D606FB"/>
    <w:rsid w:val="00D609E8"/>
    <w:rsid w:val="00D60B84"/>
    <w:rsid w:val="00D611C2"/>
    <w:rsid w:val="00D612CF"/>
    <w:rsid w:val="00D61300"/>
    <w:rsid w:val="00D613CF"/>
    <w:rsid w:val="00D613FC"/>
    <w:rsid w:val="00D61472"/>
    <w:rsid w:val="00D6198D"/>
    <w:rsid w:val="00D61F59"/>
    <w:rsid w:val="00D624FF"/>
    <w:rsid w:val="00D62953"/>
    <w:rsid w:val="00D629BE"/>
    <w:rsid w:val="00D62B92"/>
    <w:rsid w:val="00D634B0"/>
    <w:rsid w:val="00D637FE"/>
    <w:rsid w:val="00D63894"/>
    <w:rsid w:val="00D638DE"/>
    <w:rsid w:val="00D639B5"/>
    <w:rsid w:val="00D63E8A"/>
    <w:rsid w:val="00D64C23"/>
    <w:rsid w:val="00D64C8D"/>
    <w:rsid w:val="00D65289"/>
    <w:rsid w:val="00D65763"/>
    <w:rsid w:val="00D65BB8"/>
    <w:rsid w:val="00D65E70"/>
    <w:rsid w:val="00D65F3F"/>
    <w:rsid w:val="00D65F95"/>
    <w:rsid w:val="00D660CB"/>
    <w:rsid w:val="00D66567"/>
    <w:rsid w:val="00D66A68"/>
    <w:rsid w:val="00D66CA4"/>
    <w:rsid w:val="00D67715"/>
    <w:rsid w:val="00D67952"/>
    <w:rsid w:val="00D7009C"/>
    <w:rsid w:val="00D7052B"/>
    <w:rsid w:val="00D70944"/>
    <w:rsid w:val="00D71B1A"/>
    <w:rsid w:val="00D71F39"/>
    <w:rsid w:val="00D721CF"/>
    <w:rsid w:val="00D722EE"/>
    <w:rsid w:val="00D725CF"/>
    <w:rsid w:val="00D726CA"/>
    <w:rsid w:val="00D72799"/>
    <w:rsid w:val="00D72838"/>
    <w:rsid w:val="00D731C3"/>
    <w:rsid w:val="00D732B2"/>
    <w:rsid w:val="00D73477"/>
    <w:rsid w:val="00D735D4"/>
    <w:rsid w:val="00D73D85"/>
    <w:rsid w:val="00D73D8F"/>
    <w:rsid w:val="00D740A3"/>
    <w:rsid w:val="00D74419"/>
    <w:rsid w:val="00D744B5"/>
    <w:rsid w:val="00D746AD"/>
    <w:rsid w:val="00D748C9"/>
    <w:rsid w:val="00D74ABE"/>
    <w:rsid w:val="00D74B9C"/>
    <w:rsid w:val="00D7539E"/>
    <w:rsid w:val="00D757F3"/>
    <w:rsid w:val="00D75995"/>
    <w:rsid w:val="00D75D7D"/>
    <w:rsid w:val="00D75EE8"/>
    <w:rsid w:val="00D7614A"/>
    <w:rsid w:val="00D765A6"/>
    <w:rsid w:val="00D76B11"/>
    <w:rsid w:val="00D76CF3"/>
    <w:rsid w:val="00D7738D"/>
    <w:rsid w:val="00D77490"/>
    <w:rsid w:val="00D77815"/>
    <w:rsid w:val="00D778FF"/>
    <w:rsid w:val="00D802F0"/>
    <w:rsid w:val="00D8067D"/>
    <w:rsid w:val="00D80CC4"/>
    <w:rsid w:val="00D80DAC"/>
    <w:rsid w:val="00D8155A"/>
    <w:rsid w:val="00D81933"/>
    <w:rsid w:val="00D81A0D"/>
    <w:rsid w:val="00D81ABD"/>
    <w:rsid w:val="00D81E06"/>
    <w:rsid w:val="00D820F6"/>
    <w:rsid w:val="00D82156"/>
    <w:rsid w:val="00D822DB"/>
    <w:rsid w:val="00D82481"/>
    <w:rsid w:val="00D8266B"/>
    <w:rsid w:val="00D82D3D"/>
    <w:rsid w:val="00D8314E"/>
    <w:rsid w:val="00D835C0"/>
    <w:rsid w:val="00D83884"/>
    <w:rsid w:val="00D83984"/>
    <w:rsid w:val="00D84122"/>
    <w:rsid w:val="00D84124"/>
    <w:rsid w:val="00D84158"/>
    <w:rsid w:val="00D8448B"/>
    <w:rsid w:val="00D8483C"/>
    <w:rsid w:val="00D84866"/>
    <w:rsid w:val="00D84A97"/>
    <w:rsid w:val="00D84C9A"/>
    <w:rsid w:val="00D84E2A"/>
    <w:rsid w:val="00D85123"/>
    <w:rsid w:val="00D85511"/>
    <w:rsid w:val="00D86142"/>
    <w:rsid w:val="00D8640C"/>
    <w:rsid w:val="00D86BF7"/>
    <w:rsid w:val="00D86C0D"/>
    <w:rsid w:val="00D870AF"/>
    <w:rsid w:val="00D870E8"/>
    <w:rsid w:val="00D872AD"/>
    <w:rsid w:val="00D876D1"/>
    <w:rsid w:val="00D87AFC"/>
    <w:rsid w:val="00D87F7F"/>
    <w:rsid w:val="00D900E5"/>
    <w:rsid w:val="00D901AE"/>
    <w:rsid w:val="00D9037C"/>
    <w:rsid w:val="00D90513"/>
    <w:rsid w:val="00D90698"/>
    <w:rsid w:val="00D906D1"/>
    <w:rsid w:val="00D9093C"/>
    <w:rsid w:val="00D90AAD"/>
    <w:rsid w:val="00D910F2"/>
    <w:rsid w:val="00D911EE"/>
    <w:rsid w:val="00D91298"/>
    <w:rsid w:val="00D912F6"/>
    <w:rsid w:val="00D913AC"/>
    <w:rsid w:val="00D918C8"/>
    <w:rsid w:val="00D919E5"/>
    <w:rsid w:val="00D91AFC"/>
    <w:rsid w:val="00D91B84"/>
    <w:rsid w:val="00D91D4F"/>
    <w:rsid w:val="00D91F72"/>
    <w:rsid w:val="00D92159"/>
    <w:rsid w:val="00D92271"/>
    <w:rsid w:val="00D9290D"/>
    <w:rsid w:val="00D92D11"/>
    <w:rsid w:val="00D92DC8"/>
    <w:rsid w:val="00D932E1"/>
    <w:rsid w:val="00D93545"/>
    <w:rsid w:val="00D937B3"/>
    <w:rsid w:val="00D93814"/>
    <w:rsid w:val="00D938AF"/>
    <w:rsid w:val="00D938C3"/>
    <w:rsid w:val="00D938DF"/>
    <w:rsid w:val="00D939E1"/>
    <w:rsid w:val="00D93BAF"/>
    <w:rsid w:val="00D93C9A"/>
    <w:rsid w:val="00D9434D"/>
    <w:rsid w:val="00D9435E"/>
    <w:rsid w:val="00D94484"/>
    <w:rsid w:val="00D9480E"/>
    <w:rsid w:val="00D949FB"/>
    <w:rsid w:val="00D94CF4"/>
    <w:rsid w:val="00D94F91"/>
    <w:rsid w:val="00D95C7C"/>
    <w:rsid w:val="00D95EA2"/>
    <w:rsid w:val="00D95F6D"/>
    <w:rsid w:val="00D964D9"/>
    <w:rsid w:val="00D965AF"/>
    <w:rsid w:val="00D96C1D"/>
    <w:rsid w:val="00D96C72"/>
    <w:rsid w:val="00D97348"/>
    <w:rsid w:val="00D97DC3"/>
    <w:rsid w:val="00DA0673"/>
    <w:rsid w:val="00DA0981"/>
    <w:rsid w:val="00DA0D70"/>
    <w:rsid w:val="00DA1251"/>
    <w:rsid w:val="00DA19CF"/>
    <w:rsid w:val="00DA1C5F"/>
    <w:rsid w:val="00DA1D4C"/>
    <w:rsid w:val="00DA1E35"/>
    <w:rsid w:val="00DA21A6"/>
    <w:rsid w:val="00DA21C7"/>
    <w:rsid w:val="00DA26C1"/>
    <w:rsid w:val="00DA2957"/>
    <w:rsid w:val="00DA2ACA"/>
    <w:rsid w:val="00DA2C7C"/>
    <w:rsid w:val="00DA2CB9"/>
    <w:rsid w:val="00DA33FD"/>
    <w:rsid w:val="00DA3604"/>
    <w:rsid w:val="00DA3E37"/>
    <w:rsid w:val="00DA487C"/>
    <w:rsid w:val="00DA4B0F"/>
    <w:rsid w:val="00DA4B62"/>
    <w:rsid w:val="00DA4B8A"/>
    <w:rsid w:val="00DA4DF7"/>
    <w:rsid w:val="00DA4F4F"/>
    <w:rsid w:val="00DA5782"/>
    <w:rsid w:val="00DA5D10"/>
    <w:rsid w:val="00DA6B1A"/>
    <w:rsid w:val="00DA70D5"/>
    <w:rsid w:val="00DA7577"/>
    <w:rsid w:val="00DA7E2E"/>
    <w:rsid w:val="00DA7E99"/>
    <w:rsid w:val="00DA7F08"/>
    <w:rsid w:val="00DB04F8"/>
    <w:rsid w:val="00DB0761"/>
    <w:rsid w:val="00DB090C"/>
    <w:rsid w:val="00DB0D8C"/>
    <w:rsid w:val="00DB1189"/>
    <w:rsid w:val="00DB17BC"/>
    <w:rsid w:val="00DB208C"/>
    <w:rsid w:val="00DB254C"/>
    <w:rsid w:val="00DB2A6F"/>
    <w:rsid w:val="00DB2D87"/>
    <w:rsid w:val="00DB30DD"/>
    <w:rsid w:val="00DB33EF"/>
    <w:rsid w:val="00DB3646"/>
    <w:rsid w:val="00DB368E"/>
    <w:rsid w:val="00DB36C8"/>
    <w:rsid w:val="00DB377B"/>
    <w:rsid w:val="00DB379A"/>
    <w:rsid w:val="00DB3BAD"/>
    <w:rsid w:val="00DB3CB3"/>
    <w:rsid w:val="00DB4039"/>
    <w:rsid w:val="00DB4B93"/>
    <w:rsid w:val="00DB4E81"/>
    <w:rsid w:val="00DB5616"/>
    <w:rsid w:val="00DB5AD7"/>
    <w:rsid w:val="00DB5CCA"/>
    <w:rsid w:val="00DB5F9C"/>
    <w:rsid w:val="00DB6304"/>
    <w:rsid w:val="00DB6424"/>
    <w:rsid w:val="00DB67BA"/>
    <w:rsid w:val="00DB68B1"/>
    <w:rsid w:val="00DB6921"/>
    <w:rsid w:val="00DB723D"/>
    <w:rsid w:val="00DB7360"/>
    <w:rsid w:val="00DB75AC"/>
    <w:rsid w:val="00DB7D38"/>
    <w:rsid w:val="00DC0351"/>
    <w:rsid w:val="00DC07C5"/>
    <w:rsid w:val="00DC0923"/>
    <w:rsid w:val="00DC09C1"/>
    <w:rsid w:val="00DC0A5F"/>
    <w:rsid w:val="00DC0EA2"/>
    <w:rsid w:val="00DC0F7F"/>
    <w:rsid w:val="00DC171C"/>
    <w:rsid w:val="00DC18AC"/>
    <w:rsid w:val="00DC1A17"/>
    <w:rsid w:val="00DC1AE1"/>
    <w:rsid w:val="00DC1BB3"/>
    <w:rsid w:val="00DC233D"/>
    <w:rsid w:val="00DC2458"/>
    <w:rsid w:val="00DC2641"/>
    <w:rsid w:val="00DC2BC8"/>
    <w:rsid w:val="00DC2BFE"/>
    <w:rsid w:val="00DC3A0E"/>
    <w:rsid w:val="00DC3A9F"/>
    <w:rsid w:val="00DC3B06"/>
    <w:rsid w:val="00DC40D7"/>
    <w:rsid w:val="00DC4229"/>
    <w:rsid w:val="00DC441A"/>
    <w:rsid w:val="00DC4A5A"/>
    <w:rsid w:val="00DC4C58"/>
    <w:rsid w:val="00DC5050"/>
    <w:rsid w:val="00DC535A"/>
    <w:rsid w:val="00DC5446"/>
    <w:rsid w:val="00DC5BF9"/>
    <w:rsid w:val="00DC5DE6"/>
    <w:rsid w:val="00DC647C"/>
    <w:rsid w:val="00DC6839"/>
    <w:rsid w:val="00DC6923"/>
    <w:rsid w:val="00DC6BA6"/>
    <w:rsid w:val="00DC6FAE"/>
    <w:rsid w:val="00DC737B"/>
    <w:rsid w:val="00DC75F0"/>
    <w:rsid w:val="00DC7638"/>
    <w:rsid w:val="00DC7C1E"/>
    <w:rsid w:val="00DC7E6E"/>
    <w:rsid w:val="00DC7FF8"/>
    <w:rsid w:val="00DD057F"/>
    <w:rsid w:val="00DD06B2"/>
    <w:rsid w:val="00DD0ED7"/>
    <w:rsid w:val="00DD158D"/>
    <w:rsid w:val="00DD1CDA"/>
    <w:rsid w:val="00DD2507"/>
    <w:rsid w:val="00DD27AB"/>
    <w:rsid w:val="00DD2D65"/>
    <w:rsid w:val="00DD2F03"/>
    <w:rsid w:val="00DD2F21"/>
    <w:rsid w:val="00DD3346"/>
    <w:rsid w:val="00DD33E9"/>
    <w:rsid w:val="00DD349E"/>
    <w:rsid w:val="00DD3CEA"/>
    <w:rsid w:val="00DD3D43"/>
    <w:rsid w:val="00DD3D89"/>
    <w:rsid w:val="00DD3D8E"/>
    <w:rsid w:val="00DD401A"/>
    <w:rsid w:val="00DD40E4"/>
    <w:rsid w:val="00DD451D"/>
    <w:rsid w:val="00DD4550"/>
    <w:rsid w:val="00DD45CE"/>
    <w:rsid w:val="00DD4874"/>
    <w:rsid w:val="00DD4F4C"/>
    <w:rsid w:val="00DD50C6"/>
    <w:rsid w:val="00DD56EE"/>
    <w:rsid w:val="00DD57F8"/>
    <w:rsid w:val="00DD592E"/>
    <w:rsid w:val="00DD5CB1"/>
    <w:rsid w:val="00DD640B"/>
    <w:rsid w:val="00DD66E6"/>
    <w:rsid w:val="00DD6AE3"/>
    <w:rsid w:val="00DD6EB7"/>
    <w:rsid w:val="00DD73B1"/>
    <w:rsid w:val="00DD78BB"/>
    <w:rsid w:val="00DD7A65"/>
    <w:rsid w:val="00DD7F0C"/>
    <w:rsid w:val="00DE05D1"/>
    <w:rsid w:val="00DE0607"/>
    <w:rsid w:val="00DE0AF3"/>
    <w:rsid w:val="00DE0DFD"/>
    <w:rsid w:val="00DE10E6"/>
    <w:rsid w:val="00DE1479"/>
    <w:rsid w:val="00DE1779"/>
    <w:rsid w:val="00DE17C3"/>
    <w:rsid w:val="00DE1B3D"/>
    <w:rsid w:val="00DE1F5D"/>
    <w:rsid w:val="00DE28D2"/>
    <w:rsid w:val="00DE28F0"/>
    <w:rsid w:val="00DE2C21"/>
    <w:rsid w:val="00DE2CBB"/>
    <w:rsid w:val="00DE327D"/>
    <w:rsid w:val="00DE3297"/>
    <w:rsid w:val="00DE35D4"/>
    <w:rsid w:val="00DE3746"/>
    <w:rsid w:val="00DE3B74"/>
    <w:rsid w:val="00DE3C87"/>
    <w:rsid w:val="00DE4423"/>
    <w:rsid w:val="00DE4773"/>
    <w:rsid w:val="00DE4824"/>
    <w:rsid w:val="00DE4B2D"/>
    <w:rsid w:val="00DE4C21"/>
    <w:rsid w:val="00DE5308"/>
    <w:rsid w:val="00DE5433"/>
    <w:rsid w:val="00DE551D"/>
    <w:rsid w:val="00DE5583"/>
    <w:rsid w:val="00DE58B7"/>
    <w:rsid w:val="00DE5A4A"/>
    <w:rsid w:val="00DE5D13"/>
    <w:rsid w:val="00DE6371"/>
    <w:rsid w:val="00DE6B62"/>
    <w:rsid w:val="00DE6C7F"/>
    <w:rsid w:val="00DE717E"/>
    <w:rsid w:val="00DE7AE9"/>
    <w:rsid w:val="00DF01E2"/>
    <w:rsid w:val="00DF027B"/>
    <w:rsid w:val="00DF0959"/>
    <w:rsid w:val="00DF0C58"/>
    <w:rsid w:val="00DF0E98"/>
    <w:rsid w:val="00DF11A8"/>
    <w:rsid w:val="00DF1C6D"/>
    <w:rsid w:val="00DF1CA8"/>
    <w:rsid w:val="00DF1E5B"/>
    <w:rsid w:val="00DF1F36"/>
    <w:rsid w:val="00DF21DE"/>
    <w:rsid w:val="00DF2582"/>
    <w:rsid w:val="00DF3067"/>
    <w:rsid w:val="00DF32A2"/>
    <w:rsid w:val="00DF403D"/>
    <w:rsid w:val="00DF430C"/>
    <w:rsid w:val="00DF4431"/>
    <w:rsid w:val="00DF4513"/>
    <w:rsid w:val="00DF4AC5"/>
    <w:rsid w:val="00DF4F3B"/>
    <w:rsid w:val="00DF5392"/>
    <w:rsid w:val="00DF5488"/>
    <w:rsid w:val="00DF54DB"/>
    <w:rsid w:val="00DF5AAB"/>
    <w:rsid w:val="00DF5BA3"/>
    <w:rsid w:val="00DF6177"/>
    <w:rsid w:val="00DF63B4"/>
    <w:rsid w:val="00DF6521"/>
    <w:rsid w:val="00DF6BBB"/>
    <w:rsid w:val="00DF6DA7"/>
    <w:rsid w:val="00DF6F1D"/>
    <w:rsid w:val="00DF75EE"/>
    <w:rsid w:val="00DF784D"/>
    <w:rsid w:val="00DF79D8"/>
    <w:rsid w:val="00DF7D0B"/>
    <w:rsid w:val="00E00AEA"/>
    <w:rsid w:val="00E00B7E"/>
    <w:rsid w:val="00E0110B"/>
    <w:rsid w:val="00E0123C"/>
    <w:rsid w:val="00E01510"/>
    <w:rsid w:val="00E01887"/>
    <w:rsid w:val="00E01DB2"/>
    <w:rsid w:val="00E0210F"/>
    <w:rsid w:val="00E02641"/>
    <w:rsid w:val="00E02672"/>
    <w:rsid w:val="00E027E3"/>
    <w:rsid w:val="00E02F66"/>
    <w:rsid w:val="00E034C4"/>
    <w:rsid w:val="00E0390A"/>
    <w:rsid w:val="00E03D94"/>
    <w:rsid w:val="00E04182"/>
    <w:rsid w:val="00E043A9"/>
    <w:rsid w:val="00E0442F"/>
    <w:rsid w:val="00E04A15"/>
    <w:rsid w:val="00E04A78"/>
    <w:rsid w:val="00E04B36"/>
    <w:rsid w:val="00E04B7D"/>
    <w:rsid w:val="00E0506F"/>
    <w:rsid w:val="00E052CB"/>
    <w:rsid w:val="00E053C3"/>
    <w:rsid w:val="00E05400"/>
    <w:rsid w:val="00E0578E"/>
    <w:rsid w:val="00E05885"/>
    <w:rsid w:val="00E05BF8"/>
    <w:rsid w:val="00E05D33"/>
    <w:rsid w:val="00E05D3C"/>
    <w:rsid w:val="00E05F16"/>
    <w:rsid w:val="00E06315"/>
    <w:rsid w:val="00E0661C"/>
    <w:rsid w:val="00E073D3"/>
    <w:rsid w:val="00E076FC"/>
    <w:rsid w:val="00E078F1"/>
    <w:rsid w:val="00E07BDC"/>
    <w:rsid w:val="00E07CC0"/>
    <w:rsid w:val="00E07EA6"/>
    <w:rsid w:val="00E10045"/>
    <w:rsid w:val="00E10125"/>
    <w:rsid w:val="00E10ADB"/>
    <w:rsid w:val="00E11069"/>
    <w:rsid w:val="00E1123A"/>
    <w:rsid w:val="00E11260"/>
    <w:rsid w:val="00E115A2"/>
    <w:rsid w:val="00E119F7"/>
    <w:rsid w:val="00E12424"/>
    <w:rsid w:val="00E124C7"/>
    <w:rsid w:val="00E1297B"/>
    <w:rsid w:val="00E12C1C"/>
    <w:rsid w:val="00E12CA9"/>
    <w:rsid w:val="00E13700"/>
    <w:rsid w:val="00E13A3C"/>
    <w:rsid w:val="00E13DB0"/>
    <w:rsid w:val="00E13E49"/>
    <w:rsid w:val="00E146A1"/>
    <w:rsid w:val="00E14745"/>
    <w:rsid w:val="00E14C54"/>
    <w:rsid w:val="00E14CEA"/>
    <w:rsid w:val="00E14DAC"/>
    <w:rsid w:val="00E15683"/>
    <w:rsid w:val="00E15779"/>
    <w:rsid w:val="00E15883"/>
    <w:rsid w:val="00E15CC6"/>
    <w:rsid w:val="00E15CDB"/>
    <w:rsid w:val="00E16107"/>
    <w:rsid w:val="00E1620D"/>
    <w:rsid w:val="00E16727"/>
    <w:rsid w:val="00E1691B"/>
    <w:rsid w:val="00E16E49"/>
    <w:rsid w:val="00E1707C"/>
    <w:rsid w:val="00E173A0"/>
    <w:rsid w:val="00E17770"/>
    <w:rsid w:val="00E17822"/>
    <w:rsid w:val="00E17AF9"/>
    <w:rsid w:val="00E20126"/>
    <w:rsid w:val="00E20305"/>
    <w:rsid w:val="00E20509"/>
    <w:rsid w:val="00E206F3"/>
    <w:rsid w:val="00E20729"/>
    <w:rsid w:val="00E20790"/>
    <w:rsid w:val="00E20BD3"/>
    <w:rsid w:val="00E20C28"/>
    <w:rsid w:val="00E213D4"/>
    <w:rsid w:val="00E21D94"/>
    <w:rsid w:val="00E21F25"/>
    <w:rsid w:val="00E227EE"/>
    <w:rsid w:val="00E22DCE"/>
    <w:rsid w:val="00E22DE2"/>
    <w:rsid w:val="00E22F70"/>
    <w:rsid w:val="00E23026"/>
    <w:rsid w:val="00E2328B"/>
    <w:rsid w:val="00E23325"/>
    <w:rsid w:val="00E2345A"/>
    <w:rsid w:val="00E236AD"/>
    <w:rsid w:val="00E23B91"/>
    <w:rsid w:val="00E244C3"/>
    <w:rsid w:val="00E24891"/>
    <w:rsid w:val="00E24B95"/>
    <w:rsid w:val="00E24E22"/>
    <w:rsid w:val="00E2586D"/>
    <w:rsid w:val="00E258AD"/>
    <w:rsid w:val="00E258BE"/>
    <w:rsid w:val="00E25D06"/>
    <w:rsid w:val="00E25E93"/>
    <w:rsid w:val="00E267B5"/>
    <w:rsid w:val="00E26B31"/>
    <w:rsid w:val="00E26C91"/>
    <w:rsid w:val="00E272E6"/>
    <w:rsid w:val="00E27683"/>
    <w:rsid w:val="00E27ABD"/>
    <w:rsid w:val="00E27C49"/>
    <w:rsid w:val="00E27D02"/>
    <w:rsid w:val="00E3071A"/>
    <w:rsid w:val="00E30ADA"/>
    <w:rsid w:val="00E30BC9"/>
    <w:rsid w:val="00E30EF2"/>
    <w:rsid w:val="00E31214"/>
    <w:rsid w:val="00E31232"/>
    <w:rsid w:val="00E312C3"/>
    <w:rsid w:val="00E31386"/>
    <w:rsid w:val="00E313EA"/>
    <w:rsid w:val="00E31762"/>
    <w:rsid w:val="00E31946"/>
    <w:rsid w:val="00E31F0B"/>
    <w:rsid w:val="00E320C1"/>
    <w:rsid w:val="00E321BD"/>
    <w:rsid w:val="00E32904"/>
    <w:rsid w:val="00E32A74"/>
    <w:rsid w:val="00E336A3"/>
    <w:rsid w:val="00E338B0"/>
    <w:rsid w:val="00E3390E"/>
    <w:rsid w:val="00E33A12"/>
    <w:rsid w:val="00E33E7E"/>
    <w:rsid w:val="00E33E88"/>
    <w:rsid w:val="00E33F83"/>
    <w:rsid w:val="00E33FBA"/>
    <w:rsid w:val="00E341BD"/>
    <w:rsid w:val="00E34814"/>
    <w:rsid w:val="00E34C99"/>
    <w:rsid w:val="00E34D71"/>
    <w:rsid w:val="00E34E43"/>
    <w:rsid w:val="00E34F5D"/>
    <w:rsid w:val="00E35011"/>
    <w:rsid w:val="00E353F0"/>
    <w:rsid w:val="00E3557C"/>
    <w:rsid w:val="00E35811"/>
    <w:rsid w:val="00E358EA"/>
    <w:rsid w:val="00E359D4"/>
    <w:rsid w:val="00E36148"/>
    <w:rsid w:val="00E36404"/>
    <w:rsid w:val="00E36643"/>
    <w:rsid w:val="00E37B69"/>
    <w:rsid w:val="00E37C6E"/>
    <w:rsid w:val="00E404A6"/>
    <w:rsid w:val="00E4084D"/>
    <w:rsid w:val="00E408CB"/>
    <w:rsid w:val="00E40A2B"/>
    <w:rsid w:val="00E40AC7"/>
    <w:rsid w:val="00E40B15"/>
    <w:rsid w:val="00E40E8A"/>
    <w:rsid w:val="00E4121D"/>
    <w:rsid w:val="00E41349"/>
    <w:rsid w:val="00E4168D"/>
    <w:rsid w:val="00E41B25"/>
    <w:rsid w:val="00E41C1A"/>
    <w:rsid w:val="00E420A1"/>
    <w:rsid w:val="00E426DE"/>
    <w:rsid w:val="00E4288E"/>
    <w:rsid w:val="00E42D84"/>
    <w:rsid w:val="00E42E23"/>
    <w:rsid w:val="00E42EFE"/>
    <w:rsid w:val="00E432B8"/>
    <w:rsid w:val="00E4401A"/>
    <w:rsid w:val="00E442E9"/>
    <w:rsid w:val="00E44EE4"/>
    <w:rsid w:val="00E45303"/>
    <w:rsid w:val="00E4570C"/>
    <w:rsid w:val="00E45CCE"/>
    <w:rsid w:val="00E45D8E"/>
    <w:rsid w:val="00E45E8B"/>
    <w:rsid w:val="00E46190"/>
    <w:rsid w:val="00E462C0"/>
    <w:rsid w:val="00E464FD"/>
    <w:rsid w:val="00E465E9"/>
    <w:rsid w:val="00E46720"/>
    <w:rsid w:val="00E46721"/>
    <w:rsid w:val="00E46B6E"/>
    <w:rsid w:val="00E46BD7"/>
    <w:rsid w:val="00E470ED"/>
    <w:rsid w:val="00E476B8"/>
    <w:rsid w:val="00E47D97"/>
    <w:rsid w:val="00E47E9E"/>
    <w:rsid w:val="00E501A0"/>
    <w:rsid w:val="00E50404"/>
    <w:rsid w:val="00E505E0"/>
    <w:rsid w:val="00E505F7"/>
    <w:rsid w:val="00E508BB"/>
    <w:rsid w:val="00E508DF"/>
    <w:rsid w:val="00E513B1"/>
    <w:rsid w:val="00E521ED"/>
    <w:rsid w:val="00E52838"/>
    <w:rsid w:val="00E52BE7"/>
    <w:rsid w:val="00E52D76"/>
    <w:rsid w:val="00E52E3E"/>
    <w:rsid w:val="00E52ED6"/>
    <w:rsid w:val="00E53431"/>
    <w:rsid w:val="00E534BF"/>
    <w:rsid w:val="00E535F9"/>
    <w:rsid w:val="00E5366B"/>
    <w:rsid w:val="00E537E3"/>
    <w:rsid w:val="00E53914"/>
    <w:rsid w:val="00E53FCC"/>
    <w:rsid w:val="00E5439D"/>
    <w:rsid w:val="00E543BE"/>
    <w:rsid w:val="00E54708"/>
    <w:rsid w:val="00E5473A"/>
    <w:rsid w:val="00E547CB"/>
    <w:rsid w:val="00E54CDC"/>
    <w:rsid w:val="00E54D14"/>
    <w:rsid w:val="00E54E4D"/>
    <w:rsid w:val="00E5522A"/>
    <w:rsid w:val="00E55463"/>
    <w:rsid w:val="00E55AAF"/>
    <w:rsid w:val="00E55CE7"/>
    <w:rsid w:val="00E55FAD"/>
    <w:rsid w:val="00E561B5"/>
    <w:rsid w:val="00E56648"/>
    <w:rsid w:val="00E56FC6"/>
    <w:rsid w:val="00E57812"/>
    <w:rsid w:val="00E600ED"/>
    <w:rsid w:val="00E606F9"/>
    <w:rsid w:val="00E60C36"/>
    <w:rsid w:val="00E611AD"/>
    <w:rsid w:val="00E611C4"/>
    <w:rsid w:val="00E61208"/>
    <w:rsid w:val="00E61253"/>
    <w:rsid w:val="00E61292"/>
    <w:rsid w:val="00E616E4"/>
    <w:rsid w:val="00E619B4"/>
    <w:rsid w:val="00E62056"/>
    <w:rsid w:val="00E626BB"/>
    <w:rsid w:val="00E62750"/>
    <w:rsid w:val="00E62856"/>
    <w:rsid w:val="00E629A7"/>
    <w:rsid w:val="00E62B58"/>
    <w:rsid w:val="00E62F3C"/>
    <w:rsid w:val="00E634AE"/>
    <w:rsid w:val="00E63A9E"/>
    <w:rsid w:val="00E63D7A"/>
    <w:rsid w:val="00E63FFE"/>
    <w:rsid w:val="00E64031"/>
    <w:rsid w:val="00E64169"/>
    <w:rsid w:val="00E641F2"/>
    <w:rsid w:val="00E6433A"/>
    <w:rsid w:val="00E644DA"/>
    <w:rsid w:val="00E644E8"/>
    <w:rsid w:val="00E6467D"/>
    <w:rsid w:val="00E6470D"/>
    <w:rsid w:val="00E649BF"/>
    <w:rsid w:val="00E64D13"/>
    <w:rsid w:val="00E65031"/>
    <w:rsid w:val="00E65604"/>
    <w:rsid w:val="00E65679"/>
    <w:rsid w:val="00E65918"/>
    <w:rsid w:val="00E659B4"/>
    <w:rsid w:val="00E65A24"/>
    <w:rsid w:val="00E661E2"/>
    <w:rsid w:val="00E66729"/>
    <w:rsid w:val="00E6686F"/>
    <w:rsid w:val="00E66BFD"/>
    <w:rsid w:val="00E675DB"/>
    <w:rsid w:val="00E676A2"/>
    <w:rsid w:val="00E67819"/>
    <w:rsid w:val="00E67AEB"/>
    <w:rsid w:val="00E67BDE"/>
    <w:rsid w:val="00E67C42"/>
    <w:rsid w:val="00E67EBA"/>
    <w:rsid w:val="00E7007F"/>
    <w:rsid w:val="00E702BA"/>
    <w:rsid w:val="00E709E8"/>
    <w:rsid w:val="00E70AC9"/>
    <w:rsid w:val="00E70C13"/>
    <w:rsid w:val="00E71317"/>
    <w:rsid w:val="00E71792"/>
    <w:rsid w:val="00E71B91"/>
    <w:rsid w:val="00E71C4F"/>
    <w:rsid w:val="00E72067"/>
    <w:rsid w:val="00E723C1"/>
    <w:rsid w:val="00E725EF"/>
    <w:rsid w:val="00E72BBD"/>
    <w:rsid w:val="00E72CB1"/>
    <w:rsid w:val="00E72DFB"/>
    <w:rsid w:val="00E736C7"/>
    <w:rsid w:val="00E73A79"/>
    <w:rsid w:val="00E74223"/>
    <w:rsid w:val="00E7444A"/>
    <w:rsid w:val="00E7473C"/>
    <w:rsid w:val="00E74E6B"/>
    <w:rsid w:val="00E7520C"/>
    <w:rsid w:val="00E757A4"/>
    <w:rsid w:val="00E7599D"/>
    <w:rsid w:val="00E75EAF"/>
    <w:rsid w:val="00E75EF5"/>
    <w:rsid w:val="00E76027"/>
    <w:rsid w:val="00E76474"/>
    <w:rsid w:val="00E764D5"/>
    <w:rsid w:val="00E765F9"/>
    <w:rsid w:val="00E7677B"/>
    <w:rsid w:val="00E7679F"/>
    <w:rsid w:val="00E767F9"/>
    <w:rsid w:val="00E76D51"/>
    <w:rsid w:val="00E76F99"/>
    <w:rsid w:val="00E77109"/>
    <w:rsid w:val="00E77184"/>
    <w:rsid w:val="00E77446"/>
    <w:rsid w:val="00E7758E"/>
    <w:rsid w:val="00E775F3"/>
    <w:rsid w:val="00E7761D"/>
    <w:rsid w:val="00E77657"/>
    <w:rsid w:val="00E77AC4"/>
    <w:rsid w:val="00E77EA5"/>
    <w:rsid w:val="00E77FD2"/>
    <w:rsid w:val="00E803BB"/>
    <w:rsid w:val="00E80682"/>
    <w:rsid w:val="00E80848"/>
    <w:rsid w:val="00E80AAE"/>
    <w:rsid w:val="00E812BF"/>
    <w:rsid w:val="00E818B3"/>
    <w:rsid w:val="00E81DBC"/>
    <w:rsid w:val="00E81E49"/>
    <w:rsid w:val="00E82355"/>
    <w:rsid w:val="00E825AB"/>
    <w:rsid w:val="00E8277D"/>
    <w:rsid w:val="00E829AB"/>
    <w:rsid w:val="00E82ECE"/>
    <w:rsid w:val="00E82FD9"/>
    <w:rsid w:val="00E83033"/>
    <w:rsid w:val="00E8387E"/>
    <w:rsid w:val="00E83BC1"/>
    <w:rsid w:val="00E83E4E"/>
    <w:rsid w:val="00E840BA"/>
    <w:rsid w:val="00E8446B"/>
    <w:rsid w:val="00E8461F"/>
    <w:rsid w:val="00E84791"/>
    <w:rsid w:val="00E84CDF"/>
    <w:rsid w:val="00E84D78"/>
    <w:rsid w:val="00E84DAB"/>
    <w:rsid w:val="00E84F3E"/>
    <w:rsid w:val="00E854F3"/>
    <w:rsid w:val="00E858F4"/>
    <w:rsid w:val="00E85B1D"/>
    <w:rsid w:val="00E85C3C"/>
    <w:rsid w:val="00E85C94"/>
    <w:rsid w:val="00E85C99"/>
    <w:rsid w:val="00E85CAD"/>
    <w:rsid w:val="00E85CF4"/>
    <w:rsid w:val="00E8603F"/>
    <w:rsid w:val="00E865F8"/>
    <w:rsid w:val="00E866FA"/>
    <w:rsid w:val="00E86AF3"/>
    <w:rsid w:val="00E86DAA"/>
    <w:rsid w:val="00E87135"/>
    <w:rsid w:val="00E87748"/>
    <w:rsid w:val="00E87BC4"/>
    <w:rsid w:val="00E90979"/>
    <w:rsid w:val="00E909C0"/>
    <w:rsid w:val="00E90CAD"/>
    <w:rsid w:val="00E90CE6"/>
    <w:rsid w:val="00E90DF5"/>
    <w:rsid w:val="00E91243"/>
    <w:rsid w:val="00E916E3"/>
    <w:rsid w:val="00E91740"/>
    <w:rsid w:val="00E91D18"/>
    <w:rsid w:val="00E92804"/>
    <w:rsid w:val="00E930A9"/>
    <w:rsid w:val="00E93248"/>
    <w:rsid w:val="00E93449"/>
    <w:rsid w:val="00E934E8"/>
    <w:rsid w:val="00E93A23"/>
    <w:rsid w:val="00E93D9C"/>
    <w:rsid w:val="00E943F9"/>
    <w:rsid w:val="00E94611"/>
    <w:rsid w:val="00E947E5"/>
    <w:rsid w:val="00E94A5C"/>
    <w:rsid w:val="00E955C6"/>
    <w:rsid w:val="00E95658"/>
    <w:rsid w:val="00E95B07"/>
    <w:rsid w:val="00E95B94"/>
    <w:rsid w:val="00E95C17"/>
    <w:rsid w:val="00E96642"/>
    <w:rsid w:val="00E967FD"/>
    <w:rsid w:val="00E96A43"/>
    <w:rsid w:val="00E96AFF"/>
    <w:rsid w:val="00E96BBC"/>
    <w:rsid w:val="00E9705F"/>
    <w:rsid w:val="00E970B6"/>
    <w:rsid w:val="00E9718C"/>
    <w:rsid w:val="00E97252"/>
    <w:rsid w:val="00E97511"/>
    <w:rsid w:val="00E97648"/>
    <w:rsid w:val="00E97BD5"/>
    <w:rsid w:val="00E97D49"/>
    <w:rsid w:val="00E97DA5"/>
    <w:rsid w:val="00E97ED0"/>
    <w:rsid w:val="00EA03EB"/>
    <w:rsid w:val="00EA0577"/>
    <w:rsid w:val="00EA0802"/>
    <w:rsid w:val="00EA0842"/>
    <w:rsid w:val="00EA0BCD"/>
    <w:rsid w:val="00EA0CE6"/>
    <w:rsid w:val="00EA0DB2"/>
    <w:rsid w:val="00EA0EFE"/>
    <w:rsid w:val="00EA1016"/>
    <w:rsid w:val="00EA1D21"/>
    <w:rsid w:val="00EA248B"/>
    <w:rsid w:val="00EA24C4"/>
    <w:rsid w:val="00EA254D"/>
    <w:rsid w:val="00EA26E6"/>
    <w:rsid w:val="00EA326C"/>
    <w:rsid w:val="00EA366C"/>
    <w:rsid w:val="00EA3902"/>
    <w:rsid w:val="00EA4085"/>
    <w:rsid w:val="00EA4389"/>
    <w:rsid w:val="00EA43DF"/>
    <w:rsid w:val="00EA49DF"/>
    <w:rsid w:val="00EA4DAE"/>
    <w:rsid w:val="00EA58A0"/>
    <w:rsid w:val="00EA608E"/>
    <w:rsid w:val="00EA6246"/>
    <w:rsid w:val="00EA6BDF"/>
    <w:rsid w:val="00EA6D4C"/>
    <w:rsid w:val="00EA708F"/>
    <w:rsid w:val="00EA70EE"/>
    <w:rsid w:val="00EA71BA"/>
    <w:rsid w:val="00EA7312"/>
    <w:rsid w:val="00EA7F39"/>
    <w:rsid w:val="00EB02FB"/>
    <w:rsid w:val="00EB039C"/>
    <w:rsid w:val="00EB0495"/>
    <w:rsid w:val="00EB0518"/>
    <w:rsid w:val="00EB0C02"/>
    <w:rsid w:val="00EB106B"/>
    <w:rsid w:val="00EB16CA"/>
    <w:rsid w:val="00EB1DCB"/>
    <w:rsid w:val="00EB230F"/>
    <w:rsid w:val="00EB27BB"/>
    <w:rsid w:val="00EB294A"/>
    <w:rsid w:val="00EB2A29"/>
    <w:rsid w:val="00EB2BFA"/>
    <w:rsid w:val="00EB2C62"/>
    <w:rsid w:val="00EB35CA"/>
    <w:rsid w:val="00EB412A"/>
    <w:rsid w:val="00EB42D3"/>
    <w:rsid w:val="00EB4634"/>
    <w:rsid w:val="00EB48FB"/>
    <w:rsid w:val="00EB52C7"/>
    <w:rsid w:val="00EB5A6F"/>
    <w:rsid w:val="00EB5B9D"/>
    <w:rsid w:val="00EB5DE2"/>
    <w:rsid w:val="00EB5EDA"/>
    <w:rsid w:val="00EB6512"/>
    <w:rsid w:val="00EB6523"/>
    <w:rsid w:val="00EB6703"/>
    <w:rsid w:val="00EB6B61"/>
    <w:rsid w:val="00EB6B6C"/>
    <w:rsid w:val="00EB6E79"/>
    <w:rsid w:val="00EB7377"/>
    <w:rsid w:val="00EB74B3"/>
    <w:rsid w:val="00EB7917"/>
    <w:rsid w:val="00EB7C6B"/>
    <w:rsid w:val="00EB7DB0"/>
    <w:rsid w:val="00EC0E97"/>
    <w:rsid w:val="00EC0FEA"/>
    <w:rsid w:val="00EC0FF3"/>
    <w:rsid w:val="00EC1196"/>
    <w:rsid w:val="00EC156D"/>
    <w:rsid w:val="00EC1E93"/>
    <w:rsid w:val="00EC232E"/>
    <w:rsid w:val="00EC2646"/>
    <w:rsid w:val="00EC2731"/>
    <w:rsid w:val="00EC2B9B"/>
    <w:rsid w:val="00EC3058"/>
    <w:rsid w:val="00EC327A"/>
    <w:rsid w:val="00EC3886"/>
    <w:rsid w:val="00EC38EC"/>
    <w:rsid w:val="00EC3AE4"/>
    <w:rsid w:val="00EC413D"/>
    <w:rsid w:val="00EC42BE"/>
    <w:rsid w:val="00EC434A"/>
    <w:rsid w:val="00EC4CCF"/>
    <w:rsid w:val="00EC4DCB"/>
    <w:rsid w:val="00EC4FE9"/>
    <w:rsid w:val="00EC5194"/>
    <w:rsid w:val="00EC57F3"/>
    <w:rsid w:val="00EC5C2F"/>
    <w:rsid w:val="00EC5C73"/>
    <w:rsid w:val="00EC5F4C"/>
    <w:rsid w:val="00EC63E7"/>
    <w:rsid w:val="00EC6541"/>
    <w:rsid w:val="00EC66D2"/>
    <w:rsid w:val="00EC68A1"/>
    <w:rsid w:val="00EC6AAE"/>
    <w:rsid w:val="00EC6DA8"/>
    <w:rsid w:val="00EC6DE2"/>
    <w:rsid w:val="00EC6DEC"/>
    <w:rsid w:val="00EC7107"/>
    <w:rsid w:val="00EC7618"/>
    <w:rsid w:val="00EC77B0"/>
    <w:rsid w:val="00EC7847"/>
    <w:rsid w:val="00EC7FEA"/>
    <w:rsid w:val="00ED0112"/>
    <w:rsid w:val="00ED017A"/>
    <w:rsid w:val="00ED0381"/>
    <w:rsid w:val="00ED06C7"/>
    <w:rsid w:val="00ED0CB3"/>
    <w:rsid w:val="00ED1E6A"/>
    <w:rsid w:val="00ED22B7"/>
    <w:rsid w:val="00ED22F7"/>
    <w:rsid w:val="00ED267E"/>
    <w:rsid w:val="00ED2ABD"/>
    <w:rsid w:val="00ED2AE3"/>
    <w:rsid w:val="00ED2CA4"/>
    <w:rsid w:val="00ED2CC8"/>
    <w:rsid w:val="00ED2FD4"/>
    <w:rsid w:val="00ED3009"/>
    <w:rsid w:val="00ED301E"/>
    <w:rsid w:val="00ED3035"/>
    <w:rsid w:val="00ED3891"/>
    <w:rsid w:val="00ED3C98"/>
    <w:rsid w:val="00ED3D4A"/>
    <w:rsid w:val="00ED3DAC"/>
    <w:rsid w:val="00ED3E33"/>
    <w:rsid w:val="00ED4296"/>
    <w:rsid w:val="00ED43A5"/>
    <w:rsid w:val="00ED442B"/>
    <w:rsid w:val="00ED44BA"/>
    <w:rsid w:val="00ED4749"/>
    <w:rsid w:val="00ED5393"/>
    <w:rsid w:val="00ED5476"/>
    <w:rsid w:val="00ED54E7"/>
    <w:rsid w:val="00ED564D"/>
    <w:rsid w:val="00ED56D8"/>
    <w:rsid w:val="00ED5B49"/>
    <w:rsid w:val="00ED5F2C"/>
    <w:rsid w:val="00ED601A"/>
    <w:rsid w:val="00ED615B"/>
    <w:rsid w:val="00ED616D"/>
    <w:rsid w:val="00ED6265"/>
    <w:rsid w:val="00ED6414"/>
    <w:rsid w:val="00ED6E22"/>
    <w:rsid w:val="00ED6FA2"/>
    <w:rsid w:val="00ED7165"/>
    <w:rsid w:val="00ED729B"/>
    <w:rsid w:val="00ED76E4"/>
    <w:rsid w:val="00ED7B16"/>
    <w:rsid w:val="00ED7E18"/>
    <w:rsid w:val="00ED7F56"/>
    <w:rsid w:val="00EE0757"/>
    <w:rsid w:val="00EE1185"/>
    <w:rsid w:val="00EE180B"/>
    <w:rsid w:val="00EE189B"/>
    <w:rsid w:val="00EE1C9A"/>
    <w:rsid w:val="00EE22C8"/>
    <w:rsid w:val="00EE2C89"/>
    <w:rsid w:val="00EE2E61"/>
    <w:rsid w:val="00EE2F6F"/>
    <w:rsid w:val="00EE30C3"/>
    <w:rsid w:val="00EE39E3"/>
    <w:rsid w:val="00EE3ABB"/>
    <w:rsid w:val="00EE3CD2"/>
    <w:rsid w:val="00EE3E21"/>
    <w:rsid w:val="00EE3E85"/>
    <w:rsid w:val="00EE3F9B"/>
    <w:rsid w:val="00EE471A"/>
    <w:rsid w:val="00EE4F4D"/>
    <w:rsid w:val="00EE4FC5"/>
    <w:rsid w:val="00EE4FEF"/>
    <w:rsid w:val="00EE5001"/>
    <w:rsid w:val="00EE540E"/>
    <w:rsid w:val="00EE5D50"/>
    <w:rsid w:val="00EE5F20"/>
    <w:rsid w:val="00EE5F92"/>
    <w:rsid w:val="00EE5FF9"/>
    <w:rsid w:val="00EE60A9"/>
    <w:rsid w:val="00EE65DC"/>
    <w:rsid w:val="00EE6680"/>
    <w:rsid w:val="00EE6942"/>
    <w:rsid w:val="00EE6DF8"/>
    <w:rsid w:val="00EE6F41"/>
    <w:rsid w:val="00EE708C"/>
    <w:rsid w:val="00EE7414"/>
    <w:rsid w:val="00EE7EDB"/>
    <w:rsid w:val="00EE7EEC"/>
    <w:rsid w:val="00EE7F06"/>
    <w:rsid w:val="00EF0005"/>
    <w:rsid w:val="00EF053C"/>
    <w:rsid w:val="00EF068C"/>
    <w:rsid w:val="00EF1037"/>
    <w:rsid w:val="00EF1099"/>
    <w:rsid w:val="00EF13A1"/>
    <w:rsid w:val="00EF15B8"/>
    <w:rsid w:val="00EF1741"/>
    <w:rsid w:val="00EF199B"/>
    <w:rsid w:val="00EF1D28"/>
    <w:rsid w:val="00EF1D6E"/>
    <w:rsid w:val="00EF1D9F"/>
    <w:rsid w:val="00EF1F8F"/>
    <w:rsid w:val="00EF2142"/>
    <w:rsid w:val="00EF2A40"/>
    <w:rsid w:val="00EF2A9D"/>
    <w:rsid w:val="00EF2D35"/>
    <w:rsid w:val="00EF2F13"/>
    <w:rsid w:val="00EF2F14"/>
    <w:rsid w:val="00EF2FC6"/>
    <w:rsid w:val="00EF316B"/>
    <w:rsid w:val="00EF3449"/>
    <w:rsid w:val="00EF3481"/>
    <w:rsid w:val="00EF3B8B"/>
    <w:rsid w:val="00EF3C98"/>
    <w:rsid w:val="00EF409D"/>
    <w:rsid w:val="00EF416E"/>
    <w:rsid w:val="00EF41ED"/>
    <w:rsid w:val="00EF42C1"/>
    <w:rsid w:val="00EF42FD"/>
    <w:rsid w:val="00EF4441"/>
    <w:rsid w:val="00EF44AF"/>
    <w:rsid w:val="00EF46C4"/>
    <w:rsid w:val="00EF48A4"/>
    <w:rsid w:val="00EF49CE"/>
    <w:rsid w:val="00EF4AC4"/>
    <w:rsid w:val="00EF4E55"/>
    <w:rsid w:val="00EF4E79"/>
    <w:rsid w:val="00EF4EAF"/>
    <w:rsid w:val="00EF4F8C"/>
    <w:rsid w:val="00EF515A"/>
    <w:rsid w:val="00EF51B5"/>
    <w:rsid w:val="00EF5574"/>
    <w:rsid w:val="00EF600F"/>
    <w:rsid w:val="00EF6041"/>
    <w:rsid w:val="00EF6085"/>
    <w:rsid w:val="00EF679E"/>
    <w:rsid w:val="00EF6A39"/>
    <w:rsid w:val="00EF6A94"/>
    <w:rsid w:val="00EF6B9B"/>
    <w:rsid w:val="00EF6C6F"/>
    <w:rsid w:val="00EF6CB5"/>
    <w:rsid w:val="00EF7688"/>
    <w:rsid w:val="00EF76B2"/>
    <w:rsid w:val="00EF7897"/>
    <w:rsid w:val="00EF7B7C"/>
    <w:rsid w:val="00EF7CC1"/>
    <w:rsid w:val="00F00603"/>
    <w:rsid w:val="00F0074B"/>
    <w:rsid w:val="00F0109A"/>
    <w:rsid w:val="00F0119C"/>
    <w:rsid w:val="00F01335"/>
    <w:rsid w:val="00F01600"/>
    <w:rsid w:val="00F01604"/>
    <w:rsid w:val="00F01730"/>
    <w:rsid w:val="00F01A1C"/>
    <w:rsid w:val="00F01A88"/>
    <w:rsid w:val="00F01E9D"/>
    <w:rsid w:val="00F02033"/>
    <w:rsid w:val="00F02113"/>
    <w:rsid w:val="00F02223"/>
    <w:rsid w:val="00F02378"/>
    <w:rsid w:val="00F02962"/>
    <w:rsid w:val="00F02982"/>
    <w:rsid w:val="00F0328E"/>
    <w:rsid w:val="00F035C9"/>
    <w:rsid w:val="00F03C78"/>
    <w:rsid w:val="00F042BC"/>
    <w:rsid w:val="00F04377"/>
    <w:rsid w:val="00F0464B"/>
    <w:rsid w:val="00F0484E"/>
    <w:rsid w:val="00F04949"/>
    <w:rsid w:val="00F04D45"/>
    <w:rsid w:val="00F04DE2"/>
    <w:rsid w:val="00F04EE9"/>
    <w:rsid w:val="00F05177"/>
    <w:rsid w:val="00F054AF"/>
    <w:rsid w:val="00F05947"/>
    <w:rsid w:val="00F05BAF"/>
    <w:rsid w:val="00F05EC3"/>
    <w:rsid w:val="00F06385"/>
    <w:rsid w:val="00F063A4"/>
    <w:rsid w:val="00F066F8"/>
    <w:rsid w:val="00F06796"/>
    <w:rsid w:val="00F06EDF"/>
    <w:rsid w:val="00F07046"/>
    <w:rsid w:val="00F073DB"/>
    <w:rsid w:val="00F075E8"/>
    <w:rsid w:val="00F10011"/>
    <w:rsid w:val="00F1013A"/>
    <w:rsid w:val="00F10145"/>
    <w:rsid w:val="00F102FE"/>
    <w:rsid w:val="00F10330"/>
    <w:rsid w:val="00F11832"/>
    <w:rsid w:val="00F11D58"/>
    <w:rsid w:val="00F11FB9"/>
    <w:rsid w:val="00F12350"/>
    <w:rsid w:val="00F126AF"/>
    <w:rsid w:val="00F1275D"/>
    <w:rsid w:val="00F12CD7"/>
    <w:rsid w:val="00F12DF1"/>
    <w:rsid w:val="00F13097"/>
    <w:rsid w:val="00F13222"/>
    <w:rsid w:val="00F1333C"/>
    <w:rsid w:val="00F13A17"/>
    <w:rsid w:val="00F14842"/>
    <w:rsid w:val="00F149BE"/>
    <w:rsid w:val="00F14D50"/>
    <w:rsid w:val="00F14E7F"/>
    <w:rsid w:val="00F15789"/>
    <w:rsid w:val="00F1582A"/>
    <w:rsid w:val="00F15A3F"/>
    <w:rsid w:val="00F15F53"/>
    <w:rsid w:val="00F15FD2"/>
    <w:rsid w:val="00F1624D"/>
    <w:rsid w:val="00F1635C"/>
    <w:rsid w:val="00F169A1"/>
    <w:rsid w:val="00F169C6"/>
    <w:rsid w:val="00F16BB7"/>
    <w:rsid w:val="00F17609"/>
    <w:rsid w:val="00F17C9D"/>
    <w:rsid w:val="00F17CEE"/>
    <w:rsid w:val="00F17F8A"/>
    <w:rsid w:val="00F20172"/>
    <w:rsid w:val="00F2028D"/>
    <w:rsid w:val="00F20365"/>
    <w:rsid w:val="00F20BA3"/>
    <w:rsid w:val="00F20DD9"/>
    <w:rsid w:val="00F21130"/>
    <w:rsid w:val="00F2133D"/>
    <w:rsid w:val="00F2156F"/>
    <w:rsid w:val="00F215B5"/>
    <w:rsid w:val="00F215C0"/>
    <w:rsid w:val="00F21D73"/>
    <w:rsid w:val="00F22341"/>
    <w:rsid w:val="00F22440"/>
    <w:rsid w:val="00F22625"/>
    <w:rsid w:val="00F227BD"/>
    <w:rsid w:val="00F229C6"/>
    <w:rsid w:val="00F2330B"/>
    <w:rsid w:val="00F237B8"/>
    <w:rsid w:val="00F23BF5"/>
    <w:rsid w:val="00F23C38"/>
    <w:rsid w:val="00F23EFD"/>
    <w:rsid w:val="00F24278"/>
    <w:rsid w:val="00F244C2"/>
    <w:rsid w:val="00F24948"/>
    <w:rsid w:val="00F251E8"/>
    <w:rsid w:val="00F25431"/>
    <w:rsid w:val="00F259C3"/>
    <w:rsid w:val="00F25C95"/>
    <w:rsid w:val="00F25EC5"/>
    <w:rsid w:val="00F25F68"/>
    <w:rsid w:val="00F26099"/>
    <w:rsid w:val="00F2626B"/>
    <w:rsid w:val="00F263CF"/>
    <w:rsid w:val="00F26F72"/>
    <w:rsid w:val="00F26FB8"/>
    <w:rsid w:val="00F271E7"/>
    <w:rsid w:val="00F2740F"/>
    <w:rsid w:val="00F27577"/>
    <w:rsid w:val="00F2770F"/>
    <w:rsid w:val="00F27B9E"/>
    <w:rsid w:val="00F30712"/>
    <w:rsid w:val="00F30847"/>
    <w:rsid w:val="00F30CA8"/>
    <w:rsid w:val="00F31161"/>
    <w:rsid w:val="00F31306"/>
    <w:rsid w:val="00F31543"/>
    <w:rsid w:val="00F3178D"/>
    <w:rsid w:val="00F31835"/>
    <w:rsid w:val="00F31B77"/>
    <w:rsid w:val="00F31B84"/>
    <w:rsid w:val="00F31BFD"/>
    <w:rsid w:val="00F32171"/>
    <w:rsid w:val="00F327F6"/>
    <w:rsid w:val="00F32B57"/>
    <w:rsid w:val="00F32D6E"/>
    <w:rsid w:val="00F33339"/>
    <w:rsid w:val="00F33878"/>
    <w:rsid w:val="00F33DB7"/>
    <w:rsid w:val="00F341AC"/>
    <w:rsid w:val="00F347E4"/>
    <w:rsid w:val="00F34F00"/>
    <w:rsid w:val="00F351AA"/>
    <w:rsid w:val="00F355C2"/>
    <w:rsid w:val="00F35F67"/>
    <w:rsid w:val="00F36015"/>
    <w:rsid w:val="00F361F4"/>
    <w:rsid w:val="00F36227"/>
    <w:rsid w:val="00F3626F"/>
    <w:rsid w:val="00F36B64"/>
    <w:rsid w:val="00F36BEF"/>
    <w:rsid w:val="00F36E80"/>
    <w:rsid w:val="00F370DF"/>
    <w:rsid w:val="00F40A55"/>
    <w:rsid w:val="00F40D7E"/>
    <w:rsid w:val="00F40E34"/>
    <w:rsid w:val="00F411EB"/>
    <w:rsid w:val="00F41257"/>
    <w:rsid w:val="00F4155B"/>
    <w:rsid w:val="00F41809"/>
    <w:rsid w:val="00F41B67"/>
    <w:rsid w:val="00F420C8"/>
    <w:rsid w:val="00F4246C"/>
    <w:rsid w:val="00F42AE6"/>
    <w:rsid w:val="00F42CB9"/>
    <w:rsid w:val="00F42F53"/>
    <w:rsid w:val="00F4366B"/>
    <w:rsid w:val="00F44033"/>
    <w:rsid w:val="00F44306"/>
    <w:rsid w:val="00F44D20"/>
    <w:rsid w:val="00F45126"/>
    <w:rsid w:val="00F4520B"/>
    <w:rsid w:val="00F457B1"/>
    <w:rsid w:val="00F459F0"/>
    <w:rsid w:val="00F45DAF"/>
    <w:rsid w:val="00F45F06"/>
    <w:rsid w:val="00F46042"/>
    <w:rsid w:val="00F4689C"/>
    <w:rsid w:val="00F468A0"/>
    <w:rsid w:val="00F46D0A"/>
    <w:rsid w:val="00F46E13"/>
    <w:rsid w:val="00F47408"/>
    <w:rsid w:val="00F47959"/>
    <w:rsid w:val="00F500AC"/>
    <w:rsid w:val="00F50257"/>
    <w:rsid w:val="00F502A7"/>
    <w:rsid w:val="00F5096E"/>
    <w:rsid w:val="00F50FC3"/>
    <w:rsid w:val="00F51421"/>
    <w:rsid w:val="00F51662"/>
    <w:rsid w:val="00F51948"/>
    <w:rsid w:val="00F5194B"/>
    <w:rsid w:val="00F51EC2"/>
    <w:rsid w:val="00F529DB"/>
    <w:rsid w:val="00F5311A"/>
    <w:rsid w:val="00F53324"/>
    <w:rsid w:val="00F5342A"/>
    <w:rsid w:val="00F536B1"/>
    <w:rsid w:val="00F53A9F"/>
    <w:rsid w:val="00F53B3B"/>
    <w:rsid w:val="00F53F06"/>
    <w:rsid w:val="00F542AC"/>
    <w:rsid w:val="00F54355"/>
    <w:rsid w:val="00F54553"/>
    <w:rsid w:val="00F546FD"/>
    <w:rsid w:val="00F549B7"/>
    <w:rsid w:val="00F54D75"/>
    <w:rsid w:val="00F558DF"/>
    <w:rsid w:val="00F55AB8"/>
    <w:rsid w:val="00F55E9E"/>
    <w:rsid w:val="00F5605B"/>
    <w:rsid w:val="00F56061"/>
    <w:rsid w:val="00F5606B"/>
    <w:rsid w:val="00F5627F"/>
    <w:rsid w:val="00F56438"/>
    <w:rsid w:val="00F5679F"/>
    <w:rsid w:val="00F568EB"/>
    <w:rsid w:val="00F5693F"/>
    <w:rsid w:val="00F56BBE"/>
    <w:rsid w:val="00F57536"/>
    <w:rsid w:val="00F5779A"/>
    <w:rsid w:val="00F57C99"/>
    <w:rsid w:val="00F57D1D"/>
    <w:rsid w:val="00F57FCA"/>
    <w:rsid w:val="00F60450"/>
    <w:rsid w:val="00F60632"/>
    <w:rsid w:val="00F60895"/>
    <w:rsid w:val="00F6092C"/>
    <w:rsid w:val="00F60972"/>
    <w:rsid w:val="00F609B2"/>
    <w:rsid w:val="00F61137"/>
    <w:rsid w:val="00F61434"/>
    <w:rsid w:val="00F63080"/>
    <w:rsid w:val="00F630E5"/>
    <w:rsid w:val="00F63BBD"/>
    <w:rsid w:val="00F63C16"/>
    <w:rsid w:val="00F63D00"/>
    <w:rsid w:val="00F63DEE"/>
    <w:rsid w:val="00F641A3"/>
    <w:rsid w:val="00F64405"/>
    <w:rsid w:val="00F64410"/>
    <w:rsid w:val="00F6446E"/>
    <w:rsid w:val="00F6450D"/>
    <w:rsid w:val="00F6496A"/>
    <w:rsid w:val="00F64A7D"/>
    <w:rsid w:val="00F64AC7"/>
    <w:rsid w:val="00F64AD8"/>
    <w:rsid w:val="00F64F42"/>
    <w:rsid w:val="00F65157"/>
    <w:rsid w:val="00F65454"/>
    <w:rsid w:val="00F6587F"/>
    <w:rsid w:val="00F65A26"/>
    <w:rsid w:val="00F65CC9"/>
    <w:rsid w:val="00F6666D"/>
    <w:rsid w:val="00F6669A"/>
    <w:rsid w:val="00F6677F"/>
    <w:rsid w:val="00F66783"/>
    <w:rsid w:val="00F6680F"/>
    <w:rsid w:val="00F66B1D"/>
    <w:rsid w:val="00F67114"/>
    <w:rsid w:val="00F6724C"/>
    <w:rsid w:val="00F672B7"/>
    <w:rsid w:val="00F6764A"/>
    <w:rsid w:val="00F6775C"/>
    <w:rsid w:val="00F67F5E"/>
    <w:rsid w:val="00F7043E"/>
    <w:rsid w:val="00F70547"/>
    <w:rsid w:val="00F705A2"/>
    <w:rsid w:val="00F70D81"/>
    <w:rsid w:val="00F70EE4"/>
    <w:rsid w:val="00F7107C"/>
    <w:rsid w:val="00F712DC"/>
    <w:rsid w:val="00F71F1A"/>
    <w:rsid w:val="00F71F25"/>
    <w:rsid w:val="00F7223A"/>
    <w:rsid w:val="00F72CF7"/>
    <w:rsid w:val="00F72CFA"/>
    <w:rsid w:val="00F736E0"/>
    <w:rsid w:val="00F73767"/>
    <w:rsid w:val="00F739E1"/>
    <w:rsid w:val="00F73AD1"/>
    <w:rsid w:val="00F73DCC"/>
    <w:rsid w:val="00F740BB"/>
    <w:rsid w:val="00F7420A"/>
    <w:rsid w:val="00F74279"/>
    <w:rsid w:val="00F743D5"/>
    <w:rsid w:val="00F74506"/>
    <w:rsid w:val="00F7484E"/>
    <w:rsid w:val="00F7489A"/>
    <w:rsid w:val="00F749A4"/>
    <w:rsid w:val="00F75028"/>
    <w:rsid w:val="00F7502F"/>
    <w:rsid w:val="00F754BB"/>
    <w:rsid w:val="00F75899"/>
    <w:rsid w:val="00F75BFA"/>
    <w:rsid w:val="00F75C89"/>
    <w:rsid w:val="00F75F47"/>
    <w:rsid w:val="00F75FAE"/>
    <w:rsid w:val="00F7601C"/>
    <w:rsid w:val="00F7667F"/>
    <w:rsid w:val="00F7672B"/>
    <w:rsid w:val="00F77118"/>
    <w:rsid w:val="00F771B2"/>
    <w:rsid w:val="00F77249"/>
    <w:rsid w:val="00F77823"/>
    <w:rsid w:val="00F77A94"/>
    <w:rsid w:val="00F77DB0"/>
    <w:rsid w:val="00F800B8"/>
    <w:rsid w:val="00F80C24"/>
    <w:rsid w:val="00F80E33"/>
    <w:rsid w:val="00F80F3F"/>
    <w:rsid w:val="00F80FDC"/>
    <w:rsid w:val="00F81092"/>
    <w:rsid w:val="00F813D9"/>
    <w:rsid w:val="00F8147C"/>
    <w:rsid w:val="00F81768"/>
    <w:rsid w:val="00F81864"/>
    <w:rsid w:val="00F81C38"/>
    <w:rsid w:val="00F81E2F"/>
    <w:rsid w:val="00F820AE"/>
    <w:rsid w:val="00F8229B"/>
    <w:rsid w:val="00F826AA"/>
    <w:rsid w:val="00F826D8"/>
    <w:rsid w:val="00F829E8"/>
    <w:rsid w:val="00F82D3B"/>
    <w:rsid w:val="00F82DD9"/>
    <w:rsid w:val="00F82F02"/>
    <w:rsid w:val="00F83118"/>
    <w:rsid w:val="00F831B2"/>
    <w:rsid w:val="00F838DB"/>
    <w:rsid w:val="00F83BCF"/>
    <w:rsid w:val="00F83C08"/>
    <w:rsid w:val="00F83DD7"/>
    <w:rsid w:val="00F840D8"/>
    <w:rsid w:val="00F84588"/>
    <w:rsid w:val="00F846B3"/>
    <w:rsid w:val="00F8505E"/>
    <w:rsid w:val="00F8511F"/>
    <w:rsid w:val="00F8527C"/>
    <w:rsid w:val="00F85603"/>
    <w:rsid w:val="00F85B1E"/>
    <w:rsid w:val="00F85D04"/>
    <w:rsid w:val="00F86188"/>
    <w:rsid w:val="00F86343"/>
    <w:rsid w:val="00F865DE"/>
    <w:rsid w:val="00F867D4"/>
    <w:rsid w:val="00F86C81"/>
    <w:rsid w:val="00F86F64"/>
    <w:rsid w:val="00F874E2"/>
    <w:rsid w:val="00F87703"/>
    <w:rsid w:val="00F87928"/>
    <w:rsid w:val="00F87955"/>
    <w:rsid w:val="00F87E89"/>
    <w:rsid w:val="00F87FCA"/>
    <w:rsid w:val="00F900D3"/>
    <w:rsid w:val="00F900E8"/>
    <w:rsid w:val="00F9020F"/>
    <w:rsid w:val="00F9060E"/>
    <w:rsid w:val="00F90E40"/>
    <w:rsid w:val="00F91628"/>
    <w:rsid w:val="00F91B57"/>
    <w:rsid w:val="00F92096"/>
    <w:rsid w:val="00F920A3"/>
    <w:rsid w:val="00F922A5"/>
    <w:rsid w:val="00F926BE"/>
    <w:rsid w:val="00F927CE"/>
    <w:rsid w:val="00F9319A"/>
    <w:rsid w:val="00F931C2"/>
    <w:rsid w:val="00F9328C"/>
    <w:rsid w:val="00F9358D"/>
    <w:rsid w:val="00F93593"/>
    <w:rsid w:val="00F936A4"/>
    <w:rsid w:val="00F93B4F"/>
    <w:rsid w:val="00F93BEF"/>
    <w:rsid w:val="00F941C3"/>
    <w:rsid w:val="00F945A1"/>
    <w:rsid w:val="00F94A2E"/>
    <w:rsid w:val="00F94A6D"/>
    <w:rsid w:val="00F94C8B"/>
    <w:rsid w:val="00F95366"/>
    <w:rsid w:val="00F957B2"/>
    <w:rsid w:val="00F9589D"/>
    <w:rsid w:val="00F95AB5"/>
    <w:rsid w:val="00F95C5C"/>
    <w:rsid w:val="00F960C1"/>
    <w:rsid w:val="00F9627F"/>
    <w:rsid w:val="00F96430"/>
    <w:rsid w:val="00F968EA"/>
    <w:rsid w:val="00F973A5"/>
    <w:rsid w:val="00F9759C"/>
    <w:rsid w:val="00F976EF"/>
    <w:rsid w:val="00F97BC2"/>
    <w:rsid w:val="00F97D03"/>
    <w:rsid w:val="00FA015D"/>
    <w:rsid w:val="00FA0210"/>
    <w:rsid w:val="00FA02BA"/>
    <w:rsid w:val="00FA0631"/>
    <w:rsid w:val="00FA0EBB"/>
    <w:rsid w:val="00FA0EF5"/>
    <w:rsid w:val="00FA0F80"/>
    <w:rsid w:val="00FA1077"/>
    <w:rsid w:val="00FA1081"/>
    <w:rsid w:val="00FA10AB"/>
    <w:rsid w:val="00FA14B7"/>
    <w:rsid w:val="00FA16CE"/>
    <w:rsid w:val="00FA1BC1"/>
    <w:rsid w:val="00FA1E53"/>
    <w:rsid w:val="00FA2494"/>
    <w:rsid w:val="00FA26F3"/>
    <w:rsid w:val="00FA2AF4"/>
    <w:rsid w:val="00FA2D8C"/>
    <w:rsid w:val="00FA305B"/>
    <w:rsid w:val="00FA3705"/>
    <w:rsid w:val="00FA390B"/>
    <w:rsid w:val="00FA3CE1"/>
    <w:rsid w:val="00FA42E9"/>
    <w:rsid w:val="00FA49AC"/>
    <w:rsid w:val="00FA4A08"/>
    <w:rsid w:val="00FA4B0E"/>
    <w:rsid w:val="00FA5098"/>
    <w:rsid w:val="00FA5837"/>
    <w:rsid w:val="00FA5C20"/>
    <w:rsid w:val="00FA5D32"/>
    <w:rsid w:val="00FA61CE"/>
    <w:rsid w:val="00FA655F"/>
    <w:rsid w:val="00FA65E8"/>
    <w:rsid w:val="00FA685B"/>
    <w:rsid w:val="00FA6AF3"/>
    <w:rsid w:val="00FA6CCC"/>
    <w:rsid w:val="00FA6F04"/>
    <w:rsid w:val="00FA6F64"/>
    <w:rsid w:val="00FA78EB"/>
    <w:rsid w:val="00FB01F1"/>
    <w:rsid w:val="00FB0BD6"/>
    <w:rsid w:val="00FB0C26"/>
    <w:rsid w:val="00FB0F37"/>
    <w:rsid w:val="00FB0FD6"/>
    <w:rsid w:val="00FB158A"/>
    <w:rsid w:val="00FB1CFE"/>
    <w:rsid w:val="00FB1F57"/>
    <w:rsid w:val="00FB1FE3"/>
    <w:rsid w:val="00FB220B"/>
    <w:rsid w:val="00FB224D"/>
    <w:rsid w:val="00FB23AA"/>
    <w:rsid w:val="00FB246B"/>
    <w:rsid w:val="00FB27BA"/>
    <w:rsid w:val="00FB2D22"/>
    <w:rsid w:val="00FB2EAA"/>
    <w:rsid w:val="00FB2F4B"/>
    <w:rsid w:val="00FB3B7C"/>
    <w:rsid w:val="00FB409C"/>
    <w:rsid w:val="00FB4895"/>
    <w:rsid w:val="00FB4924"/>
    <w:rsid w:val="00FB49DA"/>
    <w:rsid w:val="00FB4DED"/>
    <w:rsid w:val="00FB540E"/>
    <w:rsid w:val="00FB5ACF"/>
    <w:rsid w:val="00FB5AED"/>
    <w:rsid w:val="00FB5CFB"/>
    <w:rsid w:val="00FB5F1D"/>
    <w:rsid w:val="00FB616C"/>
    <w:rsid w:val="00FB6235"/>
    <w:rsid w:val="00FB660F"/>
    <w:rsid w:val="00FB677A"/>
    <w:rsid w:val="00FB6B94"/>
    <w:rsid w:val="00FB6D64"/>
    <w:rsid w:val="00FB70D3"/>
    <w:rsid w:val="00FB73A3"/>
    <w:rsid w:val="00FB74A8"/>
    <w:rsid w:val="00FB762F"/>
    <w:rsid w:val="00FB7B40"/>
    <w:rsid w:val="00FB7BCE"/>
    <w:rsid w:val="00FC025D"/>
    <w:rsid w:val="00FC03BD"/>
    <w:rsid w:val="00FC0A8B"/>
    <w:rsid w:val="00FC0BC5"/>
    <w:rsid w:val="00FC0FEF"/>
    <w:rsid w:val="00FC120B"/>
    <w:rsid w:val="00FC13B0"/>
    <w:rsid w:val="00FC1A23"/>
    <w:rsid w:val="00FC1BBE"/>
    <w:rsid w:val="00FC1D32"/>
    <w:rsid w:val="00FC2082"/>
    <w:rsid w:val="00FC2218"/>
    <w:rsid w:val="00FC2818"/>
    <w:rsid w:val="00FC2BF6"/>
    <w:rsid w:val="00FC2D27"/>
    <w:rsid w:val="00FC2D9A"/>
    <w:rsid w:val="00FC34BC"/>
    <w:rsid w:val="00FC3805"/>
    <w:rsid w:val="00FC3C02"/>
    <w:rsid w:val="00FC3D89"/>
    <w:rsid w:val="00FC4201"/>
    <w:rsid w:val="00FC437C"/>
    <w:rsid w:val="00FC46CF"/>
    <w:rsid w:val="00FC48C6"/>
    <w:rsid w:val="00FC4A36"/>
    <w:rsid w:val="00FC50F1"/>
    <w:rsid w:val="00FC5BB1"/>
    <w:rsid w:val="00FC5DA2"/>
    <w:rsid w:val="00FC6074"/>
    <w:rsid w:val="00FC6101"/>
    <w:rsid w:val="00FC61F3"/>
    <w:rsid w:val="00FC6663"/>
    <w:rsid w:val="00FC676D"/>
    <w:rsid w:val="00FC67DF"/>
    <w:rsid w:val="00FC68BB"/>
    <w:rsid w:val="00FC6C6E"/>
    <w:rsid w:val="00FC6E36"/>
    <w:rsid w:val="00FC6F52"/>
    <w:rsid w:val="00FC7123"/>
    <w:rsid w:val="00FC76C1"/>
    <w:rsid w:val="00FC7957"/>
    <w:rsid w:val="00FC79BD"/>
    <w:rsid w:val="00FC7BFF"/>
    <w:rsid w:val="00FC7DFB"/>
    <w:rsid w:val="00FC7F19"/>
    <w:rsid w:val="00FD0320"/>
    <w:rsid w:val="00FD05C5"/>
    <w:rsid w:val="00FD0647"/>
    <w:rsid w:val="00FD0A95"/>
    <w:rsid w:val="00FD0B6D"/>
    <w:rsid w:val="00FD0BFE"/>
    <w:rsid w:val="00FD0FE3"/>
    <w:rsid w:val="00FD1148"/>
    <w:rsid w:val="00FD142E"/>
    <w:rsid w:val="00FD1A24"/>
    <w:rsid w:val="00FD1B51"/>
    <w:rsid w:val="00FD1E5C"/>
    <w:rsid w:val="00FD2489"/>
    <w:rsid w:val="00FD2C26"/>
    <w:rsid w:val="00FD32D0"/>
    <w:rsid w:val="00FD39E1"/>
    <w:rsid w:val="00FD3AA5"/>
    <w:rsid w:val="00FD4261"/>
    <w:rsid w:val="00FD48BB"/>
    <w:rsid w:val="00FD491D"/>
    <w:rsid w:val="00FD496C"/>
    <w:rsid w:val="00FD5673"/>
    <w:rsid w:val="00FD5950"/>
    <w:rsid w:val="00FD5E82"/>
    <w:rsid w:val="00FD6009"/>
    <w:rsid w:val="00FD6CB1"/>
    <w:rsid w:val="00FD6E09"/>
    <w:rsid w:val="00FD6EE6"/>
    <w:rsid w:val="00FD705F"/>
    <w:rsid w:val="00FD794C"/>
    <w:rsid w:val="00FE004A"/>
    <w:rsid w:val="00FE07FB"/>
    <w:rsid w:val="00FE0C2D"/>
    <w:rsid w:val="00FE146C"/>
    <w:rsid w:val="00FE1894"/>
    <w:rsid w:val="00FE24D6"/>
    <w:rsid w:val="00FE287E"/>
    <w:rsid w:val="00FE3045"/>
    <w:rsid w:val="00FE3BE3"/>
    <w:rsid w:val="00FE42FE"/>
    <w:rsid w:val="00FE441F"/>
    <w:rsid w:val="00FE491D"/>
    <w:rsid w:val="00FE49EB"/>
    <w:rsid w:val="00FE4AA9"/>
    <w:rsid w:val="00FE4C49"/>
    <w:rsid w:val="00FE531A"/>
    <w:rsid w:val="00FE555E"/>
    <w:rsid w:val="00FE556C"/>
    <w:rsid w:val="00FE566F"/>
    <w:rsid w:val="00FE5F23"/>
    <w:rsid w:val="00FE69DD"/>
    <w:rsid w:val="00FE6C00"/>
    <w:rsid w:val="00FE7026"/>
    <w:rsid w:val="00FE7CB3"/>
    <w:rsid w:val="00FE7E73"/>
    <w:rsid w:val="00FF02A2"/>
    <w:rsid w:val="00FF036B"/>
    <w:rsid w:val="00FF0A9A"/>
    <w:rsid w:val="00FF0F2A"/>
    <w:rsid w:val="00FF19FC"/>
    <w:rsid w:val="00FF1A45"/>
    <w:rsid w:val="00FF20E6"/>
    <w:rsid w:val="00FF24FE"/>
    <w:rsid w:val="00FF26A9"/>
    <w:rsid w:val="00FF2774"/>
    <w:rsid w:val="00FF2901"/>
    <w:rsid w:val="00FF2D0C"/>
    <w:rsid w:val="00FF2DC2"/>
    <w:rsid w:val="00FF2FEF"/>
    <w:rsid w:val="00FF3326"/>
    <w:rsid w:val="00FF33C1"/>
    <w:rsid w:val="00FF346D"/>
    <w:rsid w:val="00FF3518"/>
    <w:rsid w:val="00FF3579"/>
    <w:rsid w:val="00FF367D"/>
    <w:rsid w:val="00FF407B"/>
    <w:rsid w:val="00FF44C5"/>
    <w:rsid w:val="00FF47D4"/>
    <w:rsid w:val="00FF4927"/>
    <w:rsid w:val="00FF4F58"/>
    <w:rsid w:val="00FF5231"/>
    <w:rsid w:val="00FF533E"/>
    <w:rsid w:val="00FF53FE"/>
    <w:rsid w:val="00FF54C3"/>
    <w:rsid w:val="00FF5B9E"/>
    <w:rsid w:val="00FF60C6"/>
    <w:rsid w:val="00FF627C"/>
    <w:rsid w:val="00FF6343"/>
    <w:rsid w:val="00FF655D"/>
    <w:rsid w:val="00FF69B7"/>
    <w:rsid w:val="00FF6F12"/>
    <w:rsid w:val="00FF6F71"/>
    <w:rsid w:val="00FF73C1"/>
    <w:rsid w:val="00FF758C"/>
    <w:rsid w:val="00FF7757"/>
    <w:rsid w:val="00FF7871"/>
    <w:rsid w:val="00FF7998"/>
    <w:rsid w:val="00FF7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475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qFormat="1"/>
    <w:lsdException w:name="caption" w:uiPriority="0" w:qFormat="1"/>
    <w:lsdException w:name="footnote reference" w:qFormat="1"/>
    <w:lsdException w:name="annotation reference" w:uiPriority="0"/>
    <w:lsdException w:name="page number" w:uiPriority="0"/>
    <w:lsdException w:name="endnote text" w:uiPriority="0"/>
    <w:lsdException w:name="macro" w:uiPriority="0"/>
    <w:lsdException w:name="List"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9"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34"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23"/>
    <w:pPr>
      <w:spacing w:after="0" w:line="240" w:lineRule="auto"/>
    </w:pPr>
    <w:rPr>
      <w:rFonts w:ascii="Times New Roman" w:hAnsi="Times New Roman" w:cs="Times New Roman"/>
      <w:sz w:val="24"/>
      <w:szCs w:val="24"/>
      <w:lang w:eastAsia="fr-FR"/>
    </w:rPr>
  </w:style>
  <w:style w:type="paragraph" w:styleId="Cabealho1">
    <w:name w:val="heading 1"/>
    <w:aliases w:val=" Main Heading,Main Heading,TCI 1.  Heading,Main Heading 1,Heading 11,Heading 11 Car,Titre 11,An_Über 1,TITRE 1 + Droite :  8,5 cm,Avant : 25 pt,Après : 12 pt,Haut: (Simp...,Chapitre,Chapitre1,Chapitre2,Chapitre3,Chapitre4,Chapitre5,Chapitre6"/>
    <w:basedOn w:val="Normal"/>
    <w:next w:val="Normal"/>
    <w:link w:val="Cabealho1Carcter"/>
    <w:uiPriority w:val="9"/>
    <w:qFormat/>
    <w:rsid w:val="00A45EEC"/>
    <w:pPr>
      <w:keepNext/>
      <w:numPr>
        <w:numId w:val="23"/>
      </w:numPr>
      <w:spacing w:before="240" w:after="60"/>
      <w:outlineLvl w:val="0"/>
    </w:pPr>
    <w:rPr>
      <w:rFonts w:ascii="Cambria" w:hAnsi="Cambria"/>
      <w:b/>
      <w:bCs/>
      <w:kern w:val="32"/>
      <w:sz w:val="32"/>
      <w:szCs w:val="32"/>
    </w:rPr>
  </w:style>
  <w:style w:type="paragraph" w:styleId="Cabealho2">
    <w:name w:val="heading 2"/>
    <w:aliases w:val="Paranum,Chpt,Titolo 2,alec2,STitre 2,an_Über 2,Titre secondaire (2),sous-chapitre,Tend_Überschrift 2,Titre 2 tamarins,Titre Article,Titre 22,Kiyombo T2,Reset numbering,Major,Heading 2 Char,Chapitre 2,an,(1.1)"/>
    <w:basedOn w:val="Normal"/>
    <w:next w:val="Normal"/>
    <w:link w:val="Cabealho2Carcter"/>
    <w:qFormat/>
    <w:rsid w:val="00A45EEC"/>
    <w:pPr>
      <w:keepNext/>
      <w:numPr>
        <w:ilvl w:val="1"/>
        <w:numId w:val="23"/>
      </w:numPr>
      <w:spacing w:before="240" w:after="60"/>
      <w:outlineLvl w:val="1"/>
    </w:pPr>
    <w:rPr>
      <w:rFonts w:ascii="Cambria" w:hAnsi="Cambria"/>
      <w:b/>
      <w:bCs/>
      <w:i/>
      <w:iCs/>
      <w:sz w:val="28"/>
      <w:szCs w:val="28"/>
    </w:rPr>
  </w:style>
  <w:style w:type="paragraph" w:styleId="Cabealho3">
    <w:name w:val="heading 3"/>
    <w:aliases w:val="Centered, Centered,Titolo 3,Heading 3 (BM revised),centered"/>
    <w:basedOn w:val="Normal"/>
    <w:next w:val="Normal"/>
    <w:link w:val="Cabealho3Carcter"/>
    <w:qFormat/>
    <w:rsid w:val="00A45EEC"/>
    <w:pPr>
      <w:keepNext/>
      <w:numPr>
        <w:ilvl w:val="2"/>
        <w:numId w:val="23"/>
      </w:numPr>
      <w:spacing w:before="240" w:after="60"/>
      <w:outlineLvl w:val="2"/>
    </w:pPr>
    <w:rPr>
      <w:rFonts w:ascii="Cambria" w:hAnsi="Cambria"/>
      <w:b/>
      <w:bCs/>
      <w:sz w:val="26"/>
      <w:szCs w:val="26"/>
    </w:rPr>
  </w:style>
  <w:style w:type="paragraph" w:styleId="Cabealho4">
    <w:name w:val="heading 4"/>
    <w:aliases w:val="Sub-Clause Sub-paragraph, Sub-Clause Sub-paragraph"/>
    <w:basedOn w:val="Normal"/>
    <w:next w:val="Normal"/>
    <w:link w:val="Cabealho4Carcter"/>
    <w:qFormat/>
    <w:rsid w:val="00A45EEC"/>
    <w:pPr>
      <w:keepNext/>
      <w:numPr>
        <w:ilvl w:val="3"/>
        <w:numId w:val="23"/>
      </w:numPr>
      <w:spacing w:before="240" w:after="60"/>
      <w:outlineLvl w:val="3"/>
    </w:pPr>
    <w:rPr>
      <w:rFonts w:ascii="Calibri" w:hAnsi="Calibri"/>
      <w:b/>
      <w:bCs/>
      <w:sz w:val="28"/>
      <w:szCs w:val="28"/>
    </w:rPr>
  </w:style>
  <w:style w:type="paragraph" w:styleId="Cabealho5">
    <w:name w:val="heading 5"/>
    <w:aliases w:val="Side"/>
    <w:basedOn w:val="Normal"/>
    <w:next w:val="Normal"/>
    <w:link w:val="Cabealho5Carcter"/>
    <w:qFormat/>
    <w:rsid w:val="00A45EEC"/>
    <w:pPr>
      <w:keepNext/>
      <w:keepLines/>
      <w:numPr>
        <w:ilvl w:val="4"/>
        <w:numId w:val="23"/>
      </w:numPr>
      <w:spacing w:before="200" w:line="276" w:lineRule="auto"/>
      <w:outlineLvl w:val="4"/>
    </w:pPr>
    <w:rPr>
      <w:rFonts w:ascii="Cambria" w:hAnsi="Cambria"/>
      <w:color w:val="243F60"/>
      <w:sz w:val="20"/>
      <w:szCs w:val="20"/>
    </w:rPr>
  </w:style>
  <w:style w:type="paragraph" w:styleId="Cabealho6">
    <w:name w:val="heading 6"/>
    <w:basedOn w:val="Normal"/>
    <w:next w:val="Normal"/>
    <w:link w:val="Cabealho6Carcter"/>
    <w:qFormat/>
    <w:rsid w:val="00A45EEC"/>
    <w:pPr>
      <w:keepNext/>
      <w:keepLines/>
      <w:numPr>
        <w:ilvl w:val="5"/>
        <w:numId w:val="23"/>
      </w:numPr>
      <w:spacing w:before="200" w:line="276" w:lineRule="auto"/>
      <w:outlineLvl w:val="5"/>
    </w:pPr>
    <w:rPr>
      <w:rFonts w:ascii="Cambria" w:eastAsia="MS Gothic" w:hAnsi="Cambria"/>
      <w:i/>
      <w:iCs/>
      <w:color w:val="243F60"/>
      <w:sz w:val="20"/>
      <w:szCs w:val="20"/>
    </w:rPr>
  </w:style>
  <w:style w:type="paragraph" w:styleId="Cabealho7">
    <w:name w:val="heading 7"/>
    <w:basedOn w:val="Normal"/>
    <w:next w:val="Normal"/>
    <w:link w:val="Cabealho7Carcter"/>
    <w:qFormat/>
    <w:rsid w:val="00A45EEC"/>
    <w:pPr>
      <w:keepNext/>
      <w:numPr>
        <w:ilvl w:val="6"/>
        <w:numId w:val="23"/>
      </w:numPr>
      <w:jc w:val="both"/>
      <w:outlineLvl w:val="6"/>
    </w:pPr>
    <w:rPr>
      <w:b/>
      <w:bCs/>
      <w:sz w:val="20"/>
      <w:lang w:val="en-US" w:eastAsia="en-US"/>
    </w:rPr>
  </w:style>
  <w:style w:type="paragraph" w:styleId="Cabealho8">
    <w:name w:val="heading 8"/>
    <w:basedOn w:val="Normal"/>
    <w:next w:val="Normal"/>
    <w:link w:val="Cabealho8Carcter"/>
    <w:qFormat/>
    <w:rsid w:val="00A45EEC"/>
    <w:pPr>
      <w:keepNext/>
      <w:numPr>
        <w:ilvl w:val="7"/>
        <w:numId w:val="23"/>
      </w:numPr>
      <w:jc w:val="both"/>
      <w:outlineLvl w:val="7"/>
    </w:pPr>
    <w:rPr>
      <w:b/>
      <w:bCs/>
      <w:sz w:val="20"/>
      <w:lang w:val="en-US" w:eastAsia="en-US"/>
    </w:rPr>
  </w:style>
  <w:style w:type="paragraph" w:styleId="Cabealho9">
    <w:name w:val="heading 9"/>
    <w:aliases w:val="Listes"/>
    <w:basedOn w:val="Normal"/>
    <w:next w:val="Normal"/>
    <w:link w:val="Cabealho9Carcter"/>
    <w:qFormat/>
    <w:rsid w:val="00A45EEC"/>
    <w:pPr>
      <w:keepNext/>
      <w:numPr>
        <w:ilvl w:val="8"/>
        <w:numId w:val="23"/>
      </w:numPr>
      <w:spacing w:before="240" w:after="240"/>
      <w:jc w:val="center"/>
      <w:outlineLvl w:val="8"/>
    </w:pPr>
    <w:rPr>
      <w:b/>
      <w:sz w:val="28"/>
      <w:lang w:val="en-GB" w:eastAsia="it-I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Guidelines,En-tête CV,En-tête client,Kopfzeile Char Char, Char Char Char,heading 3 after h2,h,ContentsHeader,KPMG,Kopfzeile Angebot,alize,STYLE NORMAL,Heade,En-tête1,h3+,hd,he,*Header,Section Header,E.e,Cover Page,normal3,En-tête11,E.e1"/>
    <w:basedOn w:val="Normal"/>
    <w:link w:val="CabealhoCarcter"/>
    <w:unhideWhenUsed/>
    <w:qFormat/>
    <w:rsid w:val="00A45EEC"/>
    <w:pPr>
      <w:tabs>
        <w:tab w:val="center" w:pos="4536"/>
        <w:tab w:val="right" w:pos="9072"/>
      </w:tabs>
      <w:spacing w:after="200" w:line="276" w:lineRule="auto"/>
    </w:pPr>
    <w:rPr>
      <w:rFonts w:ascii="Calibri" w:eastAsia="Calibri" w:hAnsi="Calibri"/>
      <w:sz w:val="20"/>
      <w:szCs w:val="20"/>
    </w:rPr>
  </w:style>
  <w:style w:type="character" w:customStyle="1" w:styleId="CabealhoCarcter">
    <w:name w:val="Cabeçalho Carácter"/>
    <w:aliases w:val="Guidelines Carácter,En-tête CV Carácter,En-tête client Carácter,Kopfzeile Char Char Carácter, Char Char Char Carácter,heading 3 after h2 Carácter,h Carácter,ContentsHeader Carácter,KPMG Carácter,Kopfzeile Angebot Carácter,h3+ Carácter"/>
    <w:basedOn w:val="Tipodeletrapredefinidodopargrafo"/>
    <w:link w:val="Cabealho"/>
    <w:rsid w:val="00A45EEC"/>
    <w:rPr>
      <w:rFonts w:ascii="Calibri" w:eastAsia="Calibri" w:hAnsi="Calibri" w:cs="Times New Roman"/>
      <w:sz w:val="20"/>
      <w:szCs w:val="20"/>
      <w:lang w:eastAsia="fr-FR"/>
    </w:rPr>
  </w:style>
  <w:style w:type="paragraph" w:styleId="Textodebalo">
    <w:name w:val="Balloon Text"/>
    <w:basedOn w:val="Normal"/>
    <w:link w:val="TextodebaloCarcter"/>
    <w:uiPriority w:val="99"/>
    <w:semiHidden/>
    <w:unhideWhenUsed/>
    <w:rsid w:val="00A45EEC"/>
    <w:rPr>
      <w:rFonts w:ascii="Lucida Grande" w:hAnsi="Lucida Grande"/>
      <w:sz w:val="18"/>
      <w:szCs w:val="18"/>
    </w:rPr>
  </w:style>
  <w:style w:type="character" w:customStyle="1" w:styleId="TextodebaloCarcter">
    <w:name w:val="Texto de balão Carácter"/>
    <w:basedOn w:val="Tipodeletrapredefinidodopargrafo"/>
    <w:link w:val="Textodebalo"/>
    <w:uiPriority w:val="99"/>
    <w:semiHidden/>
    <w:rsid w:val="00A45EEC"/>
    <w:rPr>
      <w:rFonts w:ascii="Lucida Grande" w:eastAsia="Times New Roman" w:hAnsi="Lucida Grande" w:cs="Times New Roman"/>
      <w:sz w:val="18"/>
      <w:szCs w:val="18"/>
      <w:lang w:eastAsia="fr-FR"/>
    </w:rPr>
  </w:style>
  <w:style w:type="paragraph" w:styleId="Rodap">
    <w:name w:val="footer"/>
    <w:aliases w:val="puces points"/>
    <w:basedOn w:val="Normal"/>
    <w:link w:val="RodapCarcter"/>
    <w:uiPriority w:val="99"/>
    <w:unhideWhenUsed/>
    <w:rsid w:val="00A45EEC"/>
    <w:pPr>
      <w:tabs>
        <w:tab w:val="center" w:pos="4536"/>
        <w:tab w:val="right" w:pos="9072"/>
      </w:tabs>
    </w:pPr>
  </w:style>
  <w:style w:type="character" w:customStyle="1" w:styleId="RodapCarcter">
    <w:name w:val="Rodapé Carácter"/>
    <w:aliases w:val="puces points Carácter"/>
    <w:basedOn w:val="Tipodeletrapredefinidodopargrafo"/>
    <w:link w:val="Rodap"/>
    <w:uiPriority w:val="99"/>
    <w:rsid w:val="00A45EEC"/>
    <w:rPr>
      <w:rFonts w:ascii="Times New Roman" w:eastAsia="Times New Roman" w:hAnsi="Times New Roman" w:cs="Times New Roman"/>
      <w:sz w:val="24"/>
      <w:szCs w:val="24"/>
      <w:lang w:eastAsia="fr-FR"/>
    </w:rPr>
  </w:style>
  <w:style w:type="paragraph" w:customStyle="1" w:styleId="NormalWeb1">
    <w:name w:val="Normal (Web)1"/>
    <w:basedOn w:val="Normal"/>
    <w:next w:val="NormalWeb"/>
    <w:uiPriority w:val="99"/>
    <w:unhideWhenUsed/>
    <w:rsid w:val="00A45EEC"/>
    <w:pPr>
      <w:spacing w:before="100" w:beforeAutospacing="1" w:after="100" w:afterAutospacing="1"/>
    </w:pPr>
  </w:style>
  <w:style w:type="paragraph" w:styleId="NormalWeb">
    <w:name w:val="Normal (Web)"/>
    <w:basedOn w:val="Normal"/>
    <w:link w:val="NormalWebCarcter"/>
    <w:uiPriority w:val="99"/>
    <w:unhideWhenUsed/>
    <w:rsid w:val="00A45EEC"/>
  </w:style>
  <w:style w:type="character" w:customStyle="1" w:styleId="Cabealho1Carcter">
    <w:name w:val="Cabeçalho 1 Carácter"/>
    <w:aliases w:val=" Main Heading Carácter,Main Heading Carácter,TCI 1.  Heading Carácter,Main Heading 1 Carácter,Heading 11 Carácter,Heading 11 Car Carácter,Titre 11 Carácter,An_Über 1 Carácter,TITRE 1 + Droite :  8 Carácter,5 cm Carácter"/>
    <w:basedOn w:val="Tipodeletrapredefinidodopargrafo"/>
    <w:link w:val="Cabealho1"/>
    <w:uiPriority w:val="9"/>
    <w:rsid w:val="00A45EEC"/>
    <w:rPr>
      <w:rFonts w:ascii="Cambria" w:hAnsi="Cambria" w:cs="Times New Roman"/>
      <w:b/>
      <w:bCs/>
      <w:kern w:val="32"/>
      <w:sz w:val="32"/>
      <w:szCs w:val="32"/>
      <w:lang w:eastAsia="fr-FR"/>
    </w:rPr>
  </w:style>
  <w:style w:type="character" w:customStyle="1" w:styleId="Cabealho2Carcter">
    <w:name w:val="Cabeçalho 2 Carácter"/>
    <w:aliases w:val="Paranum Carácter,Chpt Carácter,Titolo 2 Carácter,alec2 Carácter,STitre 2 Carácter,an_Über 2 Carácter,Titre secondaire (2) Carácter,sous-chapitre Carácter,Tend_Überschrift 2 Carácter,Titre 2 tamarins Carácter,Titre Article Carácter"/>
    <w:basedOn w:val="Tipodeletrapredefinidodopargrafo"/>
    <w:link w:val="Cabealho2"/>
    <w:rsid w:val="00A45EEC"/>
    <w:rPr>
      <w:rFonts w:ascii="Cambria" w:hAnsi="Cambria" w:cs="Times New Roman"/>
      <w:b/>
      <w:bCs/>
      <w:i/>
      <w:iCs/>
      <w:sz w:val="28"/>
      <w:szCs w:val="28"/>
      <w:lang w:eastAsia="fr-FR"/>
    </w:rPr>
  </w:style>
  <w:style w:type="character" w:customStyle="1" w:styleId="Cabealho3Carcter">
    <w:name w:val="Cabeçalho 3 Carácter"/>
    <w:aliases w:val="Centered Carácter, Centered Carácter,Titolo 3 Carácter,Heading 3 (BM revised) Carácter,centered Carácter"/>
    <w:basedOn w:val="Tipodeletrapredefinidodopargrafo"/>
    <w:link w:val="Cabealho3"/>
    <w:rsid w:val="00A45EEC"/>
    <w:rPr>
      <w:rFonts w:ascii="Cambria" w:hAnsi="Cambria" w:cs="Times New Roman"/>
      <w:b/>
      <w:bCs/>
      <w:sz w:val="26"/>
      <w:szCs w:val="26"/>
      <w:lang w:eastAsia="fr-FR"/>
    </w:rPr>
  </w:style>
  <w:style w:type="character" w:customStyle="1" w:styleId="Cabealho4Carcter">
    <w:name w:val="Cabeçalho 4 Carácter"/>
    <w:aliases w:val="Sub-Clause Sub-paragraph Carácter, Sub-Clause Sub-paragraph Carácter"/>
    <w:basedOn w:val="Tipodeletrapredefinidodopargrafo"/>
    <w:link w:val="Cabealho4"/>
    <w:rsid w:val="00A45EEC"/>
    <w:rPr>
      <w:rFonts w:ascii="Calibri" w:hAnsi="Calibri" w:cs="Times New Roman"/>
      <w:b/>
      <w:bCs/>
      <w:sz w:val="28"/>
      <w:szCs w:val="28"/>
      <w:lang w:eastAsia="fr-FR"/>
    </w:rPr>
  </w:style>
  <w:style w:type="character" w:customStyle="1" w:styleId="Cabealho5Carcter">
    <w:name w:val="Cabeçalho 5 Carácter"/>
    <w:aliases w:val="Side Carácter"/>
    <w:basedOn w:val="Tipodeletrapredefinidodopargrafo"/>
    <w:link w:val="Cabealho5"/>
    <w:rsid w:val="00A45EEC"/>
    <w:rPr>
      <w:rFonts w:ascii="Cambria" w:hAnsi="Cambria" w:cs="Times New Roman"/>
      <w:color w:val="243F60"/>
      <w:sz w:val="20"/>
      <w:szCs w:val="20"/>
      <w:lang w:eastAsia="fr-FR"/>
    </w:rPr>
  </w:style>
  <w:style w:type="character" w:customStyle="1" w:styleId="Cabealho6Carcter">
    <w:name w:val="Cabeçalho 6 Carácter"/>
    <w:basedOn w:val="Tipodeletrapredefinidodopargrafo"/>
    <w:link w:val="Cabealho6"/>
    <w:rsid w:val="00A45EEC"/>
    <w:rPr>
      <w:rFonts w:ascii="Cambria" w:eastAsia="MS Gothic" w:hAnsi="Cambria" w:cs="Times New Roman"/>
      <w:i/>
      <w:iCs/>
      <w:color w:val="243F60"/>
      <w:sz w:val="20"/>
      <w:szCs w:val="20"/>
      <w:lang w:eastAsia="fr-FR"/>
    </w:rPr>
  </w:style>
  <w:style w:type="character" w:customStyle="1" w:styleId="Cabealho7Carcter">
    <w:name w:val="Cabeçalho 7 Carácter"/>
    <w:basedOn w:val="Tipodeletrapredefinidodopargrafo"/>
    <w:link w:val="Cabealho7"/>
    <w:rsid w:val="00A45EEC"/>
    <w:rPr>
      <w:rFonts w:ascii="Times New Roman" w:hAnsi="Times New Roman" w:cs="Times New Roman"/>
      <w:b/>
      <w:bCs/>
      <w:sz w:val="20"/>
      <w:szCs w:val="24"/>
      <w:lang w:val="en-US"/>
    </w:rPr>
  </w:style>
  <w:style w:type="character" w:customStyle="1" w:styleId="Cabealho8Carcter">
    <w:name w:val="Cabeçalho 8 Carácter"/>
    <w:basedOn w:val="Tipodeletrapredefinidodopargrafo"/>
    <w:link w:val="Cabealho8"/>
    <w:rsid w:val="00A45EEC"/>
    <w:rPr>
      <w:rFonts w:ascii="Times New Roman" w:hAnsi="Times New Roman" w:cs="Times New Roman"/>
      <w:b/>
      <w:bCs/>
      <w:sz w:val="20"/>
      <w:szCs w:val="24"/>
      <w:lang w:val="en-US"/>
    </w:rPr>
  </w:style>
  <w:style w:type="character" w:customStyle="1" w:styleId="Cabealho9Carcter">
    <w:name w:val="Cabeçalho 9 Carácter"/>
    <w:aliases w:val="Listes Carácter"/>
    <w:basedOn w:val="Tipodeletrapredefinidodopargrafo"/>
    <w:link w:val="Cabealho9"/>
    <w:rsid w:val="00A45EEC"/>
    <w:rPr>
      <w:rFonts w:ascii="Times New Roman" w:hAnsi="Times New Roman" w:cs="Times New Roman"/>
      <w:b/>
      <w:sz w:val="28"/>
      <w:szCs w:val="24"/>
      <w:lang w:val="en-GB" w:eastAsia="it-IT"/>
    </w:rPr>
  </w:style>
  <w:style w:type="character" w:styleId="Refdenotaderodap">
    <w:name w:val="footnote reference"/>
    <w:aliases w:val="ftref,(NECG) Footnote Reference,16 Point,Superscript 6 Point,Ref,de nota al pie,referencia nota al pie,Error-Fußnotenzeichen5,Error-Fußnotenzeichen6,Error-Fußnotenzeichen3,BVI fnr,Footnote Reference Number,Footnote Reference_LVL6"/>
    <w:link w:val="BVIfnrCarattereCharCharCharCarattereCharCharCharCharCharChar1CharCharChar"/>
    <w:uiPriority w:val="99"/>
    <w:qFormat/>
    <w:rsid w:val="00A45EEC"/>
    <w:rPr>
      <w:sz w:val="24"/>
      <w:vertAlign w:val="superscript"/>
    </w:rPr>
  </w:style>
  <w:style w:type="paragraph" w:styleId="Textodenotaderodap">
    <w:name w:val="footnote text"/>
    <w:aliases w:val=" Car1,Footnote Text Char1 Char,Footnote Text Char Char Char1,Footnote Text Char1 Char Char Char1,Footnote Text Char1 Char1 Char,Footnote Text Char Char Char Char,Footnote Text Char1 Char Char Char Char,ALTS FOOTNOT,ALTS FOOTNOTE"/>
    <w:basedOn w:val="Normal"/>
    <w:link w:val="TextodenotaderodapCarcter"/>
    <w:uiPriority w:val="99"/>
    <w:qFormat/>
    <w:rsid w:val="00A45EEC"/>
    <w:pPr>
      <w:keepNext/>
      <w:keepLines/>
      <w:spacing w:after="120"/>
      <w:ind w:left="432" w:hanging="432"/>
    </w:pPr>
    <w:rPr>
      <w:sz w:val="20"/>
      <w:szCs w:val="20"/>
    </w:rPr>
  </w:style>
  <w:style w:type="character" w:customStyle="1" w:styleId="TextodenotaderodapCarcter">
    <w:name w:val="Texto de nota de rodapé Carácter"/>
    <w:aliases w:val=" Car1 Carácter,Footnote Text Char1 Char Carácter,Footnote Text Char Char Char1 Carácter,Footnote Text Char1 Char Char Char1 Carácter,Footnote Text Char1 Char1 Char Carácter,Footnote Text Char Char Char Char Carácter"/>
    <w:basedOn w:val="Tipodeletrapredefinidodopargrafo"/>
    <w:link w:val="Textodenotaderodap"/>
    <w:uiPriority w:val="99"/>
    <w:qFormat/>
    <w:rsid w:val="00A45EEC"/>
    <w:rPr>
      <w:rFonts w:ascii="Times New Roman" w:eastAsia="Times New Roman" w:hAnsi="Times New Roman" w:cs="Times New Roman"/>
      <w:sz w:val="20"/>
      <w:szCs w:val="20"/>
      <w:lang w:eastAsia="fr-FR"/>
    </w:rPr>
  </w:style>
  <w:style w:type="character" w:customStyle="1" w:styleId="Tramecouleur-Accent3Car">
    <w:name w:val="Trame couleur - Accent 3 Car"/>
    <w:link w:val="SombreadoColorido-Cor3"/>
    <w:uiPriority w:val="34"/>
    <w:rsid w:val="00A45EEC"/>
    <w:rPr>
      <w:rFonts w:ascii="Times New Roman" w:eastAsia="Times New Roman" w:hAnsi="Times New Roman"/>
      <w:sz w:val="24"/>
      <w:szCs w:val="24"/>
    </w:rPr>
  </w:style>
  <w:style w:type="table" w:styleId="SombreadoColorido-Cor3">
    <w:name w:val="Colorful Shading Accent 3"/>
    <w:basedOn w:val="Tabelanormal"/>
    <w:link w:val="Tramecouleur-Accent3Car"/>
    <w:uiPriority w:val="34"/>
    <w:rsid w:val="00A45EEC"/>
    <w:pPr>
      <w:spacing w:after="0" w:line="240" w:lineRule="auto"/>
    </w:pPr>
    <w:rPr>
      <w:rFonts w:ascii="Times New Roman" w:eastAsia="Times New Roman" w:hAnsi="Times New Roman"/>
      <w:sz w:val="24"/>
      <w:szCs w:val="24"/>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customStyle="1" w:styleId="Default">
    <w:name w:val="Default"/>
    <w:link w:val="DefaultCar"/>
    <w:rsid w:val="00A45EEC"/>
    <w:pPr>
      <w:autoSpaceDE w:val="0"/>
      <w:autoSpaceDN w:val="0"/>
      <w:adjustRightInd w:val="0"/>
      <w:spacing w:after="0" w:line="240" w:lineRule="auto"/>
    </w:pPr>
    <w:rPr>
      <w:rFonts w:ascii="Arial" w:eastAsia="Calibri" w:hAnsi="Arial" w:cs="Arial"/>
      <w:color w:val="000000"/>
      <w:sz w:val="24"/>
      <w:szCs w:val="24"/>
      <w:lang w:eastAsia="fr-FR"/>
    </w:rPr>
  </w:style>
  <w:style w:type="paragraph" w:styleId="Corpodetexto">
    <w:name w:val="Body Text"/>
    <w:aliases w:val="Corps de texte Car Car Car,Corps de texte Car Car Car Car Car"/>
    <w:basedOn w:val="Normal"/>
    <w:link w:val="CorpodetextoCarcter"/>
    <w:unhideWhenUsed/>
    <w:rsid w:val="00A45EEC"/>
    <w:pPr>
      <w:spacing w:before="120" w:after="120"/>
      <w:ind w:left="720"/>
    </w:pPr>
    <w:rPr>
      <w:rFonts w:ascii="Gill Sans MT" w:hAnsi="Gill Sans MT"/>
      <w:spacing w:val="-5"/>
    </w:rPr>
  </w:style>
  <w:style w:type="character" w:customStyle="1" w:styleId="CorpodetextoCarcter">
    <w:name w:val="Corpo de texto Carácter"/>
    <w:aliases w:val="Corps de texte Car Car Car Carácter,Corps de texte Car Car Car Car Car Carácter"/>
    <w:basedOn w:val="Tipodeletrapredefinidodopargrafo"/>
    <w:link w:val="Corpodetexto"/>
    <w:rsid w:val="00A45EEC"/>
    <w:rPr>
      <w:rFonts w:ascii="Gill Sans MT" w:eastAsia="Times New Roman" w:hAnsi="Gill Sans MT" w:cs="Times New Roman"/>
      <w:spacing w:val="-5"/>
      <w:sz w:val="24"/>
      <w:szCs w:val="24"/>
      <w:lang w:eastAsia="fr-FR"/>
    </w:rPr>
  </w:style>
  <w:style w:type="table" w:styleId="Tabelacomgrelha">
    <w:name w:val="Table Grid"/>
    <w:basedOn w:val="Tabelanormal"/>
    <w:uiPriority w:val="59"/>
    <w:rsid w:val="00A45EEC"/>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Style5Noir">
    <w:name w:val="Style Style5 + Noir"/>
    <w:basedOn w:val="Normal"/>
    <w:autoRedefine/>
    <w:rsid w:val="00A45EEC"/>
    <w:pPr>
      <w:ind w:left="1080" w:hanging="720"/>
    </w:pPr>
    <w:rPr>
      <w:b/>
      <w:bCs/>
      <w:kern w:val="32"/>
      <w:lang w:eastAsia="wo-SN"/>
    </w:rPr>
  </w:style>
  <w:style w:type="paragraph" w:customStyle="1" w:styleId="Sansinterligne1">
    <w:name w:val="Sans interligne1"/>
    <w:uiPriority w:val="1"/>
    <w:qFormat/>
    <w:rsid w:val="00A45EEC"/>
    <w:pPr>
      <w:spacing w:after="0" w:line="240" w:lineRule="auto"/>
    </w:pPr>
    <w:rPr>
      <w:rFonts w:ascii="Calibri" w:eastAsia="Calibri" w:hAnsi="Calibri" w:cs="Times New Roman"/>
    </w:rPr>
  </w:style>
  <w:style w:type="paragraph" w:styleId="Lista">
    <w:name w:val="List"/>
    <w:basedOn w:val="Normal"/>
    <w:rsid w:val="00A45EEC"/>
    <w:pPr>
      <w:ind w:left="283" w:hanging="283"/>
    </w:pPr>
  </w:style>
  <w:style w:type="paragraph" w:styleId="Primeiroavanodecorpodetexto">
    <w:name w:val="Body Text First Indent"/>
    <w:basedOn w:val="Corpodetexto"/>
    <w:link w:val="PrimeiroavanodecorpodetextoCarcter"/>
    <w:uiPriority w:val="99"/>
    <w:semiHidden/>
    <w:unhideWhenUsed/>
    <w:rsid w:val="00A45EEC"/>
    <w:pPr>
      <w:spacing w:before="0" w:after="0"/>
      <w:ind w:left="0" w:firstLine="360"/>
    </w:pPr>
    <w:rPr>
      <w:rFonts w:ascii="Times New Roman" w:hAnsi="Times New Roman"/>
    </w:rPr>
  </w:style>
  <w:style w:type="character" w:customStyle="1" w:styleId="PrimeiroavanodecorpodetextoCarcter">
    <w:name w:val="Primeiro avanço de corpo de texto Carácter"/>
    <w:basedOn w:val="CorpodetextoCarcter"/>
    <w:link w:val="Primeiroavanodecorpodetexto"/>
    <w:uiPriority w:val="99"/>
    <w:semiHidden/>
    <w:rsid w:val="00A45EEC"/>
    <w:rPr>
      <w:rFonts w:ascii="Times New Roman" w:eastAsia="Times New Roman" w:hAnsi="Times New Roman" w:cs="Times New Roman"/>
      <w:spacing w:val="-5"/>
      <w:sz w:val="24"/>
      <w:szCs w:val="24"/>
      <w:lang w:eastAsia="fr-FR"/>
    </w:rPr>
  </w:style>
  <w:style w:type="character" w:styleId="Forte">
    <w:name w:val="Strong"/>
    <w:uiPriority w:val="22"/>
    <w:qFormat/>
    <w:rsid w:val="00A45EEC"/>
    <w:rPr>
      <w:b/>
      <w:bCs/>
    </w:rPr>
  </w:style>
  <w:style w:type="character" w:styleId="nfase">
    <w:name w:val="Emphasis"/>
    <w:uiPriority w:val="20"/>
    <w:qFormat/>
    <w:rsid w:val="00A45EEC"/>
    <w:rPr>
      <w:i/>
      <w:iCs/>
    </w:rPr>
  </w:style>
  <w:style w:type="paragraph" w:customStyle="1" w:styleId="xl33">
    <w:name w:val="xl33"/>
    <w:basedOn w:val="Normal"/>
    <w:rsid w:val="00A45EEC"/>
    <w:pPr>
      <w:spacing w:before="100" w:beforeAutospacing="1" w:after="100" w:afterAutospacing="1"/>
    </w:pPr>
  </w:style>
  <w:style w:type="paragraph" w:styleId="Listacommarcas2">
    <w:name w:val="List Bullet 2"/>
    <w:basedOn w:val="Normal"/>
    <w:link w:val="Listacommarcas2Carcter"/>
    <w:rsid w:val="00A45EEC"/>
    <w:pPr>
      <w:widowControl w:val="0"/>
      <w:numPr>
        <w:numId w:val="1"/>
      </w:numPr>
      <w:adjustRightInd w:val="0"/>
      <w:spacing w:line="360" w:lineRule="auto"/>
      <w:jc w:val="both"/>
      <w:textAlignment w:val="baseline"/>
    </w:pPr>
    <w:rPr>
      <w:rFonts w:ascii="Arial" w:hAnsi="Arial"/>
      <w:sz w:val="20"/>
      <w:lang w:val="en-US" w:bidi="en-US"/>
    </w:rPr>
  </w:style>
  <w:style w:type="character" w:customStyle="1" w:styleId="Listacommarcas2Carcter">
    <w:name w:val="Lista com marcas 2 Carácter"/>
    <w:link w:val="Listacommarcas2"/>
    <w:rsid w:val="00A45EEC"/>
    <w:rPr>
      <w:rFonts w:ascii="Arial" w:hAnsi="Arial" w:cs="Times New Roman"/>
      <w:sz w:val="20"/>
      <w:szCs w:val="24"/>
      <w:lang w:val="en-US" w:eastAsia="fr-FR" w:bidi="en-US"/>
    </w:rPr>
  </w:style>
  <w:style w:type="character" w:customStyle="1" w:styleId="Rfrenceple1">
    <w:name w:val="Référence pâle1"/>
    <w:uiPriority w:val="31"/>
    <w:qFormat/>
    <w:rsid w:val="00A45EEC"/>
    <w:rPr>
      <w:smallCaps/>
      <w:color w:val="C0504D"/>
      <w:u w:val="single"/>
    </w:rPr>
  </w:style>
  <w:style w:type="character" w:customStyle="1" w:styleId="Tramemoyenne2-Accent3Car">
    <w:name w:val="Trame moyenne 2 - Accent 3 Car"/>
    <w:link w:val="SombreadoMdio2-Cor3"/>
    <w:uiPriority w:val="69"/>
    <w:rsid w:val="00A45EEC"/>
    <w:rPr>
      <w:rFonts w:ascii="Times New Roman" w:eastAsia="Times New Roman" w:hAnsi="Times New Roman"/>
      <w:b/>
      <w:bCs/>
      <w:i/>
      <w:iCs/>
      <w:color w:val="4F81BD"/>
      <w:sz w:val="24"/>
      <w:szCs w:val="24"/>
    </w:rPr>
  </w:style>
  <w:style w:type="table" w:styleId="SombreadoMdio2-Cor3">
    <w:name w:val="Medium Shading 2 Accent 3"/>
    <w:basedOn w:val="Tabelanormal"/>
    <w:link w:val="Tramemoyenne2-Accent3Car"/>
    <w:uiPriority w:val="69"/>
    <w:rsid w:val="00A45EEC"/>
    <w:pPr>
      <w:spacing w:after="0" w:line="240" w:lineRule="auto"/>
    </w:pPr>
    <w:rPr>
      <w:rFonts w:ascii="Times New Roman" w:eastAsia="Times New Roman" w:hAnsi="Times New Roman"/>
      <w:b/>
      <w:bCs/>
      <w:i/>
      <w:iCs/>
      <w:color w:val="4F81BD"/>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character" w:customStyle="1" w:styleId="Grilleclaire-Accent3Car1">
    <w:name w:val="Grille claire - Accent 3 Car1"/>
    <w:link w:val="GrelhaClara-Cor3"/>
    <w:uiPriority w:val="34"/>
    <w:rsid w:val="00A45EEC"/>
    <w:rPr>
      <w:rFonts w:ascii="Calibri" w:eastAsia="Calibri" w:hAnsi="Calibri" w:cs="Times New Roman"/>
      <w:sz w:val="22"/>
      <w:szCs w:val="22"/>
      <w:lang w:eastAsia="en-US"/>
    </w:rPr>
  </w:style>
  <w:style w:type="table" w:styleId="GrelhaClara-Cor3">
    <w:name w:val="Light Grid Accent 3"/>
    <w:basedOn w:val="Tabelanormal"/>
    <w:link w:val="Grilleclaire-Accent3Car1"/>
    <w:uiPriority w:val="34"/>
    <w:rsid w:val="00A45EE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Legenda">
    <w:name w:val="caption"/>
    <w:aliases w:val=" Car Car Car,Légende Car,Car Car Car, Char Char Char Char Char, Char Char Char Char Char Char, Char Char Char Char, Car,Légende-Tableau,Légende dak,Car Car,Car Car Car Car Car,Car,Car Car Car Car Car Car Car Car Car,M"/>
    <w:basedOn w:val="Normal"/>
    <w:next w:val="Normal"/>
    <w:link w:val="LegendaCarcter"/>
    <w:qFormat/>
    <w:rsid w:val="00A45EEC"/>
    <w:rPr>
      <w:b/>
      <w:bCs/>
      <w:sz w:val="20"/>
      <w:szCs w:val="20"/>
    </w:rPr>
  </w:style>
  <w:style w:type="character" w:customStyle="1" w:styleId="LegendaCarcter">
    <w:name w:val="Legenda Carácter"/>
    <w:aliases w:val=" Car Car Car Carácter,Légende Car Carácter,Car Car Car Carácter, Char Char Char Char Char Carácter, Char Char Char Char Char Char Carácter, Char Char Char Char Carácter, Car Carácter,Légende-Tableau Carácter,Légende dak Carácter"/>
    <w:link w:val="Legenda"/>
    <w:uiPriority w:val="35"/>
    <w:qFormat/>
    <w:rsid w:val="00A45EEC"/>
    <w:rPr>
      <w:rFonts w:ascii="Times New Roman" w:eastAsia="Times New Roman" w:hAnsi="Times New Roman" w:cs="Times New Roman"/>
      <w:b/>
      <w:bCs/>
      <w:sz w:val="20"/>
      <w:szCs w:val="20"/>
      <w:lang w:eastAsia="fr-FR"/>
    </w:rPr>
  </w:style>
  <w:style w:type="paragraph" w:customStyle="1" w:styleId="En-ttedetabledesmatires1">
    <w:name w:val="En-tête de table des matières1"/>
    <w:basedOn w:val="Cabealho1"/>
    <w:next w:val="Normal"/>
    <w:unhideWhenUsed/>
    <w:qFormat/>
    <w:rsid w:val="00A45EEC"/>
    <w:pPr>
      <w:keepLines/>
      <w:numPr>
        <w:numId w:val="0"/>
      </w:numPr>
      <w:spacing w:before="480" w:after="0" w:line="276" w:lineRule="auto"/>
      <w:outlineLvl w:val="9"/>
    </w:pPr>
    <w:rPr>
      <w:color w:val="365F91"/>
      <w:kern w:val="0"/>
      <w:sz w:val="28"/>
      <w:szCs w:val="28"/>
      <w:lang w:eastAsia="en-US"/>
    </w:rPr>
  </w:style>
  <w:style w:type="paragraph" w:styleId="ndice1">
    <w:name w:val="toc 1"/>
    <w:basedOn w:val="Normal"/>
    <w:next w:val="Normal"/>
    <w:autoRedefine/>
    <w:uiPriority w:val="39"/>
    <w:unhideWhenUsed/>
    <w:qFormat/>
    <w:rsid w:val="00FB409C"/>
    <w:pPr>
      <w:tabs>
        <w:tab w:val="left" w:pos="480"/>
        <w:tab w:val="right" w:leader="dot" w:pos="10206"/>
      </w:tabs>
    </w:pPr>
    <w:rPr>
      <w:b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tyle>
  <w:style w:type="paragraph" w:styleId="ndice2">
    <w:name w:val="toc 2"/>
    <w:basedOn w:val="Normal"/>
    <w:next w:val="Normal"/>
    <w:autoRedefine/>
    <w:uiPriority w:val="39"/>
    <w:unhideWhenUsed/>
    <w:qFormat/>
    <w:rsid w:val="0001641A"/>
    <w:pPr>
      <w:tabs>
        <w:tab w:val="right" w:leader="dot" w:pos="9913"/>
      </w:tabs>
      <w:ind w:left="240"/>
    </w:pPr>
    <w:rPr>
      <w:rFonts w:asciiTheme="minorHAnsi" w:hAnsiTheme="minorHAnsi"/>
      <w:b/>
      <w:bCs/>
      <w:sz w:val="22"/>
      <w:szCs w:val="22"/>
    </w:rPr>
  </w:style>
  <w:style w:type="paragraph" w:styleId="ndice3">
    <w:name w:val="toc 3"/>
    <w:basedOn w:val="Normal"/>
    <w:next w:val="Normal"/>
    <w:autoRedefine/>
    <w:uiPriority w:val="39"/>
    <w:unhideWhenUsed/>
    <w:qFormat/>
    <w:rsid w:val="00A45EEC"/>
    <w:pPr>
      <w:ind w:left="480"/>
    </w:pPr>
    <w:rPr>
      <w:rFonts w:asciiTheme="minorHAnsi" w:hAnsiTheme="minorHAnsi"/>
      <w:sz w:val="22"/>
      <w:szCs w:val="22"/>
    </w:rPr>
  </w:style>
  <w:style w:type="character" w:styleId="Hiperligao">
    <w:name w:val="Hyperlink"/>
    <w:uiPriority w:val="99"/>
    <w:unhideWhenUsed/>
    <w:rsid w:val="00A45EEC"/>
    <w:rPr>
      <w:color w:val="0000FF"/>
      <w:u w:val="single"/>
    </w:rPr>
  </w:style>
  <w:style w:type="paragraph" w:styleId="ndice4">
    <w:name w:val="toc 4"/>
    <w:basedOn w:val="Normal"/>
    <w:next w:val="Normal"/>
    <w:autoRedefine/>
    <w:uiPriority w:val="39"/>
    <w:unhideWhenUsed/>
    <w:rsid w:val="00A45EEC"/>
    <w:pPr>
      <w:ind w:left="720"/>
    </w:pPr>
    <w:rPr>
      <w:rFonts w:asciiTheme="minorHAnsi" w:hAnsiTheme="minorHAnsi"/>
      <w:sz w:val="20"/>
      <w:szCs w:val="20"/>
    </w:rPr>
  </w:style>
  <w:style w:type="paragraph" w:styleId="ndice5">
    <w:name w:val="toc 5"/>
    <w:basedOn w:val="Normal"/>
    <w:next w:val="Normal"/>
    <w:autoRedefine/>
    <w:uiPriority w:val="39"/>
    <w:unhideWhenUsed/>
    <w:rsid w:val="00A45EEC"/>
    <w:pPr>
      <w:ind w:left="960"/>
    </w:pPr>
    <w:rPr>
      <w:rFonts w:asciiTheme="minorHAnsi" w:hAnsiTheme="minorHAnsi"/>
      <w:sz w:val="20"/>
      <w:szCs w:val="20"/>
    </w:rPr>
  </w:style>
  <w:style w:type="paragraph" w:styleId="ndice6">
    <w:name w:val="toc 6"/>
    <w:basedOn w:val="Normal"/>
    <w:next w:val="Normal"/>
    <w:autoRedefine/>
    <w:uiPriority w:val="39"/>
    <w:unhideWhenUsed/>
    <w:rsid w:val="00A45EEC"/>
    <w:pPr>
      <w:ind w:left="1200"/>
    </w:pPr>
    <w:rPr>
      <w:rFonts w:asciiTheme="minorHAnsi" w:hAnsiTheme="minorHAnsi"/>
      <w:sz w:val="20"/>
      <w:szCs w:val="20"/>
    </w:rPr>
  </w:style>
  <w:style w:type="paragraph" w:styleId="ndice7">
    <w:name w:val="toc 7"/>
    <w:basedOn w:val="Normal"/>
    <w:next w:val="Normal"/>
    <w:autoRedefine/>
    <w:uiPriority w:val="39"/>
    <w:unhideWhenUsed/>
    <w:rsid w:val="00A45EEC"/>
    <w:pPr>
      <w:ind w:left="1440"/>
    </w:pPr>
    <w:rPr>
      <w:rFonts w:asciiTheme="minorHAnsi" w:hAnsiTheme="minorHAnsi"/>
      <w:sz w:val="20"/>
      <w:szCs w:val="20"/>
    </w:rPr>
  </w:style>
  <w:style w:type="paragraph" w:styleId="ndice8">
    <w:name w:val="toc 8"/>
    <w:basedOn w:val="Normal"/>
    <w:next w:val="Normal"/>
    <w:autoRedefine/>
    <w:uiPriority w:val="39"/>
    <w:unhideWhenUsed/>
    <w:rsid w:val="00A45EEC"/>
    <w:pPr>
      <w:ind w:left="1680"/>
    </w:pPr>
    <w:rPr>
      <w:rFonts w:asciiTheme="minorHAnsi" w:hAnsiTheme="minorHAnsi"/>
      <w:sz w:val="20"/>
      <w:szCs w:val="20"/>
    </w:rPr>
  </w:style>
  <w:style w:type="paragraph" w:styleId="ndice9">
    <w:name w:val="toc 9"/>
    <w:basedOn w:val="Normal"/>
    <w:next w:val="Normal"/>
    <w:autoRedefine/>
    <w:uiPriority w:val="39"/>
    <w:unhideWhenUsed/>
    <w:rsid w:val="00A45EEC"/>
    <w:pPr>
      <w:ind w:left="1920"/>
    </w:pPr>
    <w:rPr>
      <w:rFonts w:asciiTheme="minorHAnsi" w:hAnsiTheme="minorHAnsi"/>
      <w:sz w:val="20"/>
      <w:szCs w:val="20"/>
    </w:rPr>
  </w:style>
  <w:style w:type="paragraph" w:styleId="ndicedeilustraes">
    <w:name w:val="table of figures"/>
    <w:basedOn w:val="Normal"/>
    <w:next w:val="Normal"/>
    <w:uiPriority w:val="99"/>
    <w:unhideWhenUsed/>
    <w:rsid w:val="00A45EEC"/>
  </w:style>
  <w:style w:type="paragraph" w:customStyle="1" w:styleId="Listecouleur-Accent11">
    <w:name w:val="Liste couleur - Accent 11"/>
    <w:basedOn w:val="Normal"/>
    <w:uiPriority w:val="34"/>
    <w:qFormat/>
    <w:rsid w:val="00A45EEC"/>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rsid w:val="00A45EEC"/>
  </w:style>
  <w:style w:type="paragraph" w:styleId="PargrafodaLista">
    <w:name w:val="List Paragraph"/>
    <w:aliases w:val="Paragraphe  revu,Bullets,Bullet L1,References,Liste 1,Numbered List Paragraph,ReferencesCxSpLast,List Paragraph (numbered (a)),List Paragraph nowy,figure,Colorful List - Accent 11,I..1,Puces,Paragraphe de liste1,itens,Bullet1,RM1"/>
    <w:basedOn w:val="Normal"/>
    <w:link w:val="PargrafodaListaCarcter"/>
    <w:uiPriority w:val="34"/>
    <w:qFormat/>
    <w:rsid w:val="00A45EEC"/>
    <w:pPr>
      <w:spacing w:after="200" w:line="276" w:lineRule="auto"/>
      <w:ind w:left="720"/>
      <w:contextualSpacing/>
    </w:pPr>
    <w:rPr>
      <w:rFonts w:ascii="Calibri" w:eastAsia="Calibri" w:hAnsi="Calibri"/>
      <w:sz w:val="20"/>
      <w:szCs w:val="20"/>
    </w:rPr>
  </w:style>
  <w:style w:type="character" w:customStyle="1" w:styleId="PargrafodaListaCarcter">
    <w:name w:val="Parágrafo da Lista Carácter"/>
    <w:aliases w:val="Paragraphe  revu Carácter,Bullets Carácter,Bullet L1 Carácter,References Carácter,Liste 1 Carácter,Numbered List Paragraph Carácter,ReferencesCxSpLast Carácter,List Paragraph (numbered (a)) Carácter,figure Carácter"/>
    <w:link w:val="PargrafodaLista"/>
    <w:uiPriority w:val="34"/>
    <w:qFormat/>
    <w:rsid w:val="00A45EEC"/>
    <w:rPr>
      <w:rFonts w:ascii="Calibri" w:eastAsia="Calibri" w:hAnsi="Calibri" w:cs="Times New Roman"/>
      <w:sz w:val="20"/>
      <w:szCs w:val="20"/>
      <w:lang w:eastAsia="fr-FR"/>
    </w:rPr>
  </w:style>
  <w:style w:type="paragraph" w:styleId="Avanodecorpodetexto">
    <w:name w:val="Body Text Indent"/>
    <w:basedOn w:val="Normal"/>
    <w:link w:val="AvanodecorpodetextoCarcter"/>
    <w:unhideWhenUsed/>
    <w:rsid w:val="00A45EEC"/>
    <w:pPr>
      <w:spacing w:after="120"/>
      <w:ind w:left="360"/>
    </w:pPr>
  </w:style>
  <w:style w:type="character" w:customStyle="1" w:styleId="AvanodecorpodetextoCarcter">
    <w:name w:val="Avanço de corpo de texto Carácter"/>
    <w:basedOn w:val="Tipodeletrapredefinidodopargrafo"/>
    <w:link w:val="Avanodecorpodetexto"/>
    <w:rsid w:val="00A45EEC"/>
    <w:rPr>
      <w:rFonts w:ascii="Times New Roman" w:eastAsia="Times New Roman" w:hAnsi="Times New Roman" w:cs="Times New Roman"/>
      <w:sz w:val="24"/>
      <w:szCs w:val="24"/>
      <w:lang w:eastAsia="fr-FR"/>
    </w:rPr>
  </w:style>
  <w:style w:type="paragraph" w:styleId="Corpodetexto3">
    <w:name w:val="Body Text 3"/>
    <w:basedOn w:val="Normal"/>
    <w:link w:val="Corpodetexto3Carcter"/>
    <w:rsid w:val="00A45EEC"/>
    <w:pPr>
      <w:spacing w:after="120"/>
    </w:pPr>
    <w:rPr>
      <w:sz w:val="16"/>
      <w:szCs w:val="16"/>
    </w:rPr>
  </w:style>
  <w:style w:type="character" w:customStyle="1" w:styleId="Corpodetexto3Carcter">
    <w:name w:val="Corpo de texto 3 Carácter"/>
    <w:basedOn w:val="Tipodeletrapredefinidodopargrafo"/>
    <w:link w:val="Corpodetexto3"/>
    <w:rsid w:val="00A45EEC"/>
    <w:rPr>
      <w:rFonts w:ascii="Times New Roman" w:eastAsia="Times New Roman" w:hAnsi="Times New Roman" w:cs="Times New Roman"/>
      <w:sz w:val="16"/>
      <w:szCs w:val="16"/>
      <w:lang w:eastAsia="fr-FR"/>
    </w:rPr>
  </w:style>
  <w:style w:type="paragraph" w:customStyle="1" w:styleId="Outline">
    <w:name w:val="Outline"/>
    <w:basedOn w:val="Normal"/>
    <w:rsid w:val="00A45EEC"/>
    <w:pPr>
      <w:spacing w:before="240"/>
    </w:pPr>
    <w:rPr>
      <w:kern w:val="28"/>
      <w:szCs w:val="20"/>
      <w:lang w:val="en-US" w:eastAsia="en-US"/>
    </w:rPr>
  </w:style>
  <w:style w:type="paragraph" w:customStyle="1" w:styleId="Spacebetweennumberedparas">
    <w:name w:val="Space between numbered paras"/>
    <w:basedOn w:val="Normal"/>
    <w:next w:val="Cabealho1"/>
    <w:rsid w:val="00A45EEC"/>
    <w:pPr>
      <w:overflowPunct w:val="0"/>
      <w:autoSpaceDE w:val="0"/>
      <w:autoSpaceDN w:val="0"/>
      <w:adjustRightInd w:val="0"/>
      <w:textAlignment w:val="baseline"/>
    </w:pPr>
    <w:rPr>
      <w:sz w:val="22"/>
      <w:szCs w:val="20"/>
      <w:lang w:val="en-US" w:eastAsia="en-US"/>
    </w:rPr>
  </w:style>
  <w:style w:type="character" w:customStyle="1" w:styleId="Rfrenceintense1">
    <w:name w:val="Référence intense1"/>
    <w:uiPriority w:val="32"/>
    <w:qFormat/>
    <w:rsid w:val="00A45EEC"/>
    <w:rPr>
      <w:b/>
      <w:bCs/>
      <w:smallCaps/>
      <w:color w:val="C0504D"/>
      <w:spacing w:val="5"/>
      <w:u w:val="single"/>
    </w:rPr>
  </w:style>
  <w:style w:type="character" w:customStyle="1" w:styleId="Grillemoyenne1-Accent2Car1">
    <w:name w:val="Grille moyenne 1 - Accent 2 Car1"/>
    <w:link w:val="GrelhaMdia1-Cor2"/>
    <w:rsid w:val="00A45EEC"/>
    <w:rPr>
      <w:rFonts w:ascii="Calibri" w:eastAsia="Times New Roman" w:hAnsi="Calibri" w:cs="Times New Roman"/>
    </w:rPr>
  </w:style>
  <w:style w:type="table" w:styleId="GrelhaMdia1-Cor2">
    <w:name w:val="Medium Grid 1 Accent 2"/>
    <w:basedOn w:val="Tabelanormal"/>
    <w:link w:val="Grillemoyenne1-Accent2Car1"/>
    <w:rsid w:val="00A45EEC"/>
    <w:pPr>
      <w:spacing w:after="0" w:line="240" w:lineRule="auto"/>
    </w:pPr>
    <w:rPr>
      <w:rFonts w:ascii="Calibri" w:eastAsia="Times New Roman"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Grillemoyenne1-Accent2Car">
    <w:name w:val="Grille moyenne 1 - Accent 2 Car"/>
    <w:aliases w:val="Medium Grid 1 - Accent 21 Car"/>
    <w:link w:val="Grillemoyenne1-Accent21"/>
    <w:uiPriority w:val="34"/>
    <w:qFormat/>
    <w:rsid w:val="00A45EEC"/>
    <w:rPr>
      <w:rFonts w:ascii="Times New Roman" w:eastAsia="Times New Roman" w:hAnsi="Times New Roman"/>
      <w:sz w:val="24"/>
      <w:szCs w:val="24"/>
    </w:rPr>
  </w:style>
  <w:style w:type="character" w:customStyle="1" w:styleId="Trameclaire-Accent2Car">
    <w:name w:val="Trame claire - Accent 2 Car"/>
    <w:link w:val="Trameclaire-Accent21"/>
    <w:uiPriority w:val="69"/>
    <w:rsid w:val="00A45EEC"/>
    <w:rPr>
      <w:rFonts w:ascii="Times New Roman" w:eastAsia="Times New Roman" w:hAnsi="Times New Roman"/>
      <w:b/>
      <w:bCs/>
      <w:i/>
      <w:iCs/>
      <w:color w:val="4F81BD"/>
      <w:sz w:val="24"/>
      <w:szCs w:val="24"/>
    </w:rPr>
  </w:style>
  <w:style w:type="character" w:customStyle="1" w:styleId="Listecouleur-Accent1Car1">
    <w:name w:val="Liste couleur - Accent 1 Car1"/>
    <w:uiPriority w:val="34"/>
    <w:rsid w:val="00A45EEC"/>
    <w:rPr>
      <w:rFonts w:ascii="Calibri" w:eastAsia="Calibri" w:hAnsi="Calibri" w:cs="Times New Roman"/>
      <w:sz w:val="22"/>
      <w:szCs w:val="22"/>
      <w:lang w:eastAsia="en-US"/>
    </w:rPr>
  </w:style>
  <w:style w:type="character" w:customStyle="1" w:styleId="Listecouleur-Accent1Car">
    <w:name w:val="Liste couleur - Accent 1 Car"/>
    <w:aliases w:val="Parágrafo da Lista s/espaço Car,RM1 Car,Citation List Car,List Bullet-OpsManual Car,Title Style 1 Car,List_Paragraph Car,Multilevel para_II Car,List Paragraph1 Car,Paragraphe de liste Car,Premier Car,Tableau Adere Car,I..1 C"/>
    <w:link w:val="ListaColorida-Cor1"/>
    <w:uiPriority w:val="34"/>
    <w:qFormat/>
    <w:rsid w:val="00A45EEC"/>
    <w:rPr>
      <w:rFonts w:ascii="Calibri" w:eastAsia="Times New Roman" w:hAnsi="Calibri" w:cs="Times New Roman"/>
    </w:rPr>
  </w:style>
  <w:style w:type="table" w:styleId="ListaColorida-Cor1">
    <w:name w:val="Colorful List Accent 1"/>
    <w:basedOn w:val="Tabelanormal"/>
    <w:link w:val="Listecouleur-Accent1Car"/>
    <w:qFormat/>
    <w:rsid w:val="00A45EEC"/>
    <w:pPr>
      <w:spacing w:after="0" w:line="240" w:lineRule="auto"/>
    </w:pPr>
    <w:rPr>
      <w:rFonts w:ascii="Calibri" w:eastAsia="Times New Roman"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GrelhaMdia3-Cor2">
    <w:name w:val="Medium Grid 3 Accent 2"/>
    <w:basedOn w:val="Tabelanormal"/>
    <w:uiPriority w:val="69"/>
    <w:rsid w:val="00A45EEC"/>
    <w:pPr>
      <w:spacing w:after="0" w:line="240" w:lineRule="auto"/>
    </w:pPr>
    <w:rPr>
      <w:rFonts w:ascii="Times New Roman" w:eastAsia="Times New Roman" w:hAnsi="Times New Roman" w:cs="Times New Roman"/>
      <w:b/>
      <w:bCs/>
      <w:i/>
      <w:iCs/>
      <w:color w:val="4F81BD"/>
      <w:sz w:val="24"/>
      <w:szCs w:val="24"/>
      <w:lang w:eastAsia="fr-FR"/>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acommarcas4">
    <w:name w:val="List Bullet 4"/>
    <w:basedOn w:val="Normal"/>
    <w:uiPriority w:val="99"/>
    <w:semiHidden/>
    <w:unhideWhenUsed/>
    <w:rsid w:val="00A45EEC"/>
    <w:pPr>
      <w:numPr>
        <w:numId w:val="2"/>
      </w:numPr>
      <w:contextualSpacing/>
    </w:pPr>
  </w:style>
  <w:style w:type="paragraph" w:styleId="SemEspaamento">
    <w:name w:val="No Spacing"/>
    <w:aliases w:val="INTRO"/>
    <w:link w:val="SemEspaamentoCarcter"/>
    <w:uiPriority w:val="1"/>
    <w:qFormat/>
    <w:rsid w:val="00A45EEC"/>
    <w:pPr>
      <w:spacing w:after="0" w:line="240" w:lineRule="auto"/>
    </w:pPr>
    <w:rPr>
      <w:rFonts w:ascii="Times New Roman" w:eastAsia="Times New Roman" w:hAnsi="Times New Roman" w:cs="Times New Roman"/>
      <w:sz w:val="24"/>
      <w:szCs w:val="24"/>
      <w:lang w:eastAsia="fr-FR"/>
    </w:rPr>
  </w:style>
  <w:style w:type="paragraph" w:customStyle="1" w:styleId="BankNormal">
    <w:name w:val="BankNormal"/>
    <w:basedOn w:val="Normal"/>
    <w:rsid w:val="00A45EEC"/>
    <w:pPr>
      <w:spacing w:after="240"/>
    </w:pPr>
    <w:rPr>
      <w:szCs w:val="20"/>
      <w:lang w:eastAsia="en-US"/>
    </w:rPr>
  </w:style>
  <w:style w:type="paragraph" w:styleId="Subttulo">
    <w:name w:val="Subtitle"/>
    <w:basedOn w:val="Normal"/>
    <w:next w:val="Normal"/>
    <w:link w:val="SubttuloCarcter"/>
    <w:qFormat/>
    <w:rsid w:val="00A45EEC"/>
    <w:pPr>
      <w:spacing w:after="60"/>
      <w:jc w:val="center"/>
      <w:outlineLvl w:val="1"/>
    </w:pPr>
    <w:rPr>
      <w:rFonts w:ascii="Cambria" w:hAnsi="Cambria"/>
    </w:rPr>
  </w:style>
  <w:style w:type="character" w:customStyle="1" w:styleId="SubttuloCarcter">
    <w:name w:val="Subtítulo Carácter"/>
    <w:basedOn w:val="Tipodeletrapredefinidodopargrafo"/>
    <w:link w:val="Subttulo"/>
    <w:rsid w:val="00A45EEC"/>
    <w:rPr>
      <w:rFonts w:ascii="Cambria" w:eastAsia="Times New Roman" w:hAnsi="Cambria" w:cs="Times New Roman"/>
      <w:sz w:val="24"/>
      <w:szCs w:val="24"/>
      <w:lang w:eastAsia="fr-FR"/>
    </w:rPr>
  </w:style>
  <w:style w:type="character" w:styleId="Refdecomentrio">
    <w:name w:val="annotation reference"/>
    <w:semiHidden/>
    <w:unhideWhenUsed/>
    <w:rsid w:val="00A45EEC"/>
    <w:rPr>
      <w:sz w:val="16"/>
      <w:szCs w:val="16"/>
    </w:rPr>
  </w:style>
  <w:style w:type="paragraph" w:styleId="Textodecomentrio">
    <w:name w:val="annotation text"/>
    <w:basedOn w:val="Normal"/>
    <w:link w:val="TextodecomentrioCarcter"/>
    <w:unhideWhenUsed/>
    <w:rsid w:val="00A45EEC"/>
    <w:rPr>
      <w:sz w:val="20"/>
      <w:szCs w:val="20"/>
    </w:rPr>
  </w:style>
  <w:style w:type="character" w:customStyle="1" w:styleId="TextodecomentrioCarcter">
    <w:name w:val="Texto de comentário Carácter"/>
    <w:basedOn w:val="Tipodeletrapredefinidodopargrafo"/>
    <w:link w:val="Textodecomentrio"/>
    <w:rsid w:val="00A45EEC"/>
    <w:rPr>
      <w:rFonts w:ascii="Times New Roman" w:eastAsia="Times New Roman" w:hAnsi="Times New Roman" w:cs="Times New Roman"/>
      <w:sz w:val="20"/>
      <w:szCs w:val="20"/>
      <w:lang w:eastAsia="fr-FR"/>
    </w:rPr>
  </w:style>
  <w:style w:type="paragraph" w:styleId="Assuntodecomentrio">
    <w:name w:val="annotation subject"/>
    <w:basedOn w:val="Textodecomentrio"/>
    <w:next w:val="Textodecomentrio"/>
    <w:link w:val="AssuntodecomentrioCarcter"/>
    <w:uiPriority w:val="99"/>
    <w:semiHidden/>
    <w:unhideWhenUsed/>
    <w:rsid w:val="00A45EEC"/>
    <w:rPr>
      <w:b/>
      <w:bCs/>
    </w:rPr>
  </w:style>
  <w:style w:type="character" w:customStyle="1" w:styleId="AssuntodecomentrioCarcter">
    <w:name w:val="Assunto de comentário Carácter"/>
    <w:basedOn w:val="TextodecomentrioCarcter"/>
    <w:link w:val="Assuntodecomentrio"/>
    <w:uiPriority w:val="99"/>
    <w:semiHidden/>
    <w:rsid w:val="00A45EEC"/>
    <w:rPr>
      <w:rFonts w:ascii="Times New Roman" w:eastAsia="Times New Roman" w:hAnsi="Times New Roman" w:cs="Times New Roman"/>
      <w:b/>
      <w:bCs/>
      <w:sz w:val="20"/>
      <w:szCs w:val="20"/>
      <w:lang w:eastAsia="fr-FR"/>
    </w:rPr>
  </w:style>
  <w:style w:type="paragraph" w:styleId="Ttulodondice">
    <w:name w:val="TOC Heading"/>
    <w:basedOn w:val="Cabealho1"/>
    <w:next w:val="Normal"/>
    <w:uiPriority w:val="39"/>
    <w:unhideWhenUsed/>
    <w:qFormat/>
    <w:rsid w:val="00A45EEC"/>
    <w:pPr>
      <w:keepLines/>
      <w:numPr>
        <w:numId w:val="0"/>
      </w:numPr>
      <w:spacing w:before="480" w:after="0" w:line="276" w:lineRule="auto"/>
      <w:outlineLvl w:val="9"/>
    </w:pPr>
    <w:rPr>
      <w:color w:val="365F91"/>
      <w:kern w:val="0"/>
      <w:sz w:val="28"/>
      <w:szCs w:val="28"/>
      <w:lang w:eastAsia="en-US"/>
    </w:rPr>
  </w:style>
  <w:style w:type="character" w:customStyle="1" w:styleId="Avanodecorpodetexto2Carcter">
    <w:name w:val="Avanço de corpo de texto 2 Carácter"/>
    <w:basedOn w:val="Tipodeletrapredefinidodopargrafo"/>
    <w:link w:val="Avanodecorpodetexto2"/>
    <w:uiPriority w:val="99"/>
    <w:rsid w:val="00A45EEC"/>
    <w:rPr>
      <w:rFonts w:ascii="Times New Roman" w:eastAsia="Calibri" w:hAnsi="Times New Roman" w:cs="Times New Roman"/>
      <w:sz w:val="24"/>
    </w:rPr>
  </w:style>
  <w:style w:type="paragraph" w:styleId="Avanodecorpodetexto2">
    <w:name w:val="Body Text Indent 2"/>
    <w:basedOn w:val="Normal"/>
    <w:link w:val="Avanodecorpodetexto2Carcter"/>
    <w:uiPriority w:val="99"/>
    <w:unhideWhenUsed/>
    <w:rsid w:val="00A45EEC"/>
    <w:pPr>
      <w:spacing w:after="120" w:line="480" w:lineRule="auto"/>
      <w:ind w:left="283"/>
    </w:pPr>
    <w:rPr>
      <w:rFonts w:eastAsia="Calibri"/>
      <w:szCs w:val="22"/>
      <w:lang w:eastAsia="en-US"/>
    </w:rPr>
  </w:style>
  <w:style w:type="character" w:customStyle="1" w:styleId="Retraitcorpsdetexte2Car1">
    <w:name w:val="Retrait corps de texte 2 Car1"/>
    <w:basedOn w:val="Tipodeletrapredefinidodopargrafo"/>
    <w:rsid w:val="00A45EEC"/>
    <w:rPr>
      <w:rFonts w:ascii="Times New Roman" w:eastAsia="Times New Roman" w:hAnsi="Times New Roman" w:cs="Times New Roman"/>
      <w:sz w:val="24"/>
      <w:szCs w:val="24"/>
      <w:lang w:eastAsia="fr-FR"/>
    </w:rPr>
  </w:style>
  <w:style w:type="character" w:customStyle="1" w:styleId="a">
    <w:name w:val="a"/>
    <w:rsid w:val="00A45EEC"/>
  </w:style>
  <w:style w:type="character" w:customStyle="1" w:styleId="l6">
    <w:name w:val="l6"/>
    <w:rsid w:val="00A45EEC"/>
  </w:style>
  <w:style w:type="character" w:customStyle="1" w:styleId="l7">
    <w:name w:val="l7"/>
    <w:rsid w:val="00A45EEC"/>
  </w:style>
  <w:style w:type="table" w:customStyle="1" w:styleId="Grilledutableau5">
    <w:name w:val="Grille du tableau5"/>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elanormal"/>
    <w:uiPriority w:val="39"/>
    <w:rsid w:val="00A45EE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locked/>
    <w:rsid w:val="00A45EEC"/>
    <w:rPr>
      <w:rFonts w:ascii="Arial Narrow" w:eastAsia="Times" w:hAnsi="Arial Narrow" w:cs="Angsana New"/>
      <w:sz w:val="19"/>
      <w:szCs w:val="20"/>
      <w:lang w:val="en-AU"/>
    </w:rPr>
  </w:style>
  <w:style w:type="paragraph" w:customStyle="1" w:styleId="Tabletext">
    <w:name w:val="Table text"/>
    <w:basedOn w:val="Normal"/>
    <w:link w:val="TabletextChar"/>
    <w:rsid w:val="00A45EEC"/>
    <w:pPr>
      <w:spacing w:after="60" w:line="300" w:lineRule="atLeast"/>
    </w:pPr>
    <w:rPr>
      <w:rFonts w:ascii="Arial Narrow" w:eastAsia="Times" w:hAnsi="Arial Narrow" w:cs="Angsana New"/>
      <w:sz w:val="19"/>
      <w:szCs w:val="20"/>
      <w:lang w:val="en-AU" w:eastAsia="en-US"/>
    </w:rPr>
  </w:style>
  <w:style w:type="table" w:customStyle="1" w:styleId="ESTableStyle">
    <w:name w:val="ES Table Style"/>
    <w:basedOn w:val="Tabelaprofissional"/>
    <w:uiPriority w:val="99"/>
    <w:rsid w:val="00A45EEC"/>
    <w:pPr>
      <w:adjustRightInd w:val="0"/>
      <w:snapToGrid w:val="0"/>
      <w:spacing w:after="120" w:line="240" w:lineRule="atLeast"/>
      <w:jc w:val="both"/>
    </w:pPr>
    <w:rPr>
      <w:rFonts w:ascii="Myriad Web Pro" w:eastAsiaTheme="minorEastAsia"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shd w:val="clear" w:color="auto" w:fill="auto"/>
    </w:tcPr>
    <w:tblStylePr w:type="firstRow">
      <w:rPr>
        <w:rFonts w:ascii="Rupee Foradian" w:hAnsi="Rupee Foradian" w:hint="default"/>
        <w:b/>
        <w:bCs/>
        <w:color w:val="auto"/>
        <w:sz w:val="18"/>
        <w:szCs w:val="18"/>
      </w:rPr>
      <w:tblPr/>
      <w:tcPr>
        <w:tcBorders>
          <w:tl2br w:val="none" w:sz="0" w:space="0" w:color="auto"/>
          <w:tr2bl w:val="none" w:sz="0" w:space="0" w:color="auto"/>
        </w:tcBorders>
        <w:shd w:val="clear" w:color="auto" w:fill="D5DCE4" w:themeFill="text2" w:themeFillTint="33"/>
      </w:tcPr>
    </w:tblStylePr>
  </w:style>
  <w:style w:type="table" w:styleId="Tabelaprofissional">
    <w:name w:val="Table Professional"/>
    <w:basedOn w:val="Tabelanormal"/>
    <w:uiPriority w:val="99"/>
    <w:semiHidden/>
    <w:unhideWhenUsed/>
    <w:rsid w:val="00A45EEC"/>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Grilledutableau1">
    <w:name w:val="Grille du tableau1"/>
    <w:basedOn w:val="Tabelanormal"/>
    <w:uiPriority w:val="59"/>
    <w:rsid w:val="00A45EE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ableCar">
    <w:name w:val="Table Car"/>
    <w:aliases w:val="LVT Table Heading Car,Légende Car Car Car,Légende Car1 Car,tableau 3. Car,tableau 6. Car,tableau 7. Car,Char Car,Fig Car,Table Caption Car,Figure Car,headings Car,CPR Caption Car,CPR Caption Char Car,Table1 Car,Figure1 Car,headings1 Char Car"/>
    <w:uiPriority w:val="35"/>
    <w:qFormat/>
    <w:locked/>
    <w:rsid w:val="00A45EEC"/>
    <w:rPr>
      <w:b/>
      <w:bCs/>
      <w:color w:val="4F81BD"/>
      <w:sz w:val="18"/>
      <w:szCs w:val="18"/>
    </w:rPr>
  </w:style>
  <w:style w:type="paragraph" w:customStyle="1" w:styleId="Clauses">
    <w:name w:val="Clauses"/>
    <w:basedOn w:val="Normal"/>
    <w:rsid w:val="00A45EEC"/>
    <w:pPr>
      <w:keepLines/>
      <w:numPr>
        <w:numId w:val="5"/>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A45EEC"/>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A45EEC"/>
    <w:pPr>
      <w:numPr>
        <w:ilvl w:val="3"/>
      </w:numPr>
      <w:tabs>
        <w:tab w:val="clear" w:pos="1418"/>
        <w:tab w:val="num" w:pos="1712"/>
        <w:tab w:val="left" w:pos="1843"/>
      </w:tabs>
      <w:ind w:left="1418" w:hanging="426"/>
    </w:pPr>
  </w:style>
  <w:style w:type="paragraph" w:customStyle="1" w:styleId="Normal1">
    <w:name w:val="Normal(1)"/>
    <w:basedOn w:val="Normal"/>
    <w:rsid w:val="00A45EEC"/>
    <w:pPr>
      <w:tabs>
        <w:tab w:val="num" w:pos="709"/>
      </w:tabs>
      <w:spacing w:after="120"/>
      <w:ind w:left="709" w:hanging="709"/>
      <w:jc w:val="both"/>
    </w:pPr>
    <w:rPr>
      <w:szCs w:val="20"/>
      <w:lang w:val="en-GB" w:eastAsia="en-GB"/>
    </w:rPr>
  </w:style>
  <w:style w:type="paragraph" w:styleId="Ttulo">
    <w:name w:val="Title"/>
    <w:basedOn w:val="Normal"/>
    <w:link w:val="TtuloCarcter"/>
    <w:qFormat/>
    <w:rsid w:val="00A45EEC"/>
    <w:pPr>
      <w:tabs>
        <w:tab w:val="right" w:leader="dot" w:pos="8640"/>
      </w:tabs>
      <w:jc w:val="center"/>
    </w:pPr>
    <w:rPr>
      <w:b/>
      <w:sz w:val="36"/>
      <w:szCs w:val="20"/>
      <w:lang w:val="en-US" w:eastAsia="en-US"/>
    </w:rPr>
  </w:style>
  <w:style w:type="character" w:customStyle="1" w:styleId="TitreCar">
    <w:name w:val="Titre Car"/>
    <w:basedOn w:val="Tipodeletrapredefinidodopargrafo"/>
    <w:rsid w:val="00A45EEC"/>
    <w:rPr>
      <w:rFonts w:asciiTheme="majorHAnsi" w:eastAsiaTheme="majorEastAsia" w:hAnsiTheme="majorHAnsi" w:cstheme="majorBidi"/>
      <w:spacing w:val="-10"/>
      <w:kern w:val="28"/>
      <w:sz w:val="56"/>
      <w:szCs w:val="56"/>
      <w:lang w:eastAsia="fr-FR"/>
    </w:rPr>
  </w:style>
  <w:style w:type="character" w:customStyle="1" w:styleId="TtuloCarcter">
    <w:name w:val="Título Carácter"/>
    <w:link w:val="Ttulo"/>
    <w:rsid w:val="00A45EEC"/>
    <w:rPr>
      <w:rFonts w:ascii="Times New Roman" w:eastAsia="Times New Roman" w:hAnsi="Times New Roman" w:cs="Times New Roman"/>
      <w:b/>
      <w:sz w:val="36"/>
      <w:szCs w:val="20"/>
      <w:lang w:val="en-US"/>
    </w:rPr>
  </w:style>
  <w:style w:type="character" w:customStyle="1" w:styleId="InciodecartaCarcter">
    <w:name w:val="Início de carta Carácter"/>
    <w:basedOn w:val="Tipodeletrapredefinidodopargrafo"/>
    <w:link w:val="Inciodecarta"/>
    <w:semiHidden/>
    <w:rsid w:val="00A45EEC"/>
    <w:rPr>
      <w:rFonts w:ascii="Times New Roman" w:eastAsia="Times New Roman" w:hAnsi="Times New Roman" w:cs="Times New Roman"/>
      <w:sz w:val="24"/>
      <w:szCs w:val="24"/>
      <w:lang w:val="en-US"/>
    </w:rPr>
  </w:style>
  <w:style w:type="paragraph" w:styleId="Inciodecarta">
    <w:name w:val="Salutation"/>
    <w:basedOn w:val="Normal"/>
    <w:next w:val="Normal"/>
    <w:link w:val="InciodecartaCarcter"/>
    <w:semiHidden/>
    <w:rsid w:val="00A45EEC"/>
    <w:rPr>
      <w:lang w:val="en-US" w:eastAsia="en-US"/>
    </w:rPr>
  </w:style>
  <w:style w:type="character" w:customStyle="1" w:styleId="SalutationsCar1">
    <w:name w:val="Salutations Car1"/>
    <w:basedOn w:val="Tipodeletrapredefinidodopargrafo"/>
    <w:uiPriority w:val="99"/>
    <w:semiHidden/>
    <w:rsid w:val="00A45EEC"/>
    <w:rPr>
      <w:rFonts w:ascii="Times New Roman" w:eastAsia="Times New Roman" w:hAnsi="Times New Roman" w:cs="Times New Roman"/>
      <w:sz w:val="24"/>
      <w:szCs w:val="24"/>
      <w:lang w:eastAsia="fr-FR"/>
    </w:rPr>
  </w:style>
  <w:style w:type="paragraph" w:styleId="Avanonormal">
    <w:name w:val="Normal Indent"/>
    <w:basedOn w:val="Normal"/>
    <w:rsid w:val="00A45EEC"/>
    <w:pPr>
      <w:ind w:left="708"/>
    </w:pPr>
    <w:rPr>
      <w:lang w:val="en-US" w:eastAsia="en-US"/>
    </w:rPr>
  </w:style>
  <w:style w:type="character" w:customStyle="1" w:styleId="Avanodecorpodetexto3Carcter">
    <w:name w:val="Avanço de corpo de texto 3 Carácter"/>
    <w:basedOn w:val="Tipodeletrapredefinidodopargrafo"/>
    <w:link w:val="Avanodecorpodetexto3"/>
    <w:semiHidden/>
    <w:rsid w:val="00A45EEC"/>
    <w:rPr>
      <w:rFonts w:ascii="Times New Roman" w:eastAsia="Times New Roman" w:hAnsi="Times New Roman" w:cs="Times New Roman"/>
      <w:sz w:val="24"/>
      <w:szCs w:val="24"/>
      <w:lang w:val="en-US"/>
    </w:rPr>
  </w:style>
  <w:style w:type="paragraph" w:styleId="Avanodecorpodetexto3">
    <w:name w:val="Body Text Indent 3"/>
    <w:basedOn w:val="Normal"/>
    <w:link w:val="Avanodecorpodetexto3Carcter"/>
    <w:semiHidden/>
    <w:rsid w:val="00A45EEC"/>
    <w:pPr>
      <w:ind w:left="1854" w:hanging="414"/>
      <w:jc w:val="both"/>
    </w:pPr>
    <w:rPr>
      <w:lang w:val="en-US" w:eastAsia="en-US"/>
    </w:rPr>
  </w:style>
  <w:style w:type="character" w:customStyle="1" w:styleId="Retraitcorpsdetexte3Car1">
    <w:name w:val="Retrait corps de texte 3 Car1"/>
    <w:basedOn w:val="Tipodeletrapredefinidodopargrafo"/>
    <w:uiPriority w:val="99"/>
    <w:semiHidden/>
    <w:rsid w:val="00A45EEC"/>
    <w:rPr>
      <w:rFonts w:ascii="Times New Roman" w:eastAsia="Times New Roman" w:hAnsi="Times New Roman" w:cs="Times New Roman"/>
      <w:sz w:val="16"/>
      <w:szCs w:val="16"/>
      <w:lang w:eastAsia="fr-FR"/>
    </w:rPr>
  </w:style>
  <w:style w:type="paragraph" w:customStyle="1" w:styleId="xl26">
    <w:name w:val="xl26"/>
    <w:basedOn w:val="Normal"/>
    <w:rsid w:val="00A45EEC"/>
    <w:pPr>
      <w:spacing w:before="100" w:beforeAutospacing="1" w:after="100" w:afterAutospacing="1"/>
    </w:pPr>
    <w:rPr>
      <w:b/>
      <w:bCs/>
      <w:lang w:val="it-IT" w:eastAsia="it-IT"/>
    </w:rPr>
  </w:style>
  <w:style w:type="paragraph" w:customStyle="1" w:styleId="xl143">
    <w:name w:val="xl143"/>
    <w:basedOn w:val="Normal"/>
    <w:rsid w:val="00A45EEC"/>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Nmerodepgina">
    <w:name w:val="page number"/>
    <w:rsid w:val="00A45EEC"/>
    <w:rPr>
      <w:rFonts w:cs="Times New Roman"/>
    </w:rPr>
  </w:style>
  <w:style w:type="paragraph" w:customStyle="1" w:styleId="xl41">
    <w:name w:val="xl41"/>
    <w:basedOn w:val="Normal"/>
    <w:rsid w:val="00A45EEC"/>
    <w:pPr>
      <w:spacing w:before="100" w:beforeAutospacing="1" w:after="100" w:afterAutospacing="1"/>
    </w:pPr>
    <w:rPr>
      <w:sz w:val="20"/>
      <w:szCs w:val="20"/>
      <w:lang w:val="it-IT" w:eastAsia="it-IT"/>
    </w:rPr>
  </w:style>
  <w:style w:type="paragraph" w:customStyle="1" w:styleId="A1-Heading1">
    <w:name w:val="A1-Heading1"/>
    <w:basedOn w:val="Cabealho1"/>
    <w:rsid w:val="00A45EEC"/>
    <w:pPr>
      <w:keepNext w:val="0"/>
      <w:numPr>
        <w:numId w:val="0"/>
      </w:numPr>
      <w:spacing w:after="240"/>
      <w:jc w:val="center"/>
    </w:pPr>
    <w:rPr>
      <w:rFonts w:ascii="Times New Roman" w:hAnsi="Times New Roman"/>
      <w:bCs w:val="0"/>
      <w:kern w:val="0"/>
      <w:szCs w:val="20"/>
      <w:lang w:val="en-US" w:eastAsia="en-US"/>
    </w:rPr>
  </w:style>
  <w:style w:type="paragraph" w:customStyle="1" w:styleId="A1-Heading2">
    <w:name w:val="A1-Heading2"/>
    <w:basedOn w:val="Cabealho2"/>
    <w:link w:val="A1-Heading2Char"/>
    <w:rsid w:val="00A45EEC"/>
    <w:pPr>
      <w:keepNext w:val="0"/>
      <w:numPr>
        <w:ilvl w:val="0"/>
        <w:numId w:val="0"/>
      </w:numPr>
      <w:tabs>
        <w:tab w:val="left" w:pos="360"/>
      </w:tabs>
      <w:spacing w:before="0" w:after="0"/>
      <w:ind w:left="720" w:hanging="360"/>
      <w:contextualSpacing/>
      <w:jc w:val="center"/>
    </w:pPr>
    <w:rPr>
      <w:rFonts w:ascii="Times New Roman" w:hAnsi="Times New Roman"/>
      <w:i w:val="0"/>
      <w:iCs w:val="0"/>
      <w:smallCaps/>
      <w:sz w:val="24"/>
      <w:szCs w:val="24"/>
      <w:lang w:val="en-GB" w:eastAsia="en-US"/>
    </w:rPr>
  </w:style>
  <w:style w:type="character" w:customStyle="1" w:styleId="A1-Heading2Char">
    <w:name w:val="A1-Heading2 Char"/>
    <w:link w:val="A1-Heading2"/>
    <w:rsid w:val="00A45EEC"/>
    <w:rPr>
      <w:rFonts w:ascii="Times New Roman" w:eastAsia="Times New Roman" w:hAnsi="Times New Roman" w:cs="Times New Roman"/>
      <w:b/>
      <w:bCs/>
      <w:smallCaps/>
      <w:sz w:val="24"/>
      <w:szCs w:val="24"/>
      <w:lang w:val="en-GB"/>
    </w:rPr>
  </w:style>
  <w:style w:type="paragraph" w:customStyle="1" w:styleId="A2-Heading1">
    <w:name w:val="A2-Heading 1"/>
    <w:basedOn w:val="Cabealho1"/>
    <w:rsid w:val="00A45EEC"/>
    <w:pPr>
      <w:keepNext w:val="0"/>
      <w:numPr>
        <w:ilvl w:val="12"/>
        <w:numId w:val="0"/>
      </w:numPr>
      <w:spacing w:before="0" w:after="0"/>
      <w:jc w:val="center"/>
    </w:pPr>
    <w:rPr>
      <w:rFonts w:ascii="Times New Roman Bold" w:hAnsi="Times New Roman Bold"/>
      <w:bCs w:val="0"/>
      <w:kern w:val="0"/>
      <w:szCs w:val="24"/>
      <w:lang w:val="en-US" w:eastAsia="en-US"/>
    </w:rPr>
  </w:style>
  <w:style w:type="paragraph" w:customStyle="1" w:styleId="A2-Heading2">
    <w:name w:val="A2-Heading 2"/>
    <w:basedOn w:val="Cabealho2"/>
    <w:rsid w:val="00A45EEC"/>
    <w:pPr>
      <w:keepNext w:val="0"/>
      <w:numPr>
        <w:ilvl w:val="0"/>
        <w:numId w:val="0"/>
      </w:numPr>
      <w:tabs>
        <w:tab w:val="num" w:pos="360"/>
      </w:tabs>
      <w:spacing w:before="0" w:after="0"/>
      <w:ind w:left="720" w:hanging="720"/>
      <w:contextualSpacing/>
      <w:jc w:val="center"/>
    </w:pPr>
    <w:rPr>
      <w:rFonts w:ascii="Times New Roman" w:hAnsi="Times New Roman"/>
      <w:i w:val="0"/>
      <w:iCs w:val="0"/>
      <w:smallCaps/>
      <w:sz w:val="24"/>
      <w:szCs w:val="24"/>
      <w:lang w:val="en-GB" w:eastAsia="en-US"/>
    </w:rPr>
  </w:style>
  <w:style w:type="paragraph" w:customStyle="1" w:styleId="A1-Heading3">
    <w:name w:val="A1-Heading 3"/>
    <w:basedOn w:val="Cabealho3"/>
    <w:rsid w:val="00A45EEC"/>
    <w:pPr>
      <w:keepNext w:val="0"/>
      <w:numPr>
        <w:ilvl w:val="0"/>
        <w:numId w:val="0"/>
      </w:numPr>
      <w:tabs>
        <w:tab w:val="left" w:pos="540"/>
      </w:tabs>
      <w:spacing w:before="0" w:after="0"/>
      <w:ind w:left="533" w:right="-29" w:hanging="533"/>
      <w:contextualSpacing/>
    </w:pPr>
    <w:rPr>
      <w:rFonts w:ascii="Times New Roman" w:hAnsi="Times New Roman"/>
      <w:sz w:val="24"/>
      <w:szCs w:val="24"/>
      <w:lang w:val="en-GB" w:eastAsia="en-US"/>
    </w:rPr>
  </w:style>
  <w:style w:type="paragraph" w:customStyle="1" w:styleId="A1-Heading4">
    <w:name w:val="A1-Heading 4"/>
    <w:basedOn w:val="Cabealho4"/>
    <w:rsid w:val="00A45EEC"/>
    <w:pPr>
      <w:keepNext w:val="0"/>
      <w:numPr>
        <w:ilvl w:val="0"/>
        <w:numId w:val="0"/>
      </w:numPr>
      <w:tabs>
        <w:tab w:val="left" w:pos="720"/>
        <w:tab w:val="left" w:pos="1062"/>
        <w:tab w:val="right" w:leader="dot" w:pos="8640"/>
      </w:tabs>
      <w:spacing w:before="0" w:after="0"/>
      <w:ind w:left="1062" w:hanging="720"/>
    </w:pPr>
    <w:rPr>
      <w:rFonts w:ascii="Times New Roman" w:hAnsi="Times New Roman"/>
      <w:sz w:val="24"/>
      <w:szCs w:val="24"/>
      <w:lang w:val="en-US" w:eastAsia="en-US"/>
    </w:rPr>
  </w:style>
  <w:style w:type="paragraph" w:customStyle="1" w:styleId="A2-Heading3">
    <w:name w:val="A2-Heading 3"/>
    <w:basedOn w:val="Cabealho3"/>
    <w:rsid w:val="00A45EEC"/>
    <w:pPr>
      <w:keepNext w:val="0"/>
      <w:numPr>
        <w:ilvl w:val="0"/>
        <w:numId w:val="0"/>
      </w:numPr>
      <w:tabs>
        <w:tab w:val="left" w:pos="540"/>
      </w:tabs>
      <w:spacing w:before="0" w:after="0"/>
      <w:ind w:left="539" w:right="-34" w:hanging="539"/>
      <w:contextualSpacing/>
    </w:pPr>
    <w:rPr>
      <w:rFonts w:ascii="Times New Roman" w:hAnsi="Times New Roman"/>
      <w:sz w:val="24"/>
      <w:szCs w:val="24"/>
      <w:lang w:val="en-GB" w:eastAsia="en-US"/>
    </w:rPr>
  </w:style>
  <w:style w:type="character" w:customStyle="1" w:styleId="TextodenotadefimCarcter">
    <w:name w:val="Texto de nota de fim Carácter"/>
    <w:basedOn w:val="Tipodeletrapredefinidodopargrafo"/>
    <w:link w:val="Textodenotadefim"/>
    <w:semiHidden/>
    <w:rsid w:val="00A45EEC"/>
    <w:rPr>
      <w:rFonts w:ascii="Times New Roman" w:eastAsia="Times New Roman" w:hAnsi="Times New Roman" w:cs="Times New Roman"/>
      <w:sz w:val="20"/>
      <w:szCs w:val="20"/>
      <w:lang w:val="en-US"/>
    </w:rPr>
  </w:style>
  <w:style w:type="paragraph" w:styleId="Textodenotadefim">
    <w:name w:val="endnote text"/>
    <w:basedOn w:val="Normal"/>
    <w:link w:val="TextodenotadefimCarcter"/>
    <w:semiHidden/>
    <w:rsid w:val="00A45EEC"/>
    <w:rPr>
      <w:sz w:val="20"/>
      <w:szCs w:val="20"/>
      <w:lang w:val="en-US" w:eastAsia="en-US"/>
    </w:rPr>
  </w:style>
  <w:style w:type="character" w:customStyle="1" w:styleId="NotedefinCar1">
    <w:name w:val="Note de fin Car1"/>
    <w:basedOn w:val="Tipodeletrapredefinidodopargrafo"/>
    <w:uiPriority w:val="99"/>
    <w:semiHidden/>
    <w:rsid w:val="00A45EEC"/>
    <w:rPr>
      <w:rFonts w:ascii="Times New Roman" w:eastAsia="Times New Roman" w:hAnsi="Times New Roman" w:cs="Times New Roman"/>
      <w:sz w:val="20"/>
      <w:szCs w:val="20"/>
      <w:lang w:eastAsia="fr-FR"/>
    </w:rPr>
  </w:style>
  <w:style w:type="paragraph" w:customStyle="1" w:styleId="Section3-Heading1">
    <w:name w:val="Section 3 - Heading 1"/>
    <w:basedOn w:val="Normal"/>
    <w:rsid w:val="00A45EEC"/>
    <w:pPr>
      <w:pBdr>
        <w:bottom w:val="single" w:sz="4" w:space="1" w:color="auto"/>
      </w:pBdr>
      <w:spacing w:after="240"/>
      <w:jc w:val="center"/>
    </w:pPr>
    <w:rPr>
      <w:rFonts w:ascii="Times New Roman Bold" w:hAnsi="Times New Roman Bold"/>
      <w:b/>
      <w:sz w:val="32"/>
      <w:lang w:val="en-US" w:eastAsia="en-US"/>
    </w:rPr>
  </w:style>
  <w:style w:type="paragraph" w:customStyle="1" w:styleId="CharChar">
    <w:name w:val="Char Char"/>
    <w:basedOn w:val="Normal"/>
    <w:rsid w:val="00A45EEC"/>
    <w:pPr>
      <w:autoSpaceDE w:val="0"/>
      <w:autoSpaceDN w:val="0"/>
      <w:spacing w:after="160" w:line="240" w:lineRule="exact"/>
    </w:pPr>
    <w:rPr>
      <w:rFonts w:ascii="Arial" w:hAnsi="Arial" w:cs="Arial"/>
      <w:b/>
      <w:sz w:val="20"/>
      <w:szCs w:val="20"/>
      <w:lang w:val="en-US" w:eastAsia="de-DE"/>
    </w:rPr>
  </w:style>
  <w:style w:type="character" w:customStyle="1" w:styleId="GaramondTimesNewRoman">
    <w:name w:val="Стиль Стиль Garamond + Times New Roman"/>
    <w:rsid w:val="00A45EEC"/>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rsid w:val="00A45EEC"/>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Cabealho"/>
    <w:rsid w:val="00A45EEC"/>
    <w:pPr>
      <w:numPr>
        <w:numId w:val="6"/>
      </w:numPr>
      <w:tabs>
        <w:tab w:val="clear" w:pos="4536"/>
        <w:tab w:val="clear" w:pos="9072"/>
      </w:tabs>
      <w:spacing w:after="0" w:line="240" w:lineRule="auto"/>
      <w:ind w:right="-88"/>
      <w:jc w:val="both"/>
    </w:pPr>
    <w:rPr>
      <w:rFonts w:ascii="Arial" w:eastAsia="Times New Roman" w:hAnsi="Arial" w:cs="Arial"/>
      <w:bCs/>
      <w:sz w:val="22"/>
      <w:szCs w:val="24"/>
      <w:lang w:val="en-GB" w:eastAsia="en-US"/>
    </w:rPr>
  </w:style>
  <w:style w:type="paragraph" w:customStyle="1" w:styleId="Subtitulos">
    <w:name w:val="Subtitulos"/>
    <w:basedOn w:val="Cabealho2"/>
    <w:rsid w:val="00A45EEC"/>
    <w:pPr>
      <w:keepNext w:val="0"/>
      <w:numPr>
        <w:ilvl w:val="0"/>
        <w:numId w:val="0"/>
      </w:numPr>
      <w:tabs>
        <w:tab w:val="left" w:pos="360"/>
      </w:tabs>
      <w:spacing w:before="120" w:after="120"/>
      <w:contextualSpacing/>
    </w:pPr>
    <w:rPr>
      <w:rFonts w:ascii="Times New Roman Bold" w:hAnsi="Times New Roman Bold"/>
      <w:bCs w:val="0"/>
      <w:i w:val="0"/>
      <w:iCs w:val="0"/>
      <w:sz w:val="24"/>
      <w:szCs w:val="20"/>
      <w:lang w:val="es-ES_tradnl" w:eastAsia="en-US"/>
    </w:rPr>
  </w:style>
  <w:style w:type="paragraph" w:customStyle="1" w:styleId="41Autolist4">
    <w:name w:val="4.1 Autolist4"/>
    <w:basedOn w:val="Normal"/>
    <w:next w:val="Normal"/>
    <w:rsid w:val="00A45EEC"/>
    <w:pPr>
      <w:keepNext/>
      <w:spacing w:before="120" w:after="120"/>
      <w:jc w:val="both"/>
    </w:pPr>
    <w:rPr>
      <w:szCs w:val="20"/>
      <w:lang w:val="en-US" w:eastAsia="en-US"/>
    </w:rPr>
  </w:style>
  <w:style w:type="paragraph" w:customStyle="1" w:styleId="iAutoList">
    <w:name w:val="(i) AutoList"/>
    <w:basedOn w:val="Normal"/>
    <w:next w:val="Normal"/>
    <w:rsid w:val="00A45EEC"/>
    <w:pPr>
      <w:spacing w:before="120" w:after="120"/>
      <w:ind w:left="720" w:hanging="360"/>
      <w:jc w:val="both"/>
    </w:pPr>
    <w:rPr>
      <w:snapToGrid w:val="0"/>
      <w:szCs w:val="20"/>
      <w:lang w:val="es-ES_tradnl" w:eastAsia="en-US"/>
    </w:rPr>
  </w:style>
  <w:style w:type="paragraph" w:styleId="Corpodetexto2">
    <w:name w:val="Body Text 2"/>
    <w:basedOn w:val="Normal"/>
    <w:link w:val="Corpodetexto2Carcter"/>
    <w:unhideWhenUsed/>
    <w:rsid w:val="00A45EEC"/>
    <w:pPr>
      <w:spacing w:after="120" w:line="480" w:lineRule="auto"/>
    </w:pPr>
    <w:rPr>
      <w:lang w:val="en-US" w:eastAsia="en-US"/>
    </w:rPr>
  </w:style>
  <w:style w:type="character" w:customStyle="1" w:styleId="Corpsdetexte2Car">
    <w:name w:val="Corps de texte 2 Car"/>
    <w:basedOn w:val="Tipodeletrapredefinidodopargrafo"/>
    <w:rsid w:val="00A45EEC"/>
    <w:rPr>
      <w:rFonts w:ascii="Times New Roman" w:eastAsia="Times New Roman" w:hAnsi="Times New Roman" w:cs="Times New Roman"/>
      <w:sz w:val="24"/>
      <w:szCs w:val="24"/>
      <w:lang w:eastAsia="fr-FR"/>
    </w:rPr>
  </w:style>
  <w:style w:type="character" w:customStyle="1" w:styleId="Corpodetexto2Carcter">
    <w:name w:val="Corpo de texto 2 Carácter"/>
    <w:link w:val="Corpodetexto2"/>
    <w:rsid w:val="00A45EEC"/>
    <w:rPr>
      <w:rFonts w:ascii="Times New Roman" w:eastAsia="Times New Roman" w:hAnsi="Times New Roman" w:cs="Times New Roman"/>
      <w:sz w:val="24"/>
      <w:szCs w:val="24"/>
      <w:lang w:val="en-US"/>
    </w:rPr>
  </w:style>
  <w:style w:type="paragraph" w:customStyle="1" w:styleId="Section4-Heading1">
    <w:name w:val="Section 4 - Heading 1"/>
    <w:basedOn w:val="Section3-Heading1"/>
    <w:rsid w:val="00A45EEC"/>
  </w:style>
  <w:style w:type="paragraph" w:customStyle="1" w:styleId="Header1-Clauses">
    <w:name w:val="Header 1 - Clauses"/>
    <w:basedOn w:val="Normal"/>
    <w:rsid w:val="00A45EEC"/>
    <w:pPr>
      <w:numPr>
        <w:numId w:val="7"/>
      </w:numPr>
    </w:pPr>
    <w:rPr>
      <w:b/>
      <w:szCs w:val="20"/>
      <w:lang w:val="es-ES_tradnl" w:eastAsia="en-US"/>
    </w:rPr>
  </w:style>
  <w:style w:type="paragraph" w:customStyle="1" w:styleId="Header2-SubClauses">
    <w:name w:val="Header 2 - SubClauses"/>
    <w:basedOn w:val="Normal"/>
    <w:rsid w:val="00A45EEC"/>
    <w:pPr>
      <w:numPr>
        <w:ilvl w:val="1"/>
        <w:numId w:val="7"/>
      </w:numPr>
      <w:tabs>
        <w:tab w:val="left" w:pos="619"/>
      </w:tabs>
      <w:spacing w:after="200"/>
      <w:jc w:val="both"/>
    </w:pPr>
    <w:rPr>
      <w:szCs w:val="20"/>
      <w:lang w:val="es-ES_tradnl" w:eastAsia="en-US"/>
    </w:rPr>
  </w:style>
  <w:style w:type="paragraph" w:customStyle="1" w:styleId="P3Header1-Clauses">
    <w:name w:val="P3 Header1-Clauses"/>
    <w:basedOn w:val="Header1-Clauses"/>
    <w:rsid w:val="00A45EEC"/>
    <w:pPr>
      <w:numPr>
        <w:ilvl w:val="2"/>
      </w:numPr>
    </w:pPr>
  </w:style>
  <w:style w:type="character" w:customStyle="1" w:styleId="DeltaViewInsertion">
    <w:name w:val="DeltaView Insertion"/>
    <w:rsid w:val="00A45EEC"/>
    <w:rPr>
      <w:color w:val="0000FF"/>
      <w:u w:val="double"/>
    </w:rPr>
  </w:style>
  <w:style w:type="paragraph" w:customStyle="1" w:styleId="Section8Heading1">
    <w:name w:val="Section 8. Heading1"/>
    <w:basedOn w:val="A1-Heading2"/>
    <w:qFormat/>
    <w:rsid w:val="00A45EEC"/>
    <w:pPr>
      <w:numPr>
        <w:numId w:val="11"/>
      </w:numPr>
      <w:tabs>
        <w:tab w:val="clear" w:pos="360"/>
      </w:tabs>
      <w:spacing w:before="120" w:after="240"/>
      <w:ind w:left="928"/>
      <w:contextualSpacing w:val="0"/>
    </w:pPr>
    <w:rPr>
      <w:sz w:val="28"/>
      <w:lang w:val="en-US"/>
    </w:rPr>
  </w:style>
  <w:style w:type="paragraph" w:customStyle="1" w:styleId="Section8Heading2">
    <w:name w:val="Section 8. Heading2"/>
    <w:next w:val="Normal"/>
    <w:qFormat/>
    <w:rsid w:val="00A45EEC"/>
    <w:pPr>
      <w:numPr>
        <w:numId w:val="12"/>
      </w:numPr>
      <w:spacing w:after="200" w:line="240" w:lineRule="auto"/>
    </w:pPr>
    <w:rPr>
      <w:rFonts w:ascii="Times New Roman" w:eastAsia="Times New Roman" w:hAnsi="Times New Roman" w:cs="Times New Roman"/>
      <w:b/>
      <w:bCs/>
      <w:sz w:val="24"/>
      <w:szCs w:val="24"/>
      <w:lang w:val="en-US"/>
    </w:rPr>
  </w:style>
  <w:style w:type="paragraph" w:customStyle="1" w:styleId="Section8Header1">
    <w:name w:val="Section 8. Header1"/>
    <w:qFormat/>
    <w:rsid w:val="00A45EEC"/>
    <w:pPr>
      <w:numPr>
        <w:numId w:val="13"/>
      </w:numPr>
      <w:spacing w:before="240" w:after="240" w:line="240" w:lineRule="auto"/>
      <w:jc w:val="center"/>
    </w:pPr>
    <w:rPr>
      <w:rFonts w:ascii="Times New Roman" w:eastAsia="Times New Roman" w:hAnsi="Times New Roman" w:cs="Times New Roman"/>
      <w:b/>
      <w:sz w:val="32"/>
      <w:szCs w:val="20"/>
      <w:lang w:val="en-US"/>
    </w:rPr>
  </w:style>
  <w:style w:type="paragraph" w:customStyle="1" w:styleId="Section8Heading3">
    <w:name w:val="Section 8. Heading3"/>
    <w:qFormat/>
    <w:rsid w:val="00A45EEC"/>
    <w:pPr>
      <w:spacing w:after="0" w:line="240" w:lineRule="auto"/>
      <w:ind w:hanging="534"/>
    </w:pPr>
    <w:rPr>
      <w:rFonts w:ascii="Times New Roman" w:eastAsia="Times New Roman" w:hAnsi="Times New Roman" w:cs="Times New Roman"/>
      <w:b/>
      <w:bCs/>
      <w:sz w:val="24"/>
      <w:szCs w:val="24"/>
      <w:lang w:val="en-US"/>
    </w:rPr>
  </w:style>
  <w:style w:type="paragraph" w:customStyle="1" w:styleId="Document1">
    <w:name w:val="Document 1"/>
    <w:rsid w:val="00A45EEC"/>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xtBoxFramed">
    <w:name w:val="Text Box Framed"/>
    <w:basedOn w:val="Normal"/>
    <w:rsid w:val="00A45EEC"/>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paragraph" w:customStyle="1" w:styleId="p7">
    <w:name w:val="p7"/>
    <w:basedOn w:val="Normal"/>
    <w:rsid w:val="00A45EEC"/>
    <w:pPr>
      <w:widowControl w:val="0"/>
      <w:spacing w:line="360" w:lineRule="atLeast"/>
      <w:ind w:left="720" w:hanging="720"/>
    </w:pPr>
    <w:rPr>
      <w:rFonts w:ascii="Chicago" w:hAnsi="Chicago"/>
      <w:snapToGrid w:val="0"/>
      <w:szCs w:val="20"/>
      <w:lang w:val="en-US" w:eastAsia="en-US"/>
    </w:rPr>
  </w:style>
  <w:style w:type="paragraph" w:customStyle="1" w:styleId="p3">
    <w:name w:val="p3"/>
    <w:basedOn w:val="Normal"/>
    <w:rsid w:val="00A45EEC"/>
    <w:pPr>
      <w:widowControl w:val="0"/>
      <w:tabs>
        <w:tab w:val="left" w:pos="0"/>
      </w:tabs>
      <w:spacing w:line="240" w:lineRule="atLeast"/>
      <w:jc w:val="both"/>
      <w:outlineLvl w:val="1"/>
    </w:pPr>
    <w:rPr>
      <w:rFonts w:ascii="Arial" w:hAnsi="Arial" w:cs="Arial"/>
      <w:b/>
      <w:bCs/>
      <w:snapToGrid w:val="0"/>
      <w:sz w:val="20"/>
      <w:szCs w:val="20"/>
      <w:lang w:eastAsia="en-US"/>
    </w:rPr>
  </w:style>
  <w:style w:type="paragraph" w:customStyle="1" w:styleId="p4">
    <w:name w:val="p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18">
    <w:name w:val="p18"/>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13">
    <w:name w:val="p13"/>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38">
    <w:name w:val="p38"/>
    <w:basedOn w:val="Normal"/>
    <w:rsid w:val="00A45EEC"/>
    <w:pPr>
      <w:widowControl w:val="0"/>
      <w:spacing w:line="240" w:lineRule="atLeast"/>
      <w:ind w:left="700" w:hanging="700"/>
    </w:pPr>
    <w:rPr>
      <w:rFonts w:ascii="Chicago" w:hAnsi="Chicago"/>
      <w:snapToGrid w:val="0"/>
      <w:szCs w:val="20"/>
      <w:lang w:val="en-US" w:eastAsia="en-US"/>
    </w:rPr>
  </w:style>
  <w:style w:type="paragraph" w:customStyle="1" w:styleId="p33">
    <w:name w:val="p33"/>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26">
    <w:name w:val="p26"/>
    <w:basedOn w:val="Normal"/>
    <w:rsid w:val="00A45EEC"/>
    <w:pPr>
      <w:widowControl w:val="0"/>
      <w:tabs>
        <w:tab w:val="left" w:pos="0"/>
      </w:tabs>
      <w:spacing w:line="240" w:lineRule="atLeast"/>
      <w:ind w:firstLine="720"/>
    </w:pPr>
    <w:rPr>
      <w:rFonts w:ascii="Chicago" w:hAnsi="Chicago"/>
      <w:snapToGrid w:val="0"/>
      <w:szCs w:val="20"/>
      <w:lang w:val="en-US" w:eastAsia="en-US"/>
    </w:rPr>
  </w:style>
  <w:style w:type="paragraph" w:customStyle="1" w:styleId="p17">
    <w:name w:val="p17"/>
    <w:basedOn w:val="Normal"/>
    <w:rsid w:val="00A45EEC"/>
    <w:pPr>
      <w:widowControl w:val="0"/>
      <w:tabs>
        <w:tab w:val="left" w:pos="720"/>
      </w:tabs>
      <w:spacing w:line="240" w:lineRule="atLeast"/>
      <w:jc w:val="both"/>
    </w:pPr>
    <w:rPr>
      <w:rFonts w:ascii="Chicago" w:hAnsi="Chicago"/>
      <w:snapToGrid w:val="0"/>
      <w:szCs w:val="20"/>
      <w:lang w:val="en-US" w:eastAsia="en-US"/>
    </w:rPr>
  </w:style>
  <w:style w:type="paragraph" w:customStyle="1" w:styleId="p46">
    <w:name w:val="p46"/>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35">
    <w:name w:val="p35"/>
    <w:basedOn w:val="Normal"/>
    <w:rsid w:val="00A45EEC"/>
    <w:pPr>
      <w:widowControl w:val="0"/>
      <w:tabs>
        <w:tab w:val="left" w:pos="720"/>
      </w:tabs>
      <w:spacing w:line="360" w:lineRule="atLeast"/>
    </w:pPr>
    <w:rPr>
      <w:rFonts w:ascii="Chicago" w:hAnsi="Chicago"/>
      <w:snapToGrid w:val="0"/>
      <w:szCs w:val="20"/>
      <w:lang w:val="en-US" w:eastAsia="en-US"/>
    </w:rPr>
  </w:style>
  <w:style w:type="paragraph" w:customStyle="1" w:styleId="p51">
    <w:name w:val="p51"/>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54">
    <w:name w:val="p5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23">
    <w:name w:val="p23"/>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En-ttetitre-chapitre">
    <w:name w:val="En-tête titre-chapitre"/>
    <w:basedOn w:val="Cabealho"/>
    <w:rsid w:val="00A45EEC"/>
    <w:pPr>
      <w:widowControl w:val="0"/>
      <w:pBdr>
        <w:bottom w:val="single" w:sz="18" w:space="4" w:color="auto"/>
      </w:pBdr>
      <w:tabs>
        <w:tab w:val="clear" w:pos="4536"/>
        <w:tab w:val="clear" w:pos="9072"/>
      </w:tabs>
      <w:spacing w:after="0" w:line="240" w:lineRule="auto"/>
      <w:ind w:left="-992" w:right="1134" w:firstLine="851"/>
      <w:jc w:val="right"/>
    </w:pPr>
    <w:rPr>
      <w:rFonts w:ascii="Arial Narrow" w:eastAsia="Times New Roman" w:hAnsi="Arial Narrow"/>
      <w:b/>
      <w:smallCaps/>
      <w:sz w:val="28"/>
    </w:rPr>
  </w:style>
  <w:style w:type="paragraph" w:styleId="Listacommarcas3">
    <w:name w:val="List Bullet 3"/>
    <w:basedOn w:val="Normal"/>
    <w:autoRedefine/>
    <w:semiHidden/>
    <w:rsid w:val="00490E6E"/>
    <w:pPr>
      <w:numPr>
        <w:numId w:val="43"/>
      </w:numPr>
    </w:pPr>
    <w:rPr>
      <w:b/>
    </w:rPr>
  </w:style>
  <w:style w:type="paragraph" w:styleId="Listanumerada2">
    <w:name w:val="List Number 2"/>
    <w:basedOn w:val="Normal"/>
    <w:semiHidden/>
    <w:rsid w:val="00A45EEC"/>
    <w:pPr>
      <w:numPr>
        <w:numId w:val="15"/>
      </w:numPr>
      <w:tabs>
        <w:tab w:val="clear" w:pos="643"/>
        <w:tab w:val="num" w:pos="1080"/>
      </w:tabs>
      <w:spacing w:before="120" w:after="120" w:line="300" w:lineRule="auto"/>
      <w:ind w:left="1080"/>
      <w:jc w:val="both"/>
    </w:pPr>
    <w:rPr>
      <w:rFonts w:ascii="Arial" w:eastAsia="Calibri" w:hAnsi="Arial"/>
      <w:sz w:val="20"/>
      <w:lang w:val="en-GB" w:eastAsia="en-US"/>
    </w:rPr>
  </w:style>
  <w:style w:type="paragraph" w:customStyle="1" w:styleId="AATitre3">
    <w:name w:val="AA Titre 3"/>
    <w:basedOn w:val="Normal"/>
    <w:rsid w:val="00A45EEC"/>
    <w:pPr>
      <w:numPr>
        <w:numId w:val="16"/>
      </w:numPr>
      <w:suppressAutoHyphens/>
      <w:spacing w:before="120" w:after="120"/>
      <w:jc w:val="both"/>
    </w:pPr>
    <w:rPr>
      <w:sz w:val="22"/>
      <w:szCs w:val="20"/>
      <w:lang w:eastAsia="ar-SA"/>
    </w:rPr>
  </w:style>
  <w:style w:type="paragraph" w:customStyle="1" w:styleId="ListAlpha2">
    <w:name w:val="List Alpha 2"/>
    <w:basedOn w:val="Normal"/>
    <w:next w:val="Normal"/>
    <w:rsid w:val="00A45EEC"/>
    <w:pPr>
      <w:numPr>
        <w:ilvl w:val="1"/>
        <w:numId w:val="17"/>
      </w:numPr>
      <w:tabs>
        <w:tab w:val="left" w:pos="50"/>
      </w:tabs>
      <w:spacing w:after="200" w:line="288" w:lineRule="auto"/>
      <w:jc w:val="both"/>
    </w:pPr>
    <w:rPr>
      <w:rFonts w:ascii="CG Times" w:hAnsi="CG Times"/>
      <w:color w:val="000000"/>
      <w:sz w:val="22"/>
      <w:szCs w:val="22"/>
      <w:lang w:val="en-GB"/>
    </w:rPr>
  </w:style>
  <w:style w:type="paragraph" w:customStyle="1" w:styleId="ListAlpha3">
    <w:name w:val="List Alpha 3"/>
    <w:basedOn w:val="Normal"/>
    <w:next w:val="Normal"/>
    <w:rsid w:val="00A45EEC"/>
    <w:pPr>
      <w:numPr>
        <w:numId w:val="17"/>
      </w:numPr>
      <w:tabs>
        <w:tab w:val="left" w:pos="68"/>
      </w:tabs>
      <w:spacing w:after="200" w:line="288" w:lineRule="auto"/>
      <w:jc w:val="both"/>
    </w:pPr>
    <w:rPr>
      <w:rFonts w:ascii="CG Times" w:hAnsi="CG Times"/>
      <w:color w:val="000000"/>
      <w:sz w:val="22"/>
      <w:szCs w:val="22"/>
      <w:lang w:val="en-GB"/>
    </w:rPr>
  </w:style>
  <w:style w:type="paragraph" w:customStyle="1" w:styleId="LISTALPHACAPS2">
    <w:name w:val="LIST ALPHA CAPS 2"/>
    <w:basedOn w:val="Normal"/>
    <w:next w:val="Normal"/>
    <w:rsid w:val="00A45EEC"/>
    <w:pPr>
      <w:numPr>
        <w:ilvl w:val="2"/>
        <w:numId w:val="17"/>
      </w:numPr>
      <w:tabs>
        <w:tab w:val="left" w:pos="50"/>
      </w:tabs>
      <w:spacing w:after="200" w:line="288" w:lineRule="auto"/>
      <w:jc w:val="both"/>
    </w:pPr>
    <w:rPr>
      <w:rFonts w:ascii="CG Times" w:hAnsi="CG Times"/>
      <w:color w:val="000000"/>
      <w:sz w:val="22"/>
      <w:szCs w:val="22"/>
      <w:lang w:val="en-GB"/>
    </w:rPr>
  </w:style>
  <w:style w:type="character" w:customStyle="1" w:styleId="NotedebasdepageCar2">
    <w:name w:val="Note de bas de page Car2"/>
    <w:locked/>
    <w:rsid w:val="00A45EEC"/>
    <w:rPr>
      <w:lang w:val="en-US" w:eastAsia="en-US"/>
    </w:rPr>
  </w:style>
  <w:style w:type="paragraph" w:customStyle="1" w:styleId="Paragraphedeliste2">
    <w:name w:val="Paragraphe de liste2"/>
    <w:basedOn w:val="Normal"/>
    <w:qFormat/>
    <w:rsid w:val="00A45EEC"/>
    <w:pPr>
      <w:ind w:left="720"/>
    </w:pPr>
    <w:rPr>
      <w:lang w:val="en-US" w:eastAsia="en-US"/>
    </w:rPr>
  </w:style>
  <w:style w:type="paragraph" w:customStyle="1" w:styleId="En-ttedetabledesmatires11">
    <w:name w:val="En-tête de table des matières11"/>
    <w:basedOn w:val="Cabealho1"/>
    <w:next w:val="Normal"/>
    <w:unhideWhenUsed/>
    <w:qFormat/>
    <w:rsid w:val="00A45EEC"/>
    <w:pPr>
      <w:keepLines/>
      <w:numPr>
        <w:numId w:val="0"/>
      </w:numPr>
      <w:spacing w:before="480" w:after="0" w:line="276" w:lineRule="auto"/>
      <w:outlineLvl w:val="9"/>
    </w:pPr>
    <w:rPr>
      <w:color w:val="365F91"/>
      <w:kern w:val="0"/>
      <w:sz w:val="28"/>
      <w:szCs w:val="28"/>
      <w:lang w:val="en-US" w:eastAsia="en-US"/>
    </w:rPr>
  </w:style>
  <w:style w:type="paragraph" w:customStyle="1" w:styleId="BodyText21">
    <w:name w:val="Body Text 21"/>
    <w:basedOn w:val="Normal"/>
    <w:rsid w:val="00A45EEC"/>
    <w:rPr>
      <w:kern w:val="24"/>
      <w:sz w:val="22"/>
      <w:szCs w:val="20"/>
      <w:lang w:val="en-US" w:eastAsia="en-US"/>
    </w:rPr>
  </w:style>
  <w:style w:type="paragraph" w:customStyle="1" w:styleId="IanBodytext">
    <w:name w:val="Ian Body text"/>
    <w:basedOn w:val="Normal"/>
    <w:rsid w:val="00A45EEC"/>
    <w:pPr>
      <w:widowControl w:val="0"/>
      <w:tabs>
        <w:tab w:val="left" w:pos="567"/>
        <w:tab w:val="left" w:pos="1134"/>
        <w:tab w:val="left" w:pos="1701"/>
        <w:tab w:val="left" w:pos="2268"/>
        <w:tab w:val="left" w:pos="2835"/>
        <w:tab w:val="right" w:pos="9639"/>
      </w:tabs>
      <w:spacing w:before="120" w:after="120"/>
      <w:jc w:val="both"/>
    </w:pPr>
    <w:rPr>
      <w:rFonts w:ascii="Arial" w:hAnsi="Arial"/>
      <w:sz w:val="22"/>
      <w:lang w:val="en-AU" w:eastAsia="en-US"/>
    </w:rPr>
  </w:style>
  <w:style w:type="paragraph" w:customStyle="1" w:styleId="A1-Heading20">
    <w:name w:val="A1-Heading 2"/>
    <w:basedOn w:val="Cabealho2"/>
    <w:next w:val="Normal"/>
    <w:rsid w:val="00A45EEC"/>
    <w:pPr>
      <w:keepNext w:val="0"/>
      <w:numPr>
        <w:ilvl w:val="0"/>
        <w:numId w:val="0"/>
      </w:numPr>
      <w:spacing w:before="0" w:after="200"/>
      <w:ind w:left="720" w:hanging="720"/>
      <w:contextualSpacing/>
      <w:jc w:val="center"/>
    </w:pPr>
    <w:rPr>
      <w:rFonts w:ascii="Times New Roman" w:hAnsi="Times New Roman"/>
      <w:i w:val="0"/>
      <w:iCs w:val="0"/>
      <w:smallCaps/>
      <w:szCs w:val="24"/>
      <w:lang w:val="en-US" w:eastAsia="en-US"/>
    </w:rPr>
  </w:style>
  <w:style w:type="paragraph" w:customStyle="1" w:styleId="Section2-Heading1">
    <w:name w:val="Section 2 - Heading 1"/>
    <w:basedOn w:val="Normal"/>
    <w:rsid w:val="00A45EEC"/>
    <w:pPr>
      <w:tabs>
        <w:tab w:val="left" w:pos="360"/>
      </w:tabs>
      <w:spacing w:after="200"/>
      <w:ind w:left="360" w:hanging="360"/>
    </w:pPr>
    <w:rPr>
      <w:b/>
      <w:lang w:val="en-GB" w:eastAsia="en-US"/>
    </w:rPr>
  </w:style>
  <w:style w:type="paragraph" w:customStyle="1" w:styleId="Section2-Heading2">
    <w:name w:val="Section 2 - Heading 2"/>
    <w:basedOn w:val="Normal"/>
    <w:rsid w:val="00A45EEC"/>
    <w:pPr>
      <w:spacing w:after="200"/>
      <w:ind w:left="360"/>
    </w:pPr>
    <w:rPr>
      <w:b/>
      <w:lang w:val="en-GB" w:eastAsia="en-US"/>
    </w:rPr>
  </w:style>
  <w:style w:type="paragraph" w:customStyle="1" w:styleId="Section3-Heading2">
    <w:name w:val="Section 3 - Heading 2"/>
    <w:basedOn w:val="Normal"/>
    <w:next w:val="Normal"/>
    <w:rsid w:val="00A45EEC"/>
    <w:pPr>
      <w:spacing w:after="200"/>
      <w:jc w:val="center"/>
    </w:pPr>
    <w:rPr>
      <w:b/>
      <w:sz w:val="28"/>
      <w:lang w:val="en-US" w:eastAsia="en-US"/>
    </w:rPr>
  </w:style>
  <w:style w:type="paragraph" w:customStyle="1" w:styleId="c5">
    <w:name w:val="c5"/>
    <w:basedOn w:val="Normal"/>
    <w:rsid w:val="00A45EEC"/>
    <w:pPr>
      <w:widowControl w:val="0"/>
      <w:spacing w:line="240" w:lineRule="atLeast"/>
      <w:jc w:val="center"/>
    </w:pPr>
    <w:rPr>
      <w:rFonts w:ascii="Chicago" w:hAnsi="Chicago"/>
      <w:snapToGrid w:val="0"/>
      <w:szCs w:val="20"/>
      <w:lang w:val="en-US" w:eastAsia="en-US"/>
    </w:rPr>
  </w:style>
  <w:style w:type="paragraph" w:customStyle="1" w:styleId="p6">
    <w:name w:val="p6"/>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8">
    <w:name w:val="p8"/>
    <w:basedOn w:val="Normal"/>
    <w:rsid w:val="00A45EEC"/>
    <w:pPr>
      <w:widowControl w:val="0"/>
      <w:tabs>
        <w:tab w:val="left" w:pos="0"/>
        <w:tab w:val="left" w:pos="920"/>
      </w:tabs>
      <w:spacing w:line="240" w:lineRule="atLeast"/>
      <w:ind w:left="200" w:firstLine="720"/>
    </w:pPr>
    <w:rPr>
      <w:rFonts w:ascii="Chicago" w:hAnsi="Chicago"/>
      <w:snapToGrid w:val="0"/>
      <w:szCs w:val="20"/>
      <w:lang w:val="en-US" w:eastAsia="en-US"/>
    </w:rPr>
  </w:style>
  <w:style w:type="paragraph" w:customStyle="1" w:styleId="p11">
    <w:name w:val="p11"/>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16">
    <w:name w:val="p16"/>
    <w:basedOn w:val="Normal"/>
    <w:rsid w:val="00A45EEC"/>
    <w:pPr>
      <w:widowControl w:val="0"/>
      <w:tabs>
        <w:tab w:val="left" w:pos="0"/>
      </w:tabs>
      <w:spacing w:line="240" w:lineRule="atLeast"/>
      <w:ind w:firstLine="720"/>
      <w:jc w:val="both"/>
    </w:pPr>
    <w:rPr>
      <w:rFonts w:ascii="Chicago" w:hAnsi="Chicago"/>
      <w:snapToGrid w:val="0"/>
      <w:szCs w:val="20"/>
      <w:lang w:val="en-US" w:eastAsia="en-US"/>
    </w:rPr>
  </w:style>
  <w:style w:type="paragraph" w:customStyle="1" w:styleId="p32">
    <w:name w:val="p32"/>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4">
    <w:name w:val="p3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7">
    <w:name w:val="p37"/>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40">
    <w:name w:val="p40"/>
    <w:basedOn w:val="Normal"/>
    <w:rsid w:val="00A45EEC"/>
    <w:pPr>
      <w:widowControl w:val="0"/>
      <w:tabs>
        <w:tab w:val="left" w:pos="0"/>
      </w:tabs>
      <w:spacing w:line="240" w:lineRule="atLeast"/>
      <w:ind w:left="4160" w:hanging="1780"/>
    </w:pPr>
    <w:rPr>
      <w:rFonts w:ascii="Chicago" w:hAnsi="Chicago"/>
      <w:snapToGrid w:val="0"/>
      <w:szCs w:val="20"/>
      <w:lang w:val="en-US" w:eastAsia="en-US"/>
    </w:rPr>
  </w:style>
  <w:style w:type="paragraph" w:customStyle="1" w:styleId="p42">
    <w:name w:val="p42"/>
    <w:basedOn w:val="Normal"/>
    <w:rsid w:val="00A45EEC"/>
    <w:pPr>
      <w:widowControl w:val="0"/>
      <w:tabs>
        <w:tab w:val="left" w:pos="0"/>
        <w:tab w:val="left" w:pos="900"/>
      </w:tabs>
      <w:spacing w:line="360" w:lineRule="atLeast"/>
      <w:ind w:firstLine="180"/>
    </w:pPr>
    <w:rPr>
      <w:rFonts w:ascii="Chicago" w:hAnsi="Chicago"/>
      <w:snapToGrid w:val="0"/>
      <w:szCs w:val="20"/>
      <w:lang w:val="en-US" w:eastAsia="en-US"/>
    </w:rPr>
  </w:style>
  <w:style w:type="paragraph" w:customStyle="1" w:styleId="p12">
    <w:name w:val="p12"/>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6">
    <w:name w:val="p36"/>
    <w:basedOn w:val="Normal"/>
    <w:rsid w:val="00A45EEC"/>
    <w:pPr>
      <w:widowControl w:val="0"/>
      <w:tabs>
        <w:tab w:val="left" w:pos="720"/>
      </w:tabs>
      <w:spacing w:line="240" w:lineRule="atLeast"/>
      <w:jc w:val="both"/>
    </w:pPr>
    <w:rPr>
      <w:rFonts w:ascii="Chicago" w:hAnsi="Chicago"/>
      <w:snapToGrid w:val="0"/>
      <w:szCs w:val="20"/>
      <w:lang w:val="en-US" w:eastAsia="en-US"/>
    </w:rPr>
  </w:style>
  <w:style w:type="paragraph" w:customStyle="1" w:styleId="p48">
    <w:name w:val="p48"/>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ArialBodyTextCharCharCharChar">
    <w:name w:val="Arial Body Text Char Char Char Char"/>
    <w:basedOn w:val="Normal"/>
    <w:rsid w:val="00A45EEC"/>
    <w:pPr>
      <w:spacing w:before="120" w:after="60"/>
      <w:ind w:left="1418"/>
      <w:jc w:val="both"/>
    </w:pPr>
    <w:rPr>
      <w:rFonts w:ascii="Arial" w:hAnsi="Arial" w:cs="Arial"/>
      <w:sz w:val="22"/>
      <w:szCs w:val="22"/>
      <w:lang w:val="de-DE" w:eastAsia="de-CH"/>
    </w:rPr>
  </w:style>
  <w:style w:type="paragraph" w:customStyle="1" w:styleId="MainParanoChapter">
    <w:name w:val="Main Para no Chapter #"/>
    <w:basedOn w:val="Normal"/>
    <w:rsid w:val="00A45EEC"/>
    <w:pPr>
      <w:numPr>
        <w:ilvl w:val="1"/>
        <w:numId w:val="18"/>
      </w:numPr>
      <w:spacing w:after="240"/>
      <w:outlineLvl w:val="1"/>
    </w:pPr>
    <w:rPr>
      <w:lang w:val="en-US" w:eastAsia="en-US"/>
    </w:rPr>
  </w:style>
  <w:style w:type="paragraph" w:customStyle="1" w:styleId="Sub-Para1underX">
    <w:name w:val="Sub-Para 1 under X."/>
    <w:basedOn w:val="Normal"/>
    <w:rsid w:val="00A45EEC"/>
    <w:pPr>
      <w:numPr>
        <w:ilvl w:val="2"/>
        <w:numId w:val="20"/>
      </w:numPr>
      <w:spacing w:after="240"/>
      <w:outlineLvl w:val="2"/>
    </w:pPr>
    <w:rPr>
      <w:lang w:val="en-US" w:eastAsia="en-US"/>
    </w:rPr>
  </w:style>
  <w:style w:type="paragraph" w:customStyle="1" w:styleId="Sub-Para2underX">
    <w:name w:val="Sub-Para 2 under X."/>
    <w:basedOn w:val="Normal"/>
    <w:rsid w:val="00A45EEC"/>
    <w:pPr>
      <w:numPr>
        <w:ilvl w:val="3"/>
        <w:numId w:val="20"/>
      </w:numPr>
      <w:spacing w:after="240"/>
      <w:outlineLvl w:val="3"/>
    </w:pPr>
    <w:rPr>
      <w:lang w:val="en-US" w:eastAsia="en-US"/>
    </w:rPr>
  </w:style>
  <w:style w:type="paragraph" w:customStyle="1" w:styleId="Sub-Para3underX">
    <w:name w:val="Sub-Para 3 under X."/>
    <w:basedOn w:val="Normal"/>
    <w:rsid w:val="00A45EEC"/>
    <w:pPr>
      <w:numPr>
        <w:ilvl w:val="4"/>
        <w:numId w:val="20"/>
      </w:numPr>
      <w:spacing w:after="240"/>
      <w:outlineLvl w:val="4"/>
    </w:pPr>
    <w:rPr>
      <w:lang w:val="en-US" w:eastAsia="en-US"/>
    </w:rPr>
  </w:style>
  <w:style w:type="paragraph" w:customStyle="1" w:styleId="Sub-Para4underX">
    <w:name w:val="Sub-Para 4 under X."/>
    <w:basedOn w:val="Normal"/>
    <w:rsid w:val="00A45EEC"/>
    <w:pPr>
      <w:numPr>
        <w:ilvl w:val="5"/>
        <w:numId w:val="20"/>
      </w:numPr>
      <w:spacing w:after="240"/>
      <w:outlineLvl w:val="5"/>
    </w:pPr>
    <w:rPr>
      <w:lang w:val="en-US" w:eastAsia="en-US"/>
    </w:rPr>
  </w:style>
  <w:style w:type="paragraph" w:customStyle="1" w:styleId="StyleMainParanoChapter11ptBold">
    <w:name w:val="Style Main Para no Chapter # + 11 pt Bold"/>
    <w:basedOn w:val="MainParanoChapter"/>
    <w:rsid w:val="00A45EEC"/>
    <w:pPr>
      <w:numPr>
        <w:ilvl w:val="0"/>
        <w:numId w:val="20"/>
      </w:numPr>
      <w:tabs>
        <w:tab w:val="clear" w:pos="360"/>
        <w:tab w:val="num" w:pos="1440"/>
      </w:tabs>
      <w:ind w:left="720" w:hanging="720"/>
    </w:pPr>
    <w:rPr>
      <w:b/>
      <w:bCs/>
      <w:spacing w:val="-2"/>
      <w:sz w:val="22"/>
    </w:rPr>
  </w:style>
  <w:style w:type="paragraph" w:customStyle="1" w:styleId="ModelNrmlSingle">
    <w:name w:val="ModelNrmlSingle"/>
    <w:basedOn w:val="Normal"/>
    <w:rsid w:val="00A45EEC"/>
    <w:pPr>
      <w:spacing w:after="240"/>
      <w:ind w:firstLine="720"/>
      <w:jc w:val="both"/>
    </w:pPr>
    <w:rPr>
      <w:sz w:val="22"/>
      <w:szCs w:val="20"/>
      <w:lang w:val="en-US" w:eastAsia="en-US"/>
    </w:rPr>
  </w:style>
  <w:style w:type="paragraph" w:customStyle="1" w:styleId="Paragraphedeliste11">
    <w:name w:val="Paragraphe de liste11"/>
    <w:basedOn w:val="Normal"/>
    <w:qFormat/>
    <w:rsid w:val="00A45EEC"/>
    <w:pPr>
      <w:ind w:left="720"/>
    </w:pPr>
  </w:style>
  <w:style w:type="paragraph" w:customStyle="1" w:styleId="Bullet">
    <w:name w:val="Bullet"/>
    <w:basedOn w:val="Normal"/>
    <w:rsid w:val="00A45EEC"/>
    <w:pPr>
      <w:numPr>
        <w:numId w:val="19"/>
      </w:numPr>
    </w:pPr>
    <w:rPr>
      <w:lang w:val="fr-CA"/>
    </w:rPr>
  </w:style>
  <w:style w:type="paragraph" w:customStyle="1" w:styleId="ParaWB">
    <w:name w:val="Para WB"/>
    <w:basedOn w:val="Normal"/>
    <w:rsid w:val="00A45EEC"/>
    <w:pPr>
      <w:numPr>
        <w:numId w:val="8"/>
      </w:numPr>
      <w:spacing w:before="120" w:after="120"/>
      <w:jc w:val="both"/>
    </w:pPr>
  </w:style>
  <w:style w:type="paragraph" w:styleId="ndiceremissivo1">
    <w:name w:val="index 1"/>
    <w:basedOn w:val="Normal"/>
    <w:next w:val="Normal"/>
    <w:autoRedefine/>
    <w:semiHidden/>
    <w:rsid w:val="00A45EEC"/>
    <w:pPr>
      <w:numPr>
        <w:numId w:val="10"/>
      </w:numPr>
      <w:ind w:left="1980" w:hanging="540"/>
      <w:jc w:val="both"/>
    </w:pPr>
  </w:style>
  <w:style w:type="paragraph" w:customStyle="1" w:styleId="Outline4">
    <w:name w:val="Outline4"/>
    <w:basedOn w:val="Normal"/>
    <w:rsid w:val="00A45EEC"/>
    <w:pPr>
      <w:numPr>
        <w:ilvl w:val="3"/>
        <w:numId w:val="9"/>
      </w:numPr>
      <w:tabs>
        <w:tab w:val="num" w:pos="1872"/>
      </w:tabs>
      <w:spacing w:before="240"/>
      <w:ind w:left="1872" w:hanging="504"/>
    </w:pPr>
    <w:rPr>
      <w:kern w:val="28"/>
      <w:lang w:val="en-US"/>
    </w:rPr>
  </w:style>
  <w:style w:type="paragraph" w:customStyle="1" w:styleId="titre4">
    <w:name w:val="titre 4"/>
    <w:basedOn w:val="Normal"/>
    <w:autoRedefine/>
    <w:rsid w:val="00A45EEC"/>
    <w:pPr>
      <w:numPr>
        <w:ilvl w:val="2"/>
        <w:numId w:val="12"/>
      </w:numPr>
      <w:spacing w:before="120" w:after="120"/>
      <w:jc w:val="both"/>
    </w:pPr>
    <w:rPr>
      <w:rFonts w:ascii="Century Schoolbook" w:hAnsi="Century Schoolbook"/>
      <w:b/>
      <w:bCs/>
    </w:rPr>
  </w:style>
  <w:style w:type="paragraph" w:customStyle="1" w:styleId="Outline1">
    <w:name w:val="Outline1"/>
    <w:basedOn w:val="Outline"/>
    <w:next w:val="Outline2"/>
    <w:rsid w:val="00A45EEC"/>
    <w:pPr>
      <w:keepNext/>
    </w:pPr>
    <w:rPr>
      <w:sz w:val="22"/>
      <w:szCs w:val="22"/>
      <w:lang w:val="fr-CA" w:eastAsia="fr-FR"/>
    </w:rPr>
  </w:style>
  <w:style w:type="paragraph" w:customStyle="1" w:styleId="Outline2">
    <w:name w:val="Outline2"/>
    <w:basedOn w:val="Normal"/>
    <w:rsid w:val="00A45EEC"/>
    <w:pPr>
      <w:numPr>
        <w:ilvl w:val="1"/>
        <w:numId w:val="9"/>
      </w:numPr>
      <w:tabs>
        <w:tab w:val="clear" w:pos="1080"/>
        <w:tab w:val="num" w:pos="864"/>
      </w:tabs>
      <w:spacing w:before="240"/>
      <w:ind w:left="864" w:hanging="504"/>
    </w:pPr>
    <w:rPr>
      <w:kern w:val="28"/>
      <w:sz w:val="22"/>
      <w:szCs w:val="22"/>
      <w:lang w:val="fr-CA"/>
    </w:rPr>
  </w:style>
  <w:style w:type="paragraph" w:customStyle="1" w:styleId="Outline3">
    <w:name w:val="Outline3"/>
    <w:basedOn w:val="Normal"/>
    <w:rsid w:val="00A45EEC"/>
    <w:pPr>
      <w:numPr>
        <w:ilvl w:val="2"/>
        <w:numId w:val="9"/>
      </w:numPr>
      <w:tabs>
        <w:tab w:val="num" w:pos="1368"/>
      </w:tabs>
      <w:spacing w:before="240"/>
      <w:ind w:left="1368" w:hanging="504"/>
    </w:pPr>
    <w:rPr>
      <w:kern w:val="28"/>
      <w:sz w:val="22"/>
      <w:szCs w:val="22"/>
      <w:lang w:val="fr-CA"/>
    </w:rPr>
  </w:style>
  <w:style w:type="paragraph" w:customStyle="1" w:styleId="TextBox">
    <w:name w:val="Text Box"/>
    <w:basedOn w:val="Normal"/>
    <w:rsid w:val="00A45EEC"/>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sz w:val="20"/>
      <w:szCs w:val="20"/>
      <w:lang w:eastAsia="en-US"/>
    </w:rPr>
  </w:style>
  <w:style w:type="paragraph" w:customStyle="1" w:styleId="TextBoxdots">
    <w:name w:val="Text Box (dots)"/>
    <w:basedOn w:val="Normal"/>
    <w:rsid w:val="00A45EEC"/>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szCs w:val="20"/>
      <w:lang w:eastAsia="en-US"/>
    </w:rPr>
  </w:style>
  <w:style w:type="paragraph" w:customStyle="1" w:styleId="TextBoxUnframed">
    <w:name w:val="Text Box Unframed"/>
    <w:basedOn w:val="Normal"/>
    <w:rsid w:val="00A45EEC"/>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character" w:customStyle="1" w:styleId="TextodemacroCarcter">
    <w:name w:val="Texto de macro Carácter"/>
    <w:basedOn w:val="Tipodeletrapredefinidodopargrafo"/>
    <w:link w:val="Textodemacro"/>
    <w:semiHidden/>
    <w:rsid w:val="00A45EEC"/>
    <w:rPr>
      <w:rFonts w:ascii="Times New Roman" w:eastAsia="Times New Roman" w:hAnsi="Times New Roman" w:cs="Times New Roman"/>
      <w:sz w:val="24"/>
      <w:szCs w:val="20"/>
      <w:lang w:val="en-US"/>
    </w:rPr>
  </w:style>
  <w:style w:type="paragraph" w:styleId="Textodemacro">
    <w:name w:val="macro"/>
    <w:link w:val="TextodemacroCarcter"/>
    <w:semiHidden/>
    <w:rsid w:val="00A45EE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0"/>
      <w:lang w:val="en-US"/>
    </w:rPr>
  </w:style>
  <w:style w:type="character" w:customStyle="1" w:styleId="TextedemacroCar1">
    <w:name w:val="Texte de macro Car1"/>
    <w:basedOn w:val="Tipodeletrapredefinidodopargrafo"/>
    <w:uiPriority w:val="99"/>
    <w:semiHidden/>
    <w:rsid w:val="00A45EEC"/>
    <w:rPr>
      <w:rFonts w:ascii="Consolas" w:eastAsia="Times New Roman" w:hAnsi="Consolas" w:cs="Times New Roman"/>
      <w:sz w:val="20"/>
      <w:szCs w:val="20"/>
      <w:lang w:eastAsia="fr-FR"/>
    </w:rPr>
  </w:style>
  <w:style w:type="paragraph" w:customStyle="1" w:styleId="BoxCaption">
    <w:name w:val="Box Caption"/>
    <w:basedOn w:val="TextBox"/>
    <w:rsid w:val="00A45EEC"/>
    <w:pPr>
      <w:framePr w:wrap="auto"/>
    </w:pPr>
    <w:rPr>
      <w:rFonts w:ascii="Arial" w:hAnsi="Arial"/>
      <w:b/>
    </w:rPr>
  </w:style>
  <w:style w:type="paragraph" w:customStyle="1" w:styleId="CaptionBox">
    <w:name w:val="Caption Box"/>
    <w:basedOn w:val="BoxCaption"/>
    <w:rsid w:val="00A45EEC"/>
    <w:pPr>
      <w:framePr w:wrap="auto"/>
    </w:pPr>
  </w:style>
  <w:style w:type="paragraph" w:customStyle="1" w:styleId="TextBoxIndent">
    <w:name w:val="Text Box Indent"/>
    <w:basedOn w:val="TextBox"/>
    <w:rsid w:val="00A45EEC"/>
    <w:pPr>
      <w:framePr w:wrap="auto"/>
      <w:tabs>
        <w:tab w:val="left" w:pos="630"/>
      </w:tabs>
      <w:ind w:left="1080" w:hanging="792"/>
    </w:pPr>
  </w:style>
  <w:style w:type="character" w:customStyle="1" w:styleId="NotedebasdepageCar1">
    <w:name w:val="Note de bas de page Car1"/>
    <w:basedOn w:val="Tipodeletrapredefinidodopargrafo"/>
    <w:uiPriority w:val="99"/>
    <w:rsid w:val="00A45EEC"/>
    <w:rPr>
      <w:rFonts w:ascii="Times New Roman" w:eastAsia="Times New Roman" w:hAnsi="Times New Roman" w:cs="Times New Roman"/>
      <w:sz w:val="20"/>
      <w:szCs w:val="20"/>
    </w:rPr>
  </w:style>
  <w:style w:type="character" w:customStyle="1" w:styleId="CorpsdetexteCar1">
    <w:name w:val="Corps de texte Car1"/>
    <w:aliases w:val="Corps de texte Car Car Car Car1,Corps de texte Car Car Car Car Car Car1"/>
    <w:rsid w:val="00A45EEC"/>
    <w:rPr>
      <w:rFonts w:ascii="Times New Roman" w:eastAsia="Times New Roman" w:hAnsi="Times New Roman" w:cs="Times New Roman"/>
      <w:sz w:val="24"/>
      <w:szCs w:val="20"/>
    </w:rPr>
  </w:style>
  <w:style w:type="paragraph" w:customStyle="1" w:styleId="BodyText31">
    <w:name w:val="Body Text 31"/>
    <w:basedOn w:val="Normal"/>
    <w:rsid w:val="00A45EEC"/>
    <w:pPr>
      <w:suppressAutoHyphens/>
      <w:overflowPunct w:val="0"/>
      <w:autoSpaceDE w:val="0"/>
      <w:autoSpaceDN w:val="0"/>
      <w:adjustRightInd w:val="0"/>
      <w:spacing w:line="100" w:lineRule="atLeast"/>
      <w:jc w:val="both"/>
      <w:textAlignment w:val="baseline"/>
    </w:pPr>
    <w:rPr>
      <w:rFonts w:ascii="Arial" w:eastAsia="Calibri" w:hAnsi="Arial"/>
      <w:kern w:val="1"/>
      <w:szCs w:val="20"/>
    </w:rPr>
  </w:style>
  <w:style w:type="paragraph" w:customStyle="1" w:styleId="western">
    <w:name w:val="western"/>
    <w:basedOn w:val="Normal"/>
    <w:rsid w:val="00A45EEC"/>
    <w:pPr>
      <w:spacing w:before="100" w:beforeAutospacing="1"/>
      <w:jc w:val="both"/>
    </w:pPr>
    <w:rPr>
      <w:rFonts w:ascii="Arial" w:eastAsia="Arial Unicode MS" w:hAnsi="Arial" w:cs="Arial"/>
      <w:color w:val="000000"/>
    </w:rPr>
  </w:style>
  <w:style w:type="character" w:customStyle="1" w:styleId="hps">
    <w:name w:val="hps"/>
    <w:rsid w:val="00A45EEC"/>
  </w:style>
  <w:style w:type="character" w:customStyle="1" w:styleId="atn">
    <w:name w:val="atn"/>
    <w:rsid w:val="00A45EEC"/>
  </w:style>
  <w:style w:type="paragraph" w:customStyle="1" w:styleId="pabid7">
    <w:name w:val="pabid7"/>
    <w:basedOn w:val="Normal"/>
    <w:rsid w:val="00A45EEC"/>
    <w:pPr>
      <w:spacing w:before="100" w:beforeAutospacing="1" w:after="100" w:afterAutospacing="1"/>
    </w:pPr>
    <w:rPr>
      <w:lang w:val="en-US" w:eastAsia="en-US"/>
    </w:rPr>
  </w:style>
  <w:style w:type="character" w:customStyle="1" w:styleId="Titre2Car1">
    <w:name w:val="Titre 2 Car1"/>
    <w:aliases w:val="Paranum Car,Chpt Car,Titolo 2 Car,alec2 Car,STitre 2 Car1,an_Über 2 Car1,Titre secondaire (2) Car1,sous-chapitre Car1,Tend_Überschrift 2 Car1,Titre 2 tamarins Car1,Titre Article Car1,Titre 22 Car1,Kiyombo T2 Car1"/>
    <w:rsid w:val="00A45EEC"/>
    <w:rPr>
      <w:rFonts w:ascii="Times New Roman" w:eastAsia="Times New Roman" w:hAnsi="Times New Roman" w:cs="Times New Roman"/>
      <w:b/>
      <w:sz w:val="24"/>
      <w:szCs w:val="24"/>
      <w:lang w:val="en-GB"/>
    </w:rPr>
  </w:style>
  <w:style w:type="character" w:customStyle="1" w:styleId="Titre6Car1">
    <w:name w:val="Titre 6 Car1"/>
    <w:rsid w:val="00A45EEC"/>
    <w:rPr>
      <w:rFonts w:ascii="Times New Roman" w:eastAsia="Times New Roman" w:hAnsi="Times New Roman" w:cs="Times New Roman"/>
      <w:b/>
      <w:smallCaps/>
      <w:sz w:val="24"/>
      <w:szCs w:val="24"/>
    </w:rPr>
  </w:style>
  <w:style w:type="character" w:customStyle="1" w:styleId="En-tteCar1">
    <w:name w:val="En-tête Car1"/>
    <w:aliases w:val="Kopfzeile Char Char Car1, Char Char Char Car1"/>
    <w:locked/>
    <w:rsid w:val="00A45EEC"/>
    <w:rPr>
      <w:rFonts w:ascii="Times New Roman" w:eastAsia="Times New Roman" w:hAnsi="Times New Roman" w:cs="Times New Roman"/>
      <w:sz w:val="20"/>
      <w:szCs w:val="20"/>
    </w:rPr>
  </w:style>
  <w:style w:type="character" w:customStyle="1" w:styleId="Titre1Car1">
    <w:name w:val="Titre 1 Car1"/>
    <w:aliases w:val=" Main Heading Car,Main Heading Car,TCI 1.  Heading Car,Main Heading 1 Car,Heading 11 Car2,Heading 11 Car Car1,Titre 11 Car1,An_Über 1 Car1,TITRE 1 + Droite :  8 Car1,5 cm Car1,Avant : 25 pt Car1,Après : 12 pt Car1,Haut: (Simp... Car1"/>
    <w:rsid w:val="00A45EEC"/>
    <w:rPr>
      <w:rFonts w:ascii="Times New Roman Bold" w:eastAsia="Times New Roman" w:hAnsi="Times New Roman Bold" w:cs="Times New Roman"/>
      <w:b/>
      <w:sz w:val="32"/>
      <w:szCs w:val="20"/>
    </w:rPr>
  </w:style>
  <w:style w:type="character" w:customStyle="1" w:styleId="Sous-titreCar1">
    <w:name w:val="Sous-titre Car1"/>
    <w:rsid w:val="00A45EEC"/>
    <w:rPr>
      <w:rFonts w:eastAsia="Times New Roman"/>
      <w:sz w:val="24"/>
      <w:szCs w:val="24"/>
    </w:rPr>
  </w:style>
  <w:style w:type="character" w:customStyle="1" w:styleId="PieddepageCar1">
    <w:name w:val="Pied de page Car1"/>
    <w:uiPriority w:val="99"/>
    <w:rsid w:val="00A45EEC"/>
    <w:rPr>
      <w:rFonts w:ascii="Times New Roman" w:eastAsia="Times New Roman" w:hAnsi="Times New Roman" w:cs="Times New Roman"/>
      <w:sz w:val="24"/>
      <w:szCs w:val="20"/>
    </w:rPr>
  </w:style>
  <w:style w:type="paragraph" w:customStyle="1" w:styleId="Style1">
    <w:name w:val="Style1"/>
    <w:basedOn w:val="Cabealho1"/>
    <w:link w:val="Style1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1Char">
    <w:name w:val="Style1 Char"/>
    <w:basedOn w:val="Titre1Car1"/>
    <w:link w:val="Style1"/>
    <w:rsid w:val="00A45EEC"/>
    <w:rPr>
      <w:rFonts w:ascii="Times New Roman Bold" w:eastAsia="Times New Roman" w:hAnsi="Times New Roman Bold" w:cs="Times New Roman"/>
      <w:b/>
      <w:sz w:val="32"/>
      <w:szCs w:val="20"/>
    </w:rPr>
  </w:style>
  <w:style w:type="paragraph" w:customStyle="1" w:styleId="Style2">
    <w:name w:val="Style2"/>
    <w:basedOn w:val="Cabealho1"/>
    <w:link w:val="Style2Char"/>
    <w:qFormat/>
    <w:rsid w:val="00A45EEC"/>
    <w:pPr>
      <w:keepLines/>
      <w:numPr>
        <w:numId w:val="0"/>
      </w:numPr>
      <w:spacing w:after="240"/>
      <w:jc w:val="center"/>
    </w:pPr>
    <w:rPr>
      <w:rFonts w:ascii="Times New Roman Bold" w:hAnsi="Times New Roman Bold"/>
      <w:bCs w:val="0"/>
      <w:kern w:val="0"/>
      <w:sz w:val="28"/>
      <w:szCs w:val="28"/>
      <w:lang w:eastAsia="en-US"/>
    </w:rPr>
  </w:style>
  <w:style w:type="character" w:customStyle="1" w:styleId="Style2Char">
    <w:name w:val="Style2 Char"/>
    <w:link w:val="Style2"/>
    <w:rsid w:val="00A45EEC"/>
    <w:rPr>
      <w:rFonts w:ascii="Times New Roman Bold" w:eastAsia="Times New Roman" w:hAnsi="Times New Roman Bold" w:cs="Times New Roman"/>
      <w:b/>
      <w:sz w:val="28"/>
      <w:szCs w:val="28"/>
    </w:rPr>
  </w:style>
  <w:style w:type="paragraph" w:customStyle="1" w:styleId="Style3">
    <w:name w:val="Style3"/>
    <w:basedOn w:val="Cabealho6"/>
    <w:link w:val="Style3Char"/>
    <w:qFormat/>
    <w:rsid w:val="00A45EEC"/>
    <w:pPr>
      <w:keepNext w:val="0"/>
      <w:keepLines w:val="0"/>
      <w:numPr>
        <w:ilvl w:val="0"/>
        <w:numId w:val="0"/>
      </w:numPr>
      <w:spacing w:before="0" w:line="240" w:lineRule="auto"/>
      <w:ind w:left="1080" w:hanging="1080"/>
      <w:jc w:val="center"/>
    </w:pPr>
    <w:rPr>
      <w:rFonts w:ascii="Times New Roman" w:eastAsia="Times New Roman" w:hAnsi="Times New Roman"/>
      <w:b/>
      <w:i w:val="0"/>
      <w:iCs w:val="0"/>
      <w:smallCaps/>
      <w:color w:val="auto"/>
      <w:sz w:val="24"/>
      <w:szCs w:val="24"/>
      <w:lang w:eastAsia="en-US"/>
    </w:rPr>
  </w:style>
  <w:style w:type="character" w:customStyle="1" w:styleId="Style3Char">
    <w:name w:val="Style3 Char"/>
    <w:basedOn w:val="Titre6Car1"/>
    <w:link w:val="Style3"/>
    <w:rsid w:val="00A45EEC"/>
    <w:rPr>
      <w:rFonts w:ascii="Times New Roman" w:eastAsia="Times New Roman" w:hAnsi="Times New Roman" w:cs="Times New Roman"/>
      <w:b/>
      <w:smallCaps/>
      <w:sz w:val="24"/>
      <w:szCs w:val="24"/>
    </w:rPr>
  </w:style>
  <w:style w:type="paragraph" w:customStyle="1" w:styleId="Style4">
    <w:name w:val="Style4"/>
    <w:basedOn w:val="Cabealho1"/>
    <w:link w:val="Style4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4Char">
    <w:name w:val="Style4 Char"/>
    <w:basedOn w:val="Titre1Car1"/>
    <w:link w:val="Style4"/>
    <w:rsid w:val="00A45EEC"/>
    <w:rPr>
      <w:rFonts w:ascii="Times New Roman Bold" w:eastAsia="Times New Roman" w:hAnsi="Times New Roman Bold" w:cs="Times New Roman"/>
      <w:b/>
      <w:sz w:val="32"/>
      <w:szCs w:val="20"/>
    </w:rPr>
  </w:style>
  <w:style w:type="paragraph" w:customStyle="1" w:styleId="Style5">
    <w:name w:val="Style5"/>
    <w:basedOn w:val="Cabealho1"/>
    <w:link w:val="Style5Char"/>
    <w:qFormat/>
    <w:rsid w:val="00A45EEC"/>
    <w:pPr>
      <w:keepLines/>
      <w:numPr>
        <w:numId w:val="14"/>
      </w:numPr>
      <w:spacing w:after="240"/>
      <w:jc w:val="center"/>
    </w:pPr>
    <w:rPr>
      <w:rFonts w:ascii="Times New Roman Bold" w:hAnsi="Times New Roman Bold"/>
      <w:bCs w:val="0"/>
      <w:kern w:val="0"/>
      <w:szCs w:val="20"/>
      <w:lang w:eastAsia="en-US"/>
    </w:rPr>
  </w:style>
  <w:style w:type="character" w:customStyle="1" w:styleId="Style5Char">
    <w:name w:val="Style5 Char"/>
    <w:basedOn w:val="Titre1Car1"/>
    <w:link w:val="Style5"/>
    <w:rsid w:val="00A45EEC"/>
    <w:rPr>
      <w:rFonts w:ascii="Times New Roman Bold" w:eastAsia="Times New Roman" w:hAnsi="Times New Roman Bold" w:cs="Times New Roman"/>
      <w:b/>
      <w:sz w:val="32"/>
      <w:szCs w:val="20"/>
    </w:rPr>
  </w:style>
  <w:style w:type="paragraph" w:customStyle="1" w:styleId="Style6">
    <w:name w:val="Style6"/>
    <w:basedOn w:val="Cabealho1"/>
    <w:link w:val="Style6Char"/>
    <w:qFormat/>
    <w:rsid w:val="00A45EEC"/>
    <w:pPr>
      <w:keepLines/>
      <w:numPr>
        <w:numId w:val="0"/>
      </w:numPr>
      <w:spacing w:after="240"/>
      <w:jc w:val="center"/>
    </w:pPr>
    <w:rPr>
      <w:rFonts w:ascii="Times New Roman Bold" w:hAnsi="Times New Roman Bold"/>
      <w:bCs w:val="0"/>
      <w:smallCaps/>
      <w:kern w:val="0"/>
      <w:sz w:val="28"/>
      <w:szCs w:val="28"/>
      <w:lang w:eastAsia="en-US"/>
    </w:rPr>
  </w:style>
  <w:style w:type="character" w:customStyle="1" w:styleId="Style6Char">
    <w:name w:val="Style6 Char"/>
    <w:link w:val="Style6"/>
    <w:rsid w:val="00A45EEC"/>
    <w:rPr>
      <w:rFonts w:ascii="Times New Roman Bold" w:eastAsia="Times New Roman" w:hAnsi="Times New Roman Bold" w:cs="Times New Roman"/>
      <w:b/>
      <w:smallCaps/>
      <w:sz w:val="28"/>
      <w:szCs w:val="28"/>
    </w:rPr>
  </w:style>
  <w:style w:type="paragraph" w:customStyle="1" w:styleId="Style7">
    <w:name w:val="Style7"/>
    <w:basedOn w:val="Cabealho3"/>
    <w:link w:val="Style7Char"/>
    <w:qFormat/>
    <w:rsid w:val="00A45EEC"/>
    <w:pPr>
      <w:keepNext w:val="0"/>
      <w:numPr>
        <w:ilvl w:val="0"/>
        <w:numId w:val="0"/>
      </w:numPr>
      <w:spacing w:before="0" w:after="200"/>
      <w:ind w:left="720" w:hanging="360"/>
      <w:contextualSpacing/>
    </w:pPr>
    <w:rPr>
      <w:rFonts w:ascii="Times New Roman" w:hAnsi="Times New Roman"/>
      <w:bCs w:val="0"/>
      <w:sz w:val="24"/>
      <w:szCs w:val="24"/>
      <w:lang w:val="en-GB" w:eastAsia="en-US"/>
    </w:rPr>
  </w:style>
  <w:style w:type="character" w:customStyle="1" w:styleId="Style7Char">
    <w:name w:val="Style7 Char"/>
    <w:basedOn w:val="Titre3Car1"/>
    <w:link w:val="Style7"/>
    <w:rsid w:val="00A45EEC"/>
    <w:rPr>
      <w:rFonts w:ascii="Times New Roman" w:eastAsia="Times New Roman" w:hAnsi="Times New Roman" w:cs="Times New Roman"/>
      <w:b/>
      <w:sz w:val="24"/>
      <w:szCs w:val="24"/>
      <w:lang w:val="en-GB"/>
    </w:rPr>
  </w:style>
  <w:style w:type="character" w:customStyle="1" w:styleId="Titre3Car1">
    <w:name w:val="Titre 3 Car1"/>
    <w:aliases w:val="Centered Car, Centered Car,Titolo 3 Car,Heading 3 (BM revised) Car,centered Car,Titre 3 Car Car Car Car Car Car Car Car Car Car Car Car Car Car Car Car Car Car Car Car Car Car Car Car Car Car Car1,an_Über 3 Car1,an_Über 3 Car Car Car1"/>
    <w:rsid w:val="00A45EEC"/>
    <w:rPr>
      <w:rFonts w:ascii="Times New Roman" w:eastAsia="Times New Roman" w:hAnsi="Times New Roman" w:cs="Times New Roman"/>
      <w:b/>
      <w:sz w:val="24"/>
      <w:szCs w:val="24"/>
      <w:lang w:val="en-GB"/>
    </w:rPr>
  </w:style>
  <w:style w:type="paragraph" w:customStyle="1" w:styleId="Style8">
    <w:name w:val="Style8"/>
    <w:basedOn w:val="Cabealho1"/>
    <w:link w:val="Style8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8Char">
    <w:name w:val="Style8 Char"/>
    <w:basedOn w:val="Titre1Car1"/>
    <w:link w:val="Style8"/>
    <w:rsid w:val="00A45EEC"/>
    <w:rPr>
      <w:rFonts w:ascii="Times New Roman Bold" w:eastAsia="Times New Roman" w:hAnsi="Times New Roman Bold" w:cs="Times New Roman"/>
      <w:b/>
      <w:sz w:val="32"/>
      <w:szCs w:val="20"/>
    </w:rPr>
  </w:style>
  <w:style w:type="character" w:customStyle="1" w:styleId="ParagraphedelisteChar">
    <w:name w:val="Paragraphe de liste Char"/>
    <w:rsid w:val="00A45EEC"/>
    <w:rPr>
      <w:rFonts w:ascii="Times New Roman" w:eastAsia="Times New Roman" w:hAnsi="Times New Roman" w:cs="Times New Roman"/>
      <w:sz w:val="24"/>
      <w:szCs w:val="24"/>
    </w:rPr>
  </w:style>
  <w:style w:type="paragraph" w:customStyle="1" w:styleId="Style9">
    <w:name w:val="Style9"/>
    <w:basedOn w:val="Cabealho1"/>
    <w:link w:val="Style9Char"/>
    <w:qFormat/>
    <w:rsid w:val="00A45EEC"/>
    <w:pPr>
      <w:keepLines/>
      <w:numPr>
        <w:numId w:val="21"/>
      </w:numPr>
      <w:spacing w:after="240"/>
      <w:jc w:val="center"/>
    </w:pPr>
    <w:rPr>
      <w:rFonts w:ascii="Times New Roman Bold" w:hAnsi="Times New Roman Bold"/>
      <w:bCs w:val="0"/>
      <w:kern w:val="0"/>
      <w:szCs w:val="20"/>
      <w:lang w:eastAsia="en-US"/>
    </w:rPr>
  </w:style>
  <w:style w:type="character" w:customStyle="1" w:styleId="Style9Char">
    <w:name w:val="Style9 Char"/>
    <w:basedOn w:val="Titre1Car1"/>
    <w:link w:val="Style9"/>
    <w:rsid w:val="00A45EEC"/>
    <w:rPr>
      <w:rFonts w:ascii="Times New Roman Bold" w:eastAsia="Times New Roman" w:hAnsi="Times New Roman Bold" w:cs="Times New Roman"/>
      <w:b/>
      <w:sz w:val="32"/>
      <w:szCs w:val="20"/>
    </w:rPr>
  </w:style>
  <w:style w:type="paragraph" w:customStyle="1" w:styleId="Style10">
    <w:name w:val="Style10"/>
    <w:basedOn w:val="Cabealho1"/>
    <w:link w:val="Style10Char"/>
    <w:qFormat/>
    <w:rsid w:val="00A45EEC"/>
    <w:pPr>
      <w:keepLines/>
      <w:numPr>
        <w:numId w:val="0"/>
      </w:numPr>
      <w:spacing w:after="240"/>
      <w:jc w:val="center"/>
    </w:pPr>
    <w:rPr>
      <w:rFonts w:ascii="Times New Roman Bold" w:hAnsi="Times New Roman Bold"/>
      <w:bCs w:val="0"/>
      <w:smallCaps/>
      <w:kern w:val="0"/>
      <w:sz w:val="28"/>
      <w:szCs w:val="28"/>
      <w:lang w:eastAsia="en-US"/>
    </w:rPr>
  </w:style>
  <w:style w:type="character" w:customStyle="1" w:styleId="Style10Char">
    <w:name w:val="Style10 Char"/>
    <w:link w:val="Style10"/>
    <w:rsid w:val="00A45EEC"/>
    <w:rPr>
      <w:rFonts w:ascii="Times New Roman Bold" w:eastAsia="Times New Roman" w:hAnsi="Times New Roman Bold" w:cs="Times New Roman"/>
      <w:b/>
      <w:smallCaps/>
      <w:sz w:val="28"/>
      <w:szCs w:val="28"/>
    </w:rPr>
  </w:style>
  <w:style w:type="paragraph" w:customStyle="1" w:styleId="Style11">
    <w:name w:val="Style11"/>
    <w:basedOn w:val="A1-Heading2"/>
    <w:link w:val="Style11Char"/>
    <w:qFormat/>
    <w:rsid w:val="00A45EEC"/>
    <w:pPr>
      <w:ind w:left="360" w:firstLine="0"/>
    </w:pPr>
  </w:style>
  <w:style w:type="character" w:customStyle="1" w:styleId="Style11Char">
    <w:name w:val="Style11 Char"/>
    <w:basedOn w:val="A1-Heading2Char"/>
    <w:link w:val="Style11"/>
    <w:rsid w:val="00A45EEC"/>
    <w:rPr>
      <w:rFonts w:ascii="Times New Roman" w:eastAsia="Times New Roman" w:hAnsi="Times New Roman" w:cs="Times New Roman"/>
      <w:b/>
      <w:bCs/>
      <w:smallCaps/>
      <w:sz w:val="24"/>
      <w:szCs w:val="24"/>
      <w:lang w:val="en-GB"/>
    </w:rPr>
  </w:style>
  <w:style w:type="paragraph" w:customStyle="1" w:styleId="Style12">
    <w:name w:val="Style12"/>
    <w:basedOn w:val="Cabealho1"/>
    <w:link w:val="Style12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12Char">
    <w:name w:val="Style12 Char"/>
    <w:basedOn w:val="Titre1Car1"/>
    <w:link w:val="Style12"/>
    <w:rsid w:val="00A45EEC"/>
    <w:rPr>
      <w:rFonts w:ascii="Times New Roman Bold" w:eastAsia="Times New Roman" w:hAnsi="Times New Roman Bold" w:cs="Times New Roman"/>
      <w:b/>
      <w:sz w:val="32"/>
      <w:szCs w:val="20"/>
    </w:rPr>
  </w:style>
  <w:style w:type="paragraph" w:customStyle="1" w:styleId="i">
    <w:name w:val="(i)"/>
    <w:basedOn w:val="Normal"/>
    <w:rsid w:val="00A45EEC"/>
    <w:pPr>
      <w:suppressAutoHyphens/>
      <w:jc w:val="both"/>
    </w:pPr>
    <w:rPr>
      <w:rFonts w:ascii="Tms Rmn" w:hAnsi="Tms Rmn"/>
      <w:szCs w:val="20"/>
      <w:lang w:val="en-US"/>
    </w:rPr>
  </w:style>
  <w:style w:type="paragraph" w:customStyle="1" w:styleId="RomanParagraph">
    <w:name w:val="RomanParagraph"/>
    <w:rsid w:val="00A45EEC"/>
    <w:pPr>
      <w:spacing w:before="120" w:after="120" w:line="240" w:lineRule="auto"/>
      <w:jc w:val="both"/>
    </w:pPr>
    <w:rPr>
      <w:rFonts w:ascii="Times New Roman" w:eastAsia="Times New Roman" w:hAnsi="Times New Roman" w:cs="Times New Roman"/>
      <w:noProof/>
      <w:sz w:val="24"/>
      <w:szCs w:val="20"/>
      <w:lang w:val="en-US"/>
    </w:rPr>
  </w:style>
  <w:style w:type="paragraph" w:customStyle="1" w:styleId="Paragrapha">
    <w:name w:val="Paragraph a"/>
    <w:basedOn w:val="Normal"/>
    <w:rsid w:val="00A45EEC"/>
    <w:pPr>
      <w:numPr>
        <w:numId w:val="22"/>
      </w:numPr>
      <w:spacing w:before="120" w:after="120"/>
      <w:jc w:val="both"/>
    </w:pPr>
    <w:rPr>
      <w:spacing w:val="-3"/>
      <w:szCs w:val="20"/>
      <w:lang w:val="en-US" w:eastAsia="en-US"/>
    </w:rPr>
  </w:style>
  <w:style w:type="character" w:customStyle="1" w:styleId="SemEspaamentoCarcter">
    <w:name w:val="Sem Espaçamento Carácter"/>
    <w:aliases w:val="INTRO Carácter"/>
    <w:basedOn w:val="Tipodeletrapredefinidodopargrafo"/>
    <w:link w:val="SemEspaamento"/>
    <w:uiPriority w:val="1"/>
    <w:rsid w:val="00A45EEC"/>
    <w:rPr>
      <w:rFonts w:ascii="Times New Roman" w:eastAsia="Times New Roman" w:hAnsi="Times New Roman" w:cs="Times New Roman"/>
      <w:sz w:val="24"/>
      <w:szCs w:val="24"/>
      <w:lang w:eastAsia="fr-FR"/>
    </w:rPr>
  </w:style>
  <w:style w:type="character" w:customStyle="1" w:styleId="systranseg">
    <w:name w:val="systran_seg"/>
    <w:basedOn w:val="Tipodeletrapredefinidodopargrafo"/>
    <w:rsid w:val="00A45EEC"/>
  </w:style>
  <w:style w:type="character" w:customStyle="1" w:styleId="systrantokenword">
    <w:name w:val="systran_token_word"/>
    <w:basedOn w:val="Tipodeletrapredefinidodopargrafo"/>
    <w:rsid w:val="00A45EEC"/>
  </w:style>
  <w:style w:type="character" w:customStyle="1" w:styleId="systrantokenpunctuation">
    <w:name w:val="systran_token_punctuation"/>
    <w:basedOn w:val="Tipodeletrapredefinidodopargrafo"/>
    <w:rsid w:val="00A45EEC"/>
  </w:style>
  <w:style w:type="table" w:customStyle="1" w:styleId="TableauGrille2-Accentuation61">
    <w:name w:val="Tableau Grille 2 - Accentuation 61"/>
    <w:basedOn w:val="Tabelanormal"/>
    <w:uiPriority w:val="47"/>
    <w:rsid w:val="00A45EE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1Clair1">
    <w:name w:val="Tableau Grille 1 Clair1"/>
    <w:basedOn w:val="Tabelanormal"/>
    <w:uiPriority w:val="46"/>
    <w:rsid w:val="00A45E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61">
    <w:name w:val="Tableau Grille 1 Clair - Accentuation 61"/>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4-Accentuation11">
    <w:name w:val="Tableau Grille 4 - Accentuation 11"/>
    <w:basedOn w:val="Tabelanormal"/>
    <w:uiPriority w:val="49"/>
    <w:rsid w:val="00A45EE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1Clair-Accentuation62">
    <w:name w:val="Tableau Grille 1 Clair - Accentuation 62"/>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1Clair-Accentuation63">
    <w:name w:val="Tableau Grille 1 Clair - Accentuation 63"/>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2-Accentuation62">
    <w:name w:val="Tableau Grille 2 - Accentuation 62"/>
    <w:basedOn w:val="Tabelanormal"/>
    <w:uiPriority w:val="47"/>
    <w:rsid w:val="00A45EE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ydp90e9cbb6msonormal">
    <w:name w:val="ydp90e9cbb6msonormal"/>
    <w:basedOn w:val="Normal"/>
    <w:rsid w:val="00A45EEC"/>
    <w:pPr>
      <w:spacing w:before="100" w:beforeAutospacing="1" w:after="100" w:afterAutospacing="1"/>
    </w:pPr>
  </w:style>
  <w:style w:type="paragraph" w:customStyle="1" w:styleId="Texte">
    <w:name w:val="Texte"/>
    <w:basedOn w:val="Normal"/>
    <w:rsid w:val="00A45EEC"/>
    <w:pPr>
      <w:keepLines/>
      <w:spacing w:before="120"/>
      <w:jc w:val="both"/>
    </w:pPr>
    <w:rPr>
      <w:rFonts w:ascii="Arial" w:hAnsi="Arial"/>
      <w:sz w:val="20"/>
      <w:szCs w:val="20"/>
    </w:rPr>
  </w:style>
  <w:style w:type="paragraph" w:customStyle="1" w:styleId="Paragraphe">
    <w:name w:val="Paragraphe"/>
    <w:basedOn w:val="Normal"/>
    <w:rsid w:val="00A45EEC"/>
    <w:pPr>
      <w:overflowPunct w:val="0"/>
      <w:autoSpaceDE w:val="0"/>
      <w:autoSpaceDN w:val="0"/>
      <w:adjustRightInd w:val="0"/>
      <w:spacing w:after="120"/>
      <w:jc w:val="both"/>
      <w:textAlignment w:val="baseline"/>
    </w:pPr>
  </w:style>
  <w:style w:type="paragraph" w:styleId="Mapadodocumento">
    <w:name w:val="Document Map"/>
    <w:basedOn w:val="Normal"/>
    <w:link w:val="MapadodocumentoCarcter"/>
    <w:uiPriority w:val="99"/>
    <w:semiHidden/>
    <w:unhideWhenUsed/>
    <w:rsid w:val="00A45EEC"/>
  </w:style>
  <w:style w:type="character" w:customStyle="1" w:styleId="MapadodocumentoCarcter">
    <w:name w:val="Mapa do documento Carácter"/>
    <w:basedOn w:val="Tipodeletrapredefinidodopargrafo"/>
    <w:link w:val="Mapadodocumento"/>
    <w:uiPriority w:val="99"/>
    <w:semiHidden/>
    <w:rsid w:val="00A45EEC"/>
    <w:rPr>
      <w:rFonts w:ascii="Times New Roman" w:eastAsia="Times New Roman" w:hAnsi="Times New Roman" w:cs="Times New Roman"/>
      <w:sz w:val="24"/>
      <w:szCs w:val="24"/>
      <w:lang w:eastAsia="fr-FR"/>
    </w:rPr>
  </w:style>
  <w:style w:type="character" w:styleId="Hiperligaovisitada">
    <w:name w:val="FollowedHyperlink"/>
    <w:basedOn w:val="Tipodeletrapredefinidodopargrafo"/>
    <w:semiHidden/>
    <w:unhideWhenUsed/>
    <w:rsid w:val="00A45EEC"/>
    <w:rPr>
      <w:color w:val="954F72" w:themeColor="followedHyperlink"/>
      <w:u w:val="single"/>
    </w:rPr>
  </w:style>
  <w:style w:type="paragraph" w:styleId="Reviso">
    <w:name w:val="Revision"/>
    <w:hidden/>
    <w:uiPriority w:val="99"/>
    <w:semiHidden/>
    <w:rsid w:val="00A45EEC"/>
    <w:pPr>
      <w:spacing w:after="0" w:line="240" w:lineRule="auto"/>
    </w:pPr>
    <w:rPr>
      <w:rFonts w:ascii="Times New Roman" w:eastAsia="Times New Roman" w:hAnsi="Times New Roman" w:cs="Times New Roman"/>
      <w:sz w:val="24"/>
      <w:szCs w:val="24"/>
      <w:lang w:eastAsia="fr-FR"/>
    </w:rPr>
  </w:style>
  <w:style w:type="paragraph" w:customStyle="1" w:styleId="rtejustify">
    <w:name w:val="rtejustify"/>
    <w:basedOn w:val="Normal"/>
    <w:rsid w:val="00A45EEC"/>
    <w:pPr>
      <w:spacing w:before="100" w:beforeAutospacing="1" w:after="100" w:afterAutospacing="1"/>
    </w:pPr>
  </w:style>
  <w:style w:type="table" w:customStyle="1" w:styleId="TableauListe3-Accentuation11">
    <w:name w:val="Tableau Liste 3 - Accentuation 11"/>
    <w:basedOn w:val="Tabelanormal"/>
    <w:uiPriority w:val="48"/>
    <w:rsid w:val="006E352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auListe1Clair1">
    <w:name w:val="Tableau Liste 1 Clair1"/>
    <w:basedOn w:val="Tabelanormal"/>
    <w:uiPriority w:val="46"/>
    <w:rsid w:val="001412E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1Clair-Accentuation21">
    <w:name w:val="Tableau Liste 1 Clair - Accentuation 21"/>
    <w:basedOn w:val="Tabelanormal"/>
    <w:uiPriority w:val="46"/>
    <w:rsid w:val="001412E1"/>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auGrille1Clair2">
    <w:name w:val="Tableau Grille 1 Clair2"/>
    <w:basedOn w:val="Tabelanormal"/>
    <w:uiPriority w:val="46"/>
    <w:rsid w:val="001412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Tipodeletrapredefinidodopargrafo"/>
    <w:rsid w:val="001D3373"/>
    <w:rPr>
      <w:rFonts w:ascii="Verdana" w:hAnsi="Verdana" w:hint="default"/>
      <w:b/>
      <w:bCs/>
      <w:i w:val="0"/>
      <w:iCs w:val="0"/>
      <w:color w:val="000000"/>
      <w:sz w:val="24"/>
      <w:szCs w:val="24"/>
    </w:rPr>
  </w:style>
  <w:style w:type="paragraph" w:customStyle="1" w:styleId="titre3">
    <w:name w:val="titre 3"/>
    <w:basedOn w:val="Cabealho2"/>
    <w:link w:val="titre3Car"/>
    <w:rsid w:val="001D3373"/>
    <w:pPr>
      <w:keepNext w:val="0"/>
      <w:numPr>
        <w:numId w:val="0"/>
      </w:numPr>
      <w:tabs>
        <w:tab w:val="left" w:pos="1701"/>
      </w:tabs>
      <w:spacing w:before="120" w:after="120"/>
      <w:ind w:left="3371" w:hanging="180"/>
      <w:jc w:val="both"/>
    </w:pPr>
    <w:rPr>
      <w:rFonts w:ascii="Calibri" w:eastAsia="Times New Roman" w:hAnsi="Calibri" w:cs="Calibri"/>
      <w:b w:val="0"/>
      <w:i w:val="0"/>
      <w:iCs w:val="0"/>
      <w:color w:val="AF143D"/>
    </w:rPr>
  </w:style>
  <w:style w:type="character" w:customStyle="1" w:styleId="titre3Car">
    <w:name w:val="titre 3 Car"/>
    <w:basedOn w:val="Tipodeletrapredefinidodopargrafo"/>
    <w:link w:val="titre3"/>
    <w:rsid w:val="001D3373"/>
    <w:rPr>
      <w:rFonts w:ascii="Calibri" w:eastAsia="Times New Roman" w:hAnsi="Calibri" w:cs="Calibri"/>
      <w:bCs/>
      <w:color w:val="AF143D"/>
      <w:sz w:val="28"/>
      <w:szCs w:val="28"/>
      <w:lang w:eastAsia="fr-FR"/>
    </w:rPr>
  </w:style>
  <w:style w:type="character" w:styleId="nfaseDiscreto">
    <w:name w:val="Subtle Emphasis"/>
    <w:aliases w:val="Titre document"/>
    <w:basedOn w:val="Tipodeletrapredefinidodopargrafo"/>
    <w:uiPriority w:val="19"/>
    <w:qFormat/>
    <w:rsid w:val="001D3373"/>
    <w:rPr>
      <w:iCs/>
      <w:sz w:val="40"/>
      <w:szCs w:val="40"/>
    </w:rPr>
  </w:style>
  <w:style w:type="character" w:styleId="TtulodoLivro">
    <w:name w:val="Book Title"/>
    <w:basedOn w:val="Tipodeletrapredefinidodopargrafo"/>
    <w:uiPriority w:val="33"/>
    <w:qFormat/>
    <w:rsid w:val="001D3373"/>
    <w:rPr>
      <w:smallCaps/>
    </w:rPr>
  </w:style>
  <w:style w:type="paragraph" w:customStyle="1" w:styleId="BodyText1">
    <w:name w:val="Body Text1"/>
    <w:basedOn w:val="Normal"/>
    <w:link w:val="BodytextChar"/>
    <w:qFormat/>
    <w:rsid w:val="001D3373"/>
    <w:pPr>
      <w:jc w:val="both"/>
    </w:pPr>
    <w:rPr>
      <w:rFonts w:ascii="Calibri Light" w:eastAsia="Century Schoolbook" w:hAnsi="Calibri Light"/>
      <w:w w:val="112"/>
      <w:sz w:val="40"/>
      <w:szCs w:val="40"/>
      <w:lang w:eastAsia="ja-JP"/>
    </w:rPr>
  </w:style>
  <w:style w:type="character" w:customStyle="1" w:styleId="BodytextChar">
    <w:name w:val="Body text Char"/>
    <w:link w:val="BodyText1"/>
    <w:rsid w:val="001D3373"/>
    <w:rPr>
      <w:rFonts w:ascii="Calibri Light" w:eastAsia="Century Schoolbook" w:hAnsi="Calibri Light" w:cs="Times New Roman"/>
      <w:w w:val="112"/>
      <w:sz w:val="40"/>
      <w:szCs w:val="40"/>
      <w:lang w:eastAsia="ja-JP"/>
    </w:rPr>
  </w:style>
  <w:style w:type="character" w:customStyle="1" w:styleId="fontstyle21">
    <w:name w:val="fontstyle21"/>
    <w:rsid w:val="001D3373"/>
    <w:rPr>
      <w:rFonts w:ascii="SymbolMT" w:hAnsi="SymbolMT" w:hint="default"/>
      <w:b w:val="0"/>
      <w:bCs w:val="0"/>
      <w:i w:val="0"/>
      <w:iCs w:val="0"/>
      <w:color w:val="000000"/>
      <w:sz w:val="22"/>
      <w:szCs w:val="22"/>
    </w:rPr>
  </w:style>
  <w:style w:type="character" w:customStyle="1" w:styleId="fontstyle31">
    <w:name w:val="fontstyle31"/>
    <w:rsid w:val="001D3373"/>
    <w:rPr>
      <w:rFonts w:ascii="CourierNew" w:hAnsi="CourierNew" w:hint="default"/>
      <w:b w:val="0"/>
      <w:bCs w:val="0"/>
      <w:i w:val="0"/>
      <w:iCs w:val="0"/>
      <w:color w:val="262626"/>
      <w:sz w:val="22"/>
      <w:szCs w:val="22"/>
    </w:rPr>
  </w:style>
  <w:style w:type="paragraph" w:customStyle="1" w:styleId="default0">
    <w:name w:val="default"/>
    <w:basedOn w:val="Normal"/>
    <w:uiPriority w:val="99"/>
    <w:rsid w:val="001D3373"/>
    <w:pPr>
      <w:spacing w:before="100" w:beforeAutospacing="1" w:after="100" w:afterAutospacing="1"/>
    </w:pPr>
    <w:rPr>
      <w:rFonts w:eastAsia="Times New Roman"/>
    </w:rPr>
  </w:style>
  <w:style w:type="paragraph" w:styleId="Lista2">
    <w:name w:val="List 2"/>
    <w:basedOn w:val="Normal"/>
    <w:uiPriority w:val="99"/>
    <w:unhideWhenUsed/>
    <w:rsid w:val="001D3373"/>
    <w:pPr>
      <w:spacing w:after="120"/>
      <w:ind w:left="566" w:hanging="283"/>
      <w:contextualSpacing/>
      <w:jc w:val="both"/>
    </w:pPr>
    <w:rPr>
      <w:rFonts w:ascii="Calibri" w:eastAsia="Times New Roman" w:hAnsi="Calibri"/>
      <w:sz w:val="22"/>
      <w:szCs w:val="22"/>
    </w:rPr>
  </w:style>
  <w:style w:type="paragraph" w:styleId="Listacommarcas">
    <w:name w:val="List Bullet"/>
    <w:basedOn w:val="Normal"/>
    <w:uiPriority w:val="99"/>
    <w:unhideWhenUsed/>
    <w:rsid w:val="001D3373"/>
    <w:pPr>
      <w:numPr>
        <w:numId w:val="24"/>
      </w:numPr>
      <w:spacing w:after="120"/>
      <w:contextualSpacing/>
      <w:jc w:val="both"/>
    </w:pPr>
    <w:rPr>
      <w:rFonts w:ascii="Calibri" w:eastAsia="Times New Roman" w:hAnsi="Calibri"/>
      <w:sz w:val="22"/>
      <w:szCs w:val="22"/>
    </w:rPr>
  </w:style>
  <w:style w:type="paragraph" w:customStyle="1" w:styleId="Listecouleur-Accent12">
    <w:name w:val="Liste couleur - Accent 12"/>
    <w:aliases w:val="Akapit z listą BS"/>
    <w:basedOn w:val="Normal"/>
    <w:uiPriority w:val="34"/>
    <w:qFormat/>
    <w:rsid w:val="001D3373"/>
    <w:pPr>
      <w:ind w:left="720"/>
      <w:contextualSpacing/>
      <w:jc w:val="both"/>
    </w:pPr>
    <w:rPr>
      <w:rFonts w:eastAsia="Times New Roman"/>
      <w:szCs w:val="20"/>
      <w:lang w:val="en-US" w:eastAsia="en-US"/>
    </w:rPr>
  </w:style>
  <w:style w:type="paragraph" w:customStyle="1" w:styleId="Corpsdetexte31">
    <w:name w:val="Corps de texte 31"/>
    <w:basedOn w:val="Normal"/>
    <w:rsid w:val="001D3373"/>
    <w:pPr>
      <w:keepLines/>
      <w:widowControl w:val="0"/>
      <w:tabs>
        <w:tab w:val="left" w:pos="785"/>
        <w:tab w:val="left" w:pos="851"/>
        <w:tab w:val="left" w:pos="2491"/>
        <w:tab w:val="left" w:pos="3398"/>
        <w:tab w:val="left" w:pos="4368"/>
        <w:tab w:val="left" w:pos="5153"/>
        <w:tab w:val="left" w:pos="5938"/>
        <w:tab w:val="left" w:pos="7298"/>
        <w:tab w:val="left" w:pos="8083"/>
        <w:tab w:val="left" w:pos="8868"/>
        <w:tab w:val="left" w:pos="9653"/>
        <w:tab w:val="left" w:pos="10438"/>
      </w:tabs>
      <w:spacing w:before="120"/>
      <w:jc w:val="both"/>
    </w:pPr>
    <w:rPr>
      <w:rFonts w:eastAsia="Times New Roman"/>
      <w:b/>
      <w:snapToGrid w:val="0"/>
      <w:sz w:val="22"/>
      <w:szCs w:val="20"/>
      <w:lang w:eastAsia="it-IT"/>
    </w:rPr>
  </w:style>
  <w:style w:type="paragraph" w:customStyle="1" w:styleId="Corpsdetexte22">
    <w:name w:val="Corps de texte 22"/>
    <w:basedOn w:val="Normal"/>
    <w:rsid w:val="001D3373"/>
    <w:pPr>
      <w:ind w:left="1134" w:hanging="283"/>
      <w:jc w:val="both"/>
    </w:pPr>
    <w:rPr>
      <w:rFonts w:eastAsia="Times New Roman"/>
      <w:szCs w:val="20"/>
    </w:rPr>
  </w:style>
  <w:style w:type="paragraph" w:customStyle="1" w:styleId="xl65">
    <w:name w:val="xl65"/>
    <w:basedOn w:val="Normal"/>
    <w:rsid w:val="001D3373"/>
    <w:pPr>
      <w:spacing w:before="100" w:beforeAutospacing="1" w:after="100" w:afterAutospacing="1"/>
      <w:jc w:val="center"/>
    </w:pPr>
    <w:rPr>
      <w:rFonts w:eastAsia="Times New Roman"/>
    </w:rPr>
  </w:style>
  <w:style w:type="paragraph" w:customStyle="1" w:styleId="xl66">
    <w:name w:val="xl66"/>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8">
    <w:name w:val="xl68"/>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9">
    <w:name w:val="xl69"/>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0">
    <w:name w:val="xl70"/>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1">
    <w:name w:val="xl71"/>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eastAsia="Times New Roman"/>
      <w:b/>
      <w:bCs/>
    </w:rPr>
  </w:style>
  <w:style w:type="paragraph" w:customStyle="1" w:styleId="xl72">
    <w:name w:val="xl72"/>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3">
    <w:name w:val="xl73"/>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eastAsia="Times New Roman"/>
      <w:b/>
      <w:bCs/>
      <w:sz w:val="16"/>
      <w:szCs w:val="16"/>
    </w:rPr>
  </w:style>
  <w:style w:type="paragraph" w:customStyle="1" w:styleId="xl74">
    <w:name w:val="xl74"/>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eastAsia="Times New Roman"/>
      <w:b/>
      <w:bCs/>
      <w:sz w:val="16"/>
      <w:szCs w:val="16"/>
    </w:rPr>
  </w:style>
  <w:style w:type="paragraph" w:customStyle="1" w:styleId="xl75">
    <w:name w:val="xl75"/>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6">
    <w:name w:val="xl76"/>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7">
    <w:name w:val="xl77"/>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8">
    <w:name w:val="xl78"/>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9">
    <w:name w:val="xl79"/>
    <w:basedOn w:val="Normal"/>
    <w:rsid w:val="001D33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rPr>
  </w:style>
  <w:style w:type="paragraph" w:customStyle="1" w:styleId="xl80">
    <w:name w:val="xl80"/>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81">
    <w:name w:val="xl81"/>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rPr>
  </w:style>
  <w:style w:type="paragraph" w:customStyle="1" w:styleId="xl82">
    <w:name w:val="xl82"/>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3">
    <w:name w:val="xl83"/>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eastAsia="Times New Roman"/>
      <w:b/>
      <w:bCs/>
    </w:rPr>
  </w:style>
  <w:style w:type="paragraph" w:customStyle="1" w:styleId="xl84">
    <w:name w:val="xl84"/>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85">
    <w:name w:val="xl85"/>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6">
    <w:name w:val="xl86"/>
    <w:basedOn w:val="Normal"/>
    <w:rsid w:val="001D337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rPr>
  </w:style>
  <w:style w:type="paragraph" w:customStyle="1" w:styleId="xl87">
    <w:name w:val="xl87"/>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rPr>
  </w:style>
  <w:style w:type="paragraph" w:customStyle="1" w:styleId="xl88">
    <w:name w:val="xl88"/>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9">
    <w:name w:val="xl89"/>
    <w:basedOn w:val="Normal"/>
    <w:rsid w:val="001D337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Times New Roman"/>
      <w:b/>
      <w:bCs/>
    </w:rPr>
  </w:style>
  <w:style w:type="paragraph" w:customStyle="1" w:styleId="xl90">
    <w:name w:val="xl90"/>
    <w:basedOn w:val="Normal"/>
    <w:rsid w:val="001D337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textAlignment w:val="center"/>
    </w:pPr>
    <w:rPr>
      <w:rFonts w:eastAsia="Times New Roman"/>
      <w:sz w:val="18"/>
      <w:szCs w:val="18"/>
    </w:rPr>
  </w:style>
  <w:style w:type="paragraph" w:customStyle="1" w:styleId="xl91">
    <w:name w:val="xl91"/>
    <w:basedOn w:val="Normal"/>
    <w:rsid w:val="001D337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Times New Roman"/>
      <w:b/>
      <w:bCs/>
      <w:sz w:val="20"/>
      <w:szCs w:val="20"/>
    </w:rPr>
  </w:style>
  <w:style w:type="paragraph" w:customStyle="1" w:styleId="xl92">
    <w:name w:val="xl92"/>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20"/>
      <w:szCs w:val="20"/>
    </w:rPr>
  </w:style>
  <w:style w:type="paragraph" w:customStyle="1" w:styleId="xl93">
    <w:name w:val="xl93"/>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20"/>
      <w:szCs w:val="20"/>
    </w:rPr>
  </w:style>
  <w:style w:type="paragraph" w:customStyle="1" w:styleId="TableText0">
    <w:name w:val="Table_Text"/>
    <w:basedOn w:val="Default"/>
    <w:next w:val="Default"/>
    <w:uiPriority w:val="99"/>
    <w:rsid w:val="001D3373"/>
    <w:rPr>
      <w:rFonts w:ascii="Times New Roman" w:hAnsi="Times New Roman" w:cs="Times New Roman"/>
      <w:color w:val="auto"/>
    </w:rPr>
  </w:style>
  <w:style w:type="table" w:customStyle="1" w:styleId="Tableausimple21">
    <w:name w:val="Tableau simple 21"/>
    <w:basedOn w:val="Tabelanormal"/>
    <w:uiPriority w:val="42"/>
    <w:rsid w:val="001D33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7Couleur1">
    <w:name w:val="Tableau Grille 7 Couleur1"/>
    <w:basedOn w:val="Tabelanormal"/>
    <w:uiPriority w:val="52"/>
    <w:rsid w:val="001D3373"/>
    <w:pPr>
      <w:spacing w:after="0" w:line="240" w:lineRule="auto"/>
    </w:pPr>
    <w:rPr>
      <w:rFonts w:ascii="Calibri" w:eastAsia="Calibri" w:hAnsi="Calibri" w:cs="Times New Roman"/>
      <w:color w:val="000000"/>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annex1">
    <w:name w:val="annex1"/>
    <w:basedOn w:val="Normal"/>
    <w:next w:val="Normal"/>
    <w:unhideWhenUsed/>
    <w:qFormat/>
    <w:rsid w:val="001D3373"/>
    <w:pPr>
      <w:keepNext/>
      <w:keepLines/>
      <w:spacing w:before="200" w:line="276" w:lineRule="auto"/>
      <w:outlineLvl w:val="2"/>
    </w:pPr>
    <w:rPr>
      <w:rFonts w:ascii="Cambria" w:eastAsia="Times New Roman" w:hAnsi="Cambria"/>
      <w:b/>
      <w:bCs/>
      <w:color w:val="4F81BD"/>
      <w:sz w:val="22"/>
      <w:szCs w:val="22"/>
      <w:lang w:eastAsia="en-US"/>
    </w:rPr>
  </w:style>
  <w:style w:type="paragraph" w:customStyle="1" w:styleId="Titre41">
    <w:name w:val="Titre 41"/>
    <w:basedOn w:val="Normal"/>
    <w:next w:val="Normal"/>
    <w:uiPriority w:val="9"/>
    <w:semiHidden/>
    <w:unhideWhenUsed/>
    <w:qFormat/>
    <w:rsid w:val="001D3373"/>
    <w:pPr>
      <w:keepNext/>
      <w:keepLines/>
      <w:spacing w:before="200" w:line="276" w:lineRule="auto"/>
      <w:outlineLvl w:val="3"/>
    </w:pPr>
    <w:rPr>
      <w:rFonts w:ascii="Cambria" w:eastAsia="Times New Roman" w:hAnsi="Cambria"/>
      <w:b/>
      <w:bCs/>
      <w:i/>
      <w:iCs/>
      <w:color w:val="4F81BD"/>
      <w:sz w:val="22"/>
      <w:szCs w:val="22"/>
      <w:lang w:eastAsia="en-US"/>
    </w:rPr>
  </w:style>
  <w:style w:type="paragraph" w:customStyle="1" w:styleId="Titre51">
    <w:name w:val="Titre 51"/>
    <w:basedOn w:val="Normal"/>
    <w:next w:val="Normal"/>
    <w:uiPriority w:val="9"/>
    <w:semiHidden/>
    <w:unhideWhenUsed/>
    <w:qFormat/>
    <w:rsid w:val="001D3373"/>
    <w:pPr>
      <w:keepNext/>
      <w:keepLines/>
      <w:spacing w:before="200" w:line="276" w:lineRule="auto"/>
      <w:outlineLvl w:val="4"/>
    </w:pPr>
    <w:rPr>
      <w:rFonts w:ascii="Cambria" w:eastAsia="Times New Roman" w:hAnsi="Cambria"/>
      <w:color w:val="243F60"/>
      <w:sz w:val="22"/>
      <w:szCs w:val="22"/>
      <w:lang w:eastAsia="en-US"/>
    </w:rPr>
  </w:style>
  <w:style w:type="paragraph" w:customStyle="1" w:styleId="Titre61">
    <w:name w:val="Titre 61"/>
    <w:basedOn w:val="Normal"/>
    <w:next w:val="Normal"/>
    <w:uiPriority w:val="9"/>
    <w:semiHidden/>
    <w:unhideWhenUsed/>
    <w:qFormat/>
    <w:rsid w:val="001D3373"/>
    <w:pPr>
      <w:keepNext/>
      <w:keepLines/>
      <w:spacing w:before="200" w:line="276" w:lineRule="auto"/>
      <w:outlineLvl w:val="5"/>
    </w:pPr>
    <w:rPr>
      <w:rFonts w:ascii="Cambria" w:eastAsia="Times New Roman" w:hAnsi="Cambria"/>
      <w:i/>
      <w:iCs/>
      <w:color w:val="243F60"/>
      <w:sz w:val="22"/>
      <w:szCs w:val="22"/>
      <w:lang w:eastAsia="en-US"/>
    </w:rPr>
  </w:style>
  <w:style w:type="numbering" w:customStyle="1" w:styleId="Aucuneliste1">
    <w:name w:val="Aucune liste1"/>
    <w:next w:val="Semlista"/>
    <w:uiPriority w:val="99"/>
    <w:semiHidden/>
    <w:unhideWhenUsed/>
    <w:rsid w:val="001D3373"/>
  </w:style>
  <w:style w:type="character" w:customStyle="1" w:styleId="Lienhypertexte1">
    <w:name w:val="Lien hypertexte1"/>
    <w:uiPriority w:val="99"/>
    <w:unhideWhenUsed/>
    <w:rsid w:val="001D3373"/>
    <w:rPr>
      <w:color w:val="0000FF"/>
      <w:u w:val="single"/>
    </w:rPr>
  </w:style>
  <w:style w:type="character" w:customStyle="1" w:styleId="Lienhypertextesuivivisit1">
    <w:name w:val="Lien hypertexte suivi visité1"/>
    <w:uiPriority w:val="99"/>
    <w:semiHidden/>
    <w:unhideWhenUsed/>
    <w:rsid w:val="001D3373"/>
    <w:rPr>
      <w:color w:val="800080"/>
      <w:u w:val="single"/>
    </w:rPr>
  </w:style>
  <w:style w:type="paragraph" w:customStyle="1" w:styleId="TM91">
    <w:name w:val="TM 91"/>
    <w:basedOn w:val="Normal"/>
    <w:next w:val="Normal"/>
    <w:autoRedefine/>
    <w:uiPriority w:val="39"/>
    <w:unhideWhenUsed/>
    <w:rsid w:val="001D3373"/>
    <w:pPr>
      <w:spacing w:after="100" w:line="276" w:lineRule="auto"/>
      <w:ind w:left="1760"/>
    </w:pPr>
    <w:rPr>
      <w:rFonts w:ascii="Calibri" w:eastAsia="Times New Roman" w:hAnsi="Calibri"/>
      <w:sz w:val="22"/>
      <w:szCs w:val="22"/>
    </w:rPr>
  </w:style>
  <w:style w:type="character" w:customStyle="1" w:styleId="CommentaireCar1">
    <w:name w:val="Commentaire Car1"/>
    <w:uiPriority w:val="99"/>
    <w:locked/>
    <w:rsid w:val="001D3373"/>
    <w:rPr>
      <w:rFonts w:ascii="Arial" w:eastAsia="Times New Roman" w:hAnsi="Arial" w:cs="Times New Roman"/>
      <w:sz w:val="18"/>
      <w:szCs w:val="20"/>
    </w:rPr>
  </w:style>
  <w:style w:type="character" w:customStyle="1" w:styleId="RetraitcorpsdetexteCar1">
    <w:name w:val="Retrait corps de texte Car1"/>
    <w:basedOn w:val="Tipodeletrapredefinidodopargrafo"/>
    <w:uiPriority w:val="99"/>
    <w:semiHidden/>
    <w:rsid w:val="001D3373"/>
  </w:style>
  <w:style w:type="paragraph" w:customStyle="1" w:styleId="Sous-titre1">
    <w:name w:val="Sous-titre1"/>
    <w:basedOn w:val="Normal"/>
    <w:next w:val="Normal"/>
    <w:uiPriority w:val="11"/>
    <w:qFormat/>
    <w:rsid w:val="001D3373"/>
    <w:pPr>
      <w:spacing w:after="200" w:line="276" w:lineRule="auto"/>
    </w:pPr>
    <w:rPr>
      <w:rFonts w:ascii="Cambria" w:eastAsia="Times New Roman" w:hAnsi="Cambria"/>
      <w:i/>
      <w:iCs/>
      <w:color w:val="4F81BD"/>
      <w:spacing w:val="15"/>
    </w:rPr>
  </w:style>
  <w:style w:type="character" w:customStyle="1" w:styleId="Primeiroavanodecorpodetexto2Carcter">
    <w:name w:val="Primeiro avanço de corpo de texto 2 Carácter"/>
    <w:basedOn w:val="AvanodecorpodetextoCarcter"/>
    <w:link w:val="Primeiroavanodecorpodetexto2"/>
    <w:uiPriority w:val="99"/>
    <w:rsid w:val="001D3373"/>
    <w:rPr>
      <w:rFonts w:ascii="Calibri" w:eastAsia="Times New Roman" w:hAnsi="Calibri" w:cs="Times New Roman"/>
      <w:sz w:val="24"/>
      <w:szCs w:val="24"/>
      <w:lang w:eastAsia="fr-FR"/>
    </w:rPr>
  </w:style>
  <w:style w:type="paragraph" w:styleId="Primeiroavanodecorpodetexto2">
    <w:name w:val="Body Text First Indent 2"/>
    <w:basedOn w:val="Avanodecorpodetexto"/>
    <w:link w:val="Primeiroavanodecorpodetexto2Carcter"/>
    <w:uiPriority w:val="99"/>
    <w:unhideWhenUsed/>
    <w:rsid w:val="001D3373"/>
    <w:pPr>
      <w:spacing w:after="200" w:line="276" w:lineRule="auto"/>
      <w:ind w:firstLine="360"/>
    </w:pPr>
    <w:rPr>
      <w:rFonts w:ascii="Calibri" w:eastAsia="Times New Roman" w:hAnsi="Calibri"/>
      <w:sz w:val="22"/>
      <w:szCs w:val="22"/>
    </w:rPr>
  </w:style>
  <w:style w:type="character" w:customStyle="1" w:styleId="Retraitcorpset1religCar1">
    <w:name w:val="Retrait corps et 1re lig. Car1"/>
    <w:basedOn w:val="AvanodecorpodetextoCarcter"/>
    <w:uiPriority w:val="99"/>
    <w:semiHidden/>
    <w:rsid w:val="001D3373"/>
    <w:rPr>
      <w:rFonts w:ascii="Times New Roman" w:eastAsia="Times New Roman" w:hAnsi="Times New Roman" w:cs="Times New Roman"/>
      <w:sz w:val="24"/>
      <w:szCs w:val="24"/>
      <w:lang w:eastAsia="fr-FR"/>
    </w:rPr>
  </w:style>
  <w:style w:type="character" w:customStyle="1" w:styleId="ObjetducommentaireCar1">
    <w:name w:val="Objet du commentaire Car1"/>
    <w:basedOn w:val="TextodecomentrioCarcter"/>
    <w:uiPriority w:val="99"/>
    <w:semiHidden/>
    <w:rsid w:val="001D3373"/>
    <w:rPr>
      <w:rFonts w:ascii="Times New Roman" w:eastAsia="Times New Roman" w:hAnsi="Times New Roman" w:cs="Times New Roman"/>
      <w:b/>
      <w:bCs/>
      <w:sz w:val="20"/>
      <w:szCs w:val="20"/>
      <w:lang w:eastAsia="fr-FR"/>
    </w:rPr>
  </w:style>
  <w:style w:type="character" w:customStyle="1" w:styleId="Grillemoyenne2Car">
    <w:name w:val="Grille moyenne 2 Car"/>
    <w:link w:val="Grillemoyenne21"/>
    <w:uiPriority w:val="1"/>
    <w:locked/>
    <w:rsid w:val="001D3373"/>
    <w:rPr>
      <w:rFonts w:cs="Times New Roman"/>
    </w:rPr>
  </w:style>
  <w:style w:type="paragraph" w:customStyle="1" w:styleId="Grillemoyenne21">
    <w:name w:val="Grille moyenne 21"/>
    <w:basedOn w:val="Normal"/>
    <w:link w:val="Grillemoyenne2Car"/>
    <w:uiPriority w:val="1"/>
    <w:qFormat/>
    <w:rsid w:val="001D3373"/>
    <w:rPr>
      <w:rFonts w:asciiTheme="minorHAnsi" w:hAnsiTheme="minorHAnsi"/>
      <w:sz w:val="22"/>
      <w:szCs w:val="22"/>
      <w:lang w:eastAsia="en-US"/>
    </w:rPr>
  </w:style>
  <w:style w:type="paragraph" w:customStyle="1" w:styleId="GridTable31">
    <w:name w:val="Grid Table 31"/>
    <w:basedOn w:val="Cabealho1"/>
    <w:next w:val="Normal"/>
    <w:uiPriority w:val="39"/>
    <w:unhideWhenUsed/>
    <w:qFormat/>
    <w:rsid w:val="001D3373"/>
    <w:pPr>
      <w:keepLines/>
      <w:numPr>
        <w:numId w:val="0"/>
      </w:numPr>
      <w:spacing w:before="480" w:after="0" w:line="276" w:lineRule="auto"/>
      <w:ind w:left="787" w:hanging="360"/>
      <w:outlineLvl w:val="9"/>
    </w:pPr>
    <w:rPr>
      <w:rFonts w:ascii="Times New Roman" w:eastAsia="Calibri" w:hAnsi="Times New Roman"/>
      <w:b w:val="0"/>
      <w:bCs w:val="0"/>
      <w:kern w:val="0"/>
      <w:sz w:val="28"/>
      <w:szCs w:val="28"/>
      <w:u w:val="single"/>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PDG16">
    <w:name w:val="PDG16"/>
    <w:basedOn w:val="Normal"/>
    <w:uiPriority w:val="99"/>
    <w:rsid w:val="001D3373"/>
    <w:pPr>
      <w:spacing w:before="120" w:after="120" w:line="240" w:lineRule="atLeast"/>
      <w:jc w:val="both"/>
    </w:pPr>
    <w:rPr>
      <w:rFonts w:ascii="Arial Narrow" w:eastAsia="Times New Roman" w:hAnsi="Arial Narrow"/>
      <w:b/>
      <w:smallCaps/>
      <w:color w:val="003366"/>
      <w:sz w:val="32"/>
      <w:szCs w:val="32"/>
    </w:rPr>
  </w:style>
  <w:style w:type="paragraph" w:customStyle="1" w:styleId="Corpsdetexte21">
    <w:name w:val="Corps de texte 21"/>
    <w:basedOn w:val="Normal"/>
    <w:uiPriority w:val="99"/>
    <w:rsid w:val="001D3373"/>
    <w:pPr>
      <w:tabs>
        <w:tab w:val="left" w:pos="360"/>
      </w:tabs>
      <w:overflowPunct w:val="0"/>
      <w:autoSpaceDE w:val="0"/>
      <w:autoSpaceDN w:val="0"/>
      <w:adjustRightInd w:val="0"/>
      <w:spacing w:line="360" w:lineRule="auto"/>
      <w:ind w:right="203"/>
      <w:jc w:val="both"/>
    </w:pPr>
    <w:rPr>
      <w:rFonts w:ascii="Calibri" w:eastAsia="Calibri" w:hAnsi="Calibri"/>
      <w:szCs w:val="20"/>
    </w:rPr>
  </w:style>
  <w:style w:type="character" w:customStyle="1" w:styleId="psCar">
    <w:name w:val="ps Car"/>
    <w:link w:val="ps"/>
    <w:uiPriority w:val="99"/>
    <w:locked/>
    <w:rsid w:val="001D3373"/>
    <w:rPr>
      <w:rFonts w:ascii="Times New Roman" w:hAnsi="Times New Roman" w:cs="Times New Roman"/>
    </w:rPr>
  </w:style>
  <w:style w:type="paragraph" w:customStyle="1" w:styleId="ps">
    <w:name w:val="ps"/>
    <w:basedOn w:val="Normal"/>
    <w:link w:val="psCar"/>
    <w:uiPriority w:val="99"/>
    <w:rsid w:val="001D3373"/>
    <w:pPr>
      <w:keepLines/>
      <w:spacing w:before="240"/>
      <w:jc w:val="both"/>
    </w:pPr>
    <w:rPr>
      <w:sz w:val="22"/>
      <w:szCs w:val="22"/>
      <w:lang w:eastAsia="en-US"/>
    </w:rPr>
  </w:style>
  <w:style w:type="paragraph" w:customStyle="1" w:styleId="PARA">
    <w:name w:val="PARA"/>
    <w:basedOn w:val="Normal"/>
    <w:rsid w:val="001D3373"/>
    <w:pPr>
      <w:keepLines/>
      <w:spacing w:before="120"/>
      <w:jc w:val="both"/>
    </w:pPr>
    <w:rPr>
      <w:rFonts w:ascii="Arial" w:eastAsia="Times New Roman" w:hAnsi="Arial"/>
      <w:sz w:val="20"/>
      <w:szCs w:val="20"/>
    </w:rPr>
  </w:style>
  <w:style w:type="paragraph" w:customStyle="1" w:styleId="Retrait2">
    <w:name w:val="Retrait2"/>
    <w:basedOn w:val="Corpodetexto"/>
    <w:uiPriority w:val="99"/>
    <w:rsid w:val="001D3373"/>
    <w:pPr>
      <w:tabs>
        <w:tab w:val="num" w:pos="360"/>
      </w:tabs>
      <w:spacing w:before="0" w:after="0"/>
      <w:ind w:left="340" w:hanging="340"/>
      <w:jc w:val="both"/>
    </w:pPr>
    <w:rPr>
      <w:rFonts w:ascii="Times New Roman" w:eastAsia="Times New Roman" w:hAnsi="Times New Roman"/>
      <w:bCs/>
      <w:spacing w:val="0"/>
      <w:sz w:val="22"/>
    </w:rPr>
  </w:style>
  <w:style w:type="paragraph" w:customStyle="1" w:styleId="Retraittexte">
    <w:name w:val="Retrait texte"/>
    <w:basedOn w:val="Corpodetexto"/>
    <w:uiPriority w:val="99"/>
    <w:rsid w:val="001D3373"/>
    <w:pPr>
      <w:spacing w:before="0" w:after="0"/>
      <w:ind w:left="360" w:hanging="360"/>
      <w:jc w:val="both"/>
    </w:pPr>
    <w:rPr>
      <w:rFonts w:ascii="Times New Roman" w:eastAsia="Times New Roman" w:hAnsi="Times New Roman"/>
      <w:spacing w:val="0"/>
      <w:sz w:val="22"/>
    </w:rPr>
  </w:style>
  <w:style w:type="character" w:customStyle="1" w:styleId="st">
    <w:name w:val="st"/>
    <w:basedOn w:val="Tipodeletrapredefinidodopargrafo"/>
    <w:rsid w:val="001D3373"/>
  </w:style>
  <w:style w:type="character" w:customStyle="1" w:styleId="mw-headline">
    <w:name w:val="mw-headline"/>
    <w:basedOn w:val="Tipodeletrapredefinidodopargrafo"/>
    <w:rsid w:val="001D3373"/>
  </w:style>
  <w:style w:type="character" w:customStyle="1" w:styleId="nowrap">
    <w:name w:val="nowrap"/>
    <w:basedOn w:val="Tipodeletrapredefinidodopargrafo"/>
    <w:rsid w:val="001D3373"/>
  </w:style>
  <w:style w:type="character" w:customStyle="1" w:styleId="article-fulllettrine">
    <w:name w:val="article-full__lettrine"/>
    <w:basedOn w:val="Tipodeletrapredefinidodopargrafo"/>
    <w:rsid w:val="001D3373"/>
  </w:style>
  <w:style w:type="character" w:customStyle="1" w:styleId="reference-text">
    <w:name w:val="reference-text"/>
    <w:basedOn w:val="Tipodeletrapredefinidodopargrafo"/>
    <w:rsid w:val="001D3373"/>
  </w:style>
  <w:style w:type="character" w:customStyle="1" w:styleId="bodyinterna1">
    <w:name w:val="bodyinterna1"/>
    <w:rsid w:val="001D3373"/>
    <w:rPr>
      <w:rFonts w:ascii="Arial" w:hAnsi="Arial" w:cs="Arial" w:hint="default"/>
      <w:sz w:val="20"/>
      <w:szCs w:val="20"/>
    </w:rPr>
  </w:style>
  <w:style w:type="table" w:customStyle="1" w:styleId="Listeclaire-Accent31">
    <w:name w:val="Liste claire - Accent 31"/>
    <w:basedOn w:val="Tabelanormal"/>
    <w:next w:val="ListaEscura-Cor3"/>
    <w:uiPriority w:val="61"/>
    <w:rsid w:val="001D3373"/>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M41">
    <w:name w:val="TM 41"/>
    <w:basedOn w:val="Normal"/>
    <w:next w:val="Normal"/>
    <w:autoRedefine/>
    <w:uiPriority w:val="1"/>
    <w:unhideWhenUsed/>
    <w:qFormat/>
    <w:rsid w:val="001D3373"/>
    <w:pPr>
      <w:spacing w:after="100" w:line="259" w:lineRule="auto"/>
      <w:ind w:left="660"/>
    </w:pPr>
    <w:rPr>
      <w:rFonts w:ascii="Calibri" w:eastAsia="Times New Roman" w:hAnsi="Calibri"/>
      <w:sz w:val="22"/>
      <w:szCs w:val="22"/>
    </w:rPr>
  </w:style>
  <w:style w:type="paragraph" w:customStyle="1" w:styleId="TM51">
    <w:name w:val="TM 51"/>
    <w:basedOn w:val="Normal"/>
    <w:next w:val="Normal"/>
    <w:autoRedefine/>
    <w:uiPriority w:val="39"/>
    <w:unhideWhenUsed/>
    <w:rsid w:val="001D3373"/>
    <w:pPr>
      <w:spacing w:after="100" w:line="259" w:lineRule="auto"/>
      <w:ind w:left="880"/>
    </w:pPr>
    <w:rPr>
      <w:rFonts w:ascii="Calibri" w:eastAsia="Times New Roman" w:hAnsi="Calibri"/>
      <w:sz w:val="22"/>
      <w:szCs w:val="22"/>
    </w:rPr>
  </w:style>
  <w:style w:type="paragraph" w:customStyle="1" w:styleId="TM61">
    <w:name w:val="TM 61"/>
    <w:basedOn w:val="Normal"/>
    <w:next w:val="Normal"/>
    <w:autoRedefine/>
    <w:uiPriority w:val="39"/>
    <w:unhideWhenUsed/>
    <w:rsid w:val="001D3373"/>
    <w:pPr>
      <w:spacing w:after="100" w:line="259" w:lineRule="auto"/>
      <w:ind w:left="1100"/>
    </w:pPr>
    <w:rPr>
      <w:rFonts w:ascii="Calibri" w:eastAsia="Times New Roman" w:hAnsi="Calibri"/>
      <w:sz w:val="22"/>
      <w:szCs w:val="22"/>
    </w:rPr>
  </w:style>
  <w:style w:type="paragraph" w:customStyle="1" w:styleId="TM71">
    <w:name w:val="TM 71"/>
    <w:basedOn w:val="Normal"/>
    <w:next w:val="Normal"/>
    <w:autoRedefine/>
    <w:uiPriority w:val="39"/>
    <w:unhideWhenUsed/>
    <w:rsid w:val="001D3373"/>
    <w:pPr>
      <w:spacing w:after="100" w:line="259" w:lineRule="auto"/>
      <w:ind w:left="1320"/>
    </w:pPr>
    <w:rPr>
      <w:rFonts w:ascii="Calibri" w:eastAsia="Times New Roman" w:hAnsi="Calibri"/>
      <w:sz w:val="22"/>
      <w:szCs w:val="22"/>
    </w:rPr>
  </w:style>
  <w:style w:type="paragraph" w:customStyle="1" w:styleId="TM81">
    <w:name w:val="TM 81"/>
    <w:basedOn w:val="Normal"/>
    <w:next w:val="Normal"/>
    <w:autoRedefine/>
    <w:uiPriority w:val="39"/>
    <w:unhideWhenUsed/>
    <w:rsid w:val="001D3373"/>
    <w:pPr>
      <w:spacing w:after="100" w:line="259" w:lineRule="auto"/>
      <w:ind w:left="1540"/>
    </w:pPr>
    <w:rPr>
      <w:rFonts w:ascii="Calibri" w:eastAsia="Times New Roman" w:hAnsi="Calibri"/>
      <w:sz w:val="22"/>
      <w:szCs w:val="22"/>
    </w:rPr>
  </w:style>
  <w:style w:type="paragraph" w:customStyle="1" w:styleId="Rvision1">
    <w:name w:val="Révision1"/>
    <w:next w:val="Tramecouleur-Accent11"/>
    <w:hidden/>
    <w:uiPriority w:val="99"/>
    <w:semiHidden/>
    <w:rsid w:val="001D3373"/>
    <w:pPr>
      <w:spacing w:after="0" w:line="240" w:lineRule="auto"/>
    </w:pPr>
    <w:rPr>
      <w:rFonts w:ascii="Calibri" w:eastAsia="Calibri" w:hAnsi="Calibri" w:cs="Times New Roman"/>
    </w:rPr>
  </w:style>
  <w:style w:type="character" w:customStyle="1" w:styleId="Titre3Car2">
    <w:name w:val="Titre 3 Car2"/>
    <w:uiPriority w:val="9"/>
    <w:semiHidden/>
    <w:rsid w:val="001D3373"/>
    <w:rPr>
      <w:rFonts w:ascii="Calibri Light" w:eastAsia="Yu Gothic Light" w:hAnsi="Calibri Light" w:cs="Times New Roman"/>
      <w:color w:val="1F4D78"/>
      <w:sz w:val="24"/>
      <w:szCs w:val="24"/>
    </w:rPr>
  </w:style>
  <w:style w:type="character" w:customStyle="1" w:styleId="Titre4Car1">
    <w:name w:val="Titre 4 Car1"/>
    <w:uiPriority w:val="9"/>
    <w:semiHidden/>
    <w:rsid w:val="001D3373"/>
    <w:rPr>
      <w:rFonts w:ascii="Calibri Light" w:eastAsia="Yu Gothic Light" w:hAnsi="Calibri Light" w:cs="Times New Roman"/>
      <w:i/>
      <w:iCs/>
      <w:color w:val="2E74B5"/>
    </w:rPr>
  </w:style>
  <w:style w:type="character" w:customStyle="1" w:styleId="Titre5Car1">
    <w:name w:val="Titre 5 Car1"/>
    <w:uiPriority w:val="9"/>
    <w:semiHidden/>
    <w:rsid w:val="001D3373"/>
    <w:rPr>
      <w:rFonts w:ascii="Calibri Light" w:eastAsia="Yu Gothic Light" w:hAnsi="Calibri Light" w:cs="Times New Roman"/>
      <w:color w:val="2E74B5"/>
    </w:rPr>
  </w:style>
  <w:style w:type="table" w:styleId="ListaEscura-Cor3">
    <w:name w:val="Dark List Accent 3"/>
    <w:basedOn w:val="Tabelanormal"/>
    <w:uiPriority w:val="61"/>
    <w:unhideWhenUsed/>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ramecouleur-Accent11">
    <w:name w:val="Trame couleur - Accent 11"/>
    <w:hidden/>
    <w:uiPriority w:val="99"/>
    <w:semiHidden/>
    <w:rsid w:val="001D3373"/>
    <w:pPr>
      <w:spacing w:after="0" w:line="240" w:lineRule="auto"/>
    </w:pPr>
    <w:rPr>
      <w:rFonts w:ascii="Calibri" w:eastAsia="Calibri" w:hAnsi="Calibri" w:cs="Times New Roman"/>
    </w:rPr>
  </w:style>
  <w:style w:type="paragraph" w:customStyle="1" w:styleId="Grillecouleur-Accent11">
    <w:name w:val="Grille couleur - Accent 11"/>
    <w:basedOn w:val="Normal"/>
    <w:next w:val="Normal"/>
    <w:link w:val="Grillecouleur-Accent1Car"/>
    <w:uiPriority w:val="29"/>
    <w:qFormat/>
    <w:rsid w:val="001D3373"/>
    <w:pPr>
      <w:spacing w:after="200" w:line="276" w:lineRule="auto"/>
    </w:pPr>
    <w:rPr>
      <w:rFonts w:ascii="Calibri" w:eastAsia="Times New Roman" w:hAnsi="Calibri"/>
      <w:i/>
      <w:iCs/>
      <w:color w:val="000000"/>
      <w:sz w:val="22"/>
      <w:szCs w:val="22"/>
    </w:rPr>
  </w:style>
  <w:style w:type="character" w:customStyle="1" w:styleId="Grillecouleur-Accent1Car">
    <w:name w:val="Grille couleur - Accent 1 Car"/>
    <w:link w:val="Grillecouleur-Accent11"/>
    <w:uiPriority w:val="29"/>
    <w:rsid w:val="001D3373"/>
    <w:rPr>
      <w:rFonts w:ascii="Calibri" w:eastAsia="Times New Roman" w:hAnsi="Calibri" w:cs="Times New Roman"/>
      <w:i/>
      <w:iCs/>
      <w:color w:val="000000"/>
      <w:lang w:eastAsia="fr-FR"/>
    </w:rPr>
  </w:style>
  <w:style w:type="paragraph" w:customStyle="1" w:styleId="088095CB421E4E02BDC9682AFEE1723A">
    <w:name w:val="088095CB421E4E02BDC9682AFEE1723A"/>
    <w:rsid w:val="001D3373"/>
    <w:pPr>
      <w:spacing w:after="200" w:line="276" w:lineRule="auto"/>
    </w:pPr>
    <w:rPr>
      <w:rFonts w:ascii="Calibri" w:eastAsia="Yu Mincho" w:hAnsi="Calibri" w:cs="Times New Roman"/>
      <w:lang w:eastAsia="fr-FR"/>
    </w:rPr>
  </w:style>
  <w:style w:type="numbering" w:customStyle="1" w:styleId="Style17">
    <w:name w:val="Style17"/>
    <w:uiPriority w:val="99"/>
    <w:rsid w:val="001D3373"/>
    <w:pPr>
      <w:numPr>
        <w:numId w:val="25"/>
      </w:numPr>
    </w:pPr>
  </w:style>
  <w:style w:type="paragraph" w:customStyle="1" w:styleId="Body1">
    <w:name w:val="Body1"/>
    <w:basedOn w:val="Normal"/>
    <w:rsid w:val="001D3373"/>
    <w:pPr>
      <w:spacing w:before="60" w:after="120" w:line="240" w:lineRule="exact"/>
      <w:ind w:left="709"/>
      <w:jc w:val="both"/>
    </w:pPr>
    <w:rPr>
      <w:rFonts w:ascii="Arial" w:eastAsia="Times New Roman" w:hAnsi="Arial" w:cs="Arial"/>
      <w:sz w:val="20"/>
      <w:szCs w:val="20"/>
    </w:rPr>
  </w:style>
  <w:style w:type="paragraph" w:styleId="HTMLpr-formatado">
    <w:name w:val="HTML Preformatted"/>
    <w:basedOn w:val="Normal"/>
    <w:link w:val="HTMLpr-formatadoCarcter"/>
    <w:uiPriority w:val="99"/>
    <w:unhideWhenUsed/>
    <w:rsid w:val="001D3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formatadoCarcter">
    <w:name w:val="HTML pré-formatado Carácter"/>
    <w:basedOn w:val="Tipodeletrapredefinidodopargrafo"/>
    <w:link w:val="HTMLpr-formatado"/>
    <w:uiPriority w:val="99"/>
    <w:rsid w:val="001D3373"/>
    <w:rPr>
      <w:rFonts w:ascii="Courier New" w:eastAsia="Times New Roman" w:hAnsi="Courier New" w:cs="Courier New"/>
      <w:sz w:val="20"/>
      <w:szCs w:val="20"/>
      <w:lang w:eastAsia="fr-FR"/>
    </w:rPr>
  </w:style>
  <w:style w:type="paragraph" w:customStyle="1" w:styleId="Normal10">
    <w:name w:val="Normal1"/>
    <w:basedOn w:val="Normal"/>
    <w:link w:val="normalCar"/>
    <w:rsid w:val="001D3373"/>
    <w:pPr>
      <w:spacing w:before="120"/>
      <w:ind w:left="737"/>
      <w:jc w:val="both"/>
    </w:pPr>
    <w:rPr>
      <w:rFonts w:ascii="Century Gothic" w:eastAsia="Calibri" w:hAnsi="Century Gothic"/>
      <w:sz w:val="20"/>
      <w:szCs w:val="20"/>
      <w:lang w:val="en-GB"/>
    </w:rPr>
  </w:style>
  <w:style w:type="character" w:customStyle="1" w:styleId="normalCar">
    <w:name w:val="normal Car"/>
    <w:link w:val="Normal10"/>
    <w:locked/>
    <w:rsid w:val="001D3373"/>
    <w:rPr>
      <w:rFonts w:ascii="Century Gothic" w:eastAsia="Calibri" w:hAnsi="Century Gothic" w:cs="Times New Roman"/>
      <w:sz w:val="20"/>
      <w:szCs w:val="20"/>
      <w:lang w:val="en-GB" w:eastAsia="fr-FR"/>
    </w:rPr>
  </w:style>
  <w:style w:type="paragraph" w:customStyle="1" w:styleId="Arial">
    <w:name w:val="Arial"/>
    <w:basedOn w:val="Normal"/>
    <w:uiPriority w:val="99"/>
    <w:rsid w:val="001D3373"/>
    <w:rPr>
      <w:rFonts w:eastAsia="Times New Roman"/>
      <w:sz w:val="21"/>
      <w:szCs w:val="21"/>
    </w:rPr>
  </w:style>
  <w:style w:type="table" w:customStyle="1" w:styleId="TableauGrille31">
    <w:name w:val="Tableau Grille 31"/>
    <w:basedOn w:val="Tabelanormal"/>
    <w:uiPriority w:val="48"/>
    <w:rsid w:val="001D3373"/>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Grille3-Accentuation41">
    <w:name w:val="Tableau Grille 3 - Accentuation 41"/>
    <w:basedOn w:val="Tabelanormal"/>
    <w:uiPriority w:val="48"/>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3-Accentuation61">
    <w:name w:val="Tableau Grille 3 - Accentuation 61"/>
    <w:basedOn w:val="Tabelanormal"/>
    <w:uiPriority w:val="48"/>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auGrille41">
    <w:name w:val="Tableau Grille 41"/>
    <w:basedOn w:val="Tabelanormal"/>
    <w:uiPriority w:val="49"/>
    <w:rsid w:val="001D3373"/>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rameclaire-Accent21">
    <w:name w:val="Trame claire - Accent 21"/>
    <w:basedOn w:val="Normal"/>
    <w:next w:val="Normal"/>
    <w:link w:val="Trameclaire-Accent2Car"/>
    <w:uiPriority w:val="30"/>
    <w:qFormat/>
    <w:rsid w:val="001D3373"/>
    <w:pPr>
      <w:pBdr>
        <w:top w:val="single" w:sz="4" w:space="10" w:color="5B9BD5"/>
        <w:bottom w:val="single" w:sz="4" w:space="10" w:color="5B9BD5"/>
      </w:pBdr>
      <w:spacing w:before="360" w:after="360" w:line="276" w:lineRule="auto"/>
      <w:ind w:left="864" w:right="864"/>
      <w:jc w:val="center"/>
    </w:pPr>
    <w:rPr>
      <w:rFonts w:eastAsia="Times New Roman"/>
      <w:b/>
      <w:bCs/>
      <w:i/>
      <w:iCs/>
      <w:color w:val="4F81BD"/>
      <w:lang w:eastAsia="en-US"/>
    </w:rPr>
  </w:style>
  <w:style w:type="table" w:customStyle="1" w:styleId="Tableausimple211">
    <w:name w:val="Tableau simple 211"/>
    <w:basedOn w:val="Tabelanormal"/>
    <w:uiPriority w:val="42"/>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rtetext-column">
    <w:name w:val="rtetext-column"/>
    <w:basedOn w:val="Normal"/>
    <w:rsid w:val="001D3373"/>
    <w:pPr>
      <w:spacing w:before="100" w:beforeAutospacing="1" w:after="100" w:afterAutospacing="1"/>
    </w:pPr>
    <w:rPr>
      <w:rFonts w:eastAsia="Times New Roman"/>
    </w:rPr>
  </w:style>
  <w:style w:type="character" w:customStyle="1" w:styleId="BodyTextIndentChar">
    <w:name w:val="Body Text Indent Char"/>
    <w:uiPriority w:val="99"/>
    <w:semiHidden/>
    <w:rsid w:val="001D3373"/>
    <w:rPr>
      <w:rFonts w:ascii="Times New Roman" w:hAnsi="Times New Roman"/>
      <w:sz w:val="24"/>
      <w:szCs w:val="24"/>
    </w:rPr>
  </w:style>
  <w:style w:type="character" w:customStyle="1" w:styleId="BodyTextChar0">
    <w:name w:val="Body Text Char"/>
    <w:uiPriority w:val="99"/>
    <w:semiHidden/>
    <w:rsid w:val="001D3373"/>
    <w:rPr>
      <w:rFonts w:ascii="Times New Roman" w:hAnsi="Times New Roman"/>
      <w:sz w:val="24"/>
      <w:szCs w:val="24"/>
    </w:rPr>
  </w:style>
  <w:style w:type="character" w:customStyle="1" w:styleId="FootnoteTextChar">
    <w:name w:val="Footnote Text Char"/>
    <w:uiPriority w:val="99"/>
    <w:semiHidden/>
    <w:rsid w:val="001D3373"/>
    <w:rPr>
      <w:rFonts w:ascii="Times New Roman" w:hAnsi="Times New Roman"/>
      <w:sz w:val="20"/>
      <w:szCs w:val="20"/>
    </w:rPr>
  </w:style>
  <w:style w:type="character" w:customStyle="1" w:styleId="HeaderChar">
    <w:name w:val="Header Char"/>
    <w:uiPriority w:val="99"/>
    <w:semiHidden/>
    <w:rsid w:val="001D3373"/>
    <w:rPr>
      <w:rFonts w:ascii="Times New Roman" w:hAnsi="Times New Roman"/>
      <w:sz w:val="24"/>
      <w:szCs w:val="24"/>
    </w:rPr>
  </w:style>
  <w:style w:type="character" w:customStyle="1" w:styleId="FooterChar">
    <w:name w:val="Footer Char"/>
    <w:uiPriority w:val="99"/>
    <w:semiHidden/>
    <w:rsid w:val="001D3373"/>
    <w:rPr>
      <w:rFonts w:ascii="Times New Roman" w:hAnsi="Times New Roman"/>
      <w:sz w:val="24"/>
      <w:szCs w:val="24"/>
    </w:rPr>
  </w:style>
  <w:style w:type="character" w:customStyle="1" w:styleId="shorttext">
    <w:name w:val="short_text"/>
    <w:basedOn w:val="Tipodeletrapredefinidodopargrafo"/>
    <w:rsid w:val="001D3373"/>
  </w:style>
  <w:style w:type="character" w:customStyle="1" w:styleId="DefaultCar">
    <w:name w:val="Default Car"/>
    <w:link w:val="Default"/>
    <w:rsid w:val="001D3373"/>
    <w:rPr>
      <w:rFonts w:ascii="Arial" w:eastAsia="Calibri" w:hAnsi="Arial" w:cs="Arial"/>
      <w:color w:val="000000"/>
      <w:sz w:val="24"/>
      <w:szCs w:val="24"/>
      <w:lang w:eastAsia="fr-FR"/>
    </w:rPr>
  </w:style>
  <w:style w:type="table" w:customStyle="1" w:styleId="TableGrid">
    <w:name w:val="TableGrid"/>
    <w:rsid w:val="001D3373"/>
    <w:pPr>
      <w:spacing w:after="0" w:line="240" w:lineRule="auto"/>
    </w:pPr>
    <w:rPr>
      <w:rFonts w:ascii="Calibri" w:eastAsia="Yu Mincho" w:hAnsi="Calibri" w:cs="Times New Roman"/>
      <w:lang w:eastAsia="fr-FR"/>
    </w:rPr>
    <w:tblPr>
      <w:tblCellMar>
        <w:top w:w="0" w:type="dxa"/>
        <w:left w:w="0" w:type="dxa"/>
        <w:bottom w:w="0" w:type="dxa"/>
        <w:right w:w="0" w:type="dxa"/>
      </w:tblCellMar>
    </w:tblPr>
  </w:style>
  <w:style w:type="paragraph" w:customStyle="1" w:styleId="Alinea">
    <w:name w:val="Alinea"/>
    <w:basedOn w:val="Normal"/>
    <w:rsid w:val="001D3373"/>
    <w:pPr>
      <w:tabs>
        <w:tab w:val="right" w:leader="dot" w:pos="7088"/>
      </w:tabs>
      <w:autoSpaceDE w:val="0"/>
      <w:autoSpaceDN w:val="0"/>
      <w:adjustRightInd w:val="0"/>
      <w:spacing w:before="150"/>
      <w:jc w:val="both"/>
    </w:pPr>
    <w:rPr>
      <w:rFonts w:ascii="Helvetica" w:eastAsia="Times New Roman" w:hAnsi="Helvetica" w:cs="Helvetica"/>
      <w:sz w:val="20"/>
      <w:szCs w:val="20"/>
    </w:rPr>
  </w:style>
  <w:style w:type="paragraph" w:customStyle="1" w:styleId="Tartq">
    <w:name w:val="Tartq"/>
    <w:basedOn w:val="Normal"/>
    <w:rsid w:val="001D3373"/>
    <w:pPr>
      <w:autoSpaceDE w:val="0"/>
      <w:autoSpaceDN w:val="0"/>
      <w:adjustRightInd w:val="0"/>
      <w:spacing w:before="470" w:after="50"/>
      <w:jc w:val="both"/>
    </w:pPr>
    <w:rPr>
      <w:rFonts w:ascii="Helvetica" w:eastAsia="Times New Roman" w:hAnsi="Helvetica" w:cs="Helvetica"/>
      <w:b/>
      <w:bCs/>
    </w:rPr>
  </w:style>
  <w:style w:type="table" w:styleId="ListaClara-Cor3">
    <w:name w:val="Light List Accent 3"/>
    <w:basedOn w:val="Tabelanormal"/>
    <w:uiPriority w:val="61"/>
    <w:unhideWhenUsed/>
    <w:rsid w:val="001D337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itao">
    <w:name w:val="Quote"/>
    <w:basedOn w:val="Normal"/>
    <w:next w:val="Normal"/>
    <w:link w:val="CitaoCarcter"/>
    <w:uiPriority w:val="29"/>
    <w:qFormat/>
    <w:rsid w:val="001D3373"/>
    <w:pPr>
      <w:spacing w:after="200" w:line="276" w:lineRule="auto"/>
    </w:pPr>
    <w:rPr>
      <w:rFonts w:ascii="Calibri" w:eastAsia="Times New Roman" w:hAnsi="Calibri"/>
      <w:i/>
      <w:iCs/>
      <w:color w:val="000000"/>
      <w:sz w:val="22"/>
      <w:szCs w:val="22"/>
    </w:rPr>
  </w:style>
  <w:style w:type="character" w:customStyle="1" w:styleId="CitaoCarcter">
    <w:name w:val="Citação Carácter"/>
    <w:basedOn w:val="Tipodeletrapredefinidodopargrafo"/>
    <w:link w:val="Citao"/>
    <w:uiPriority w:val="29"/>
    <w:rsid w:val="001D3373"/>
    <w:rPr>
      <w:rFonts w:ascii="Calibri" w:eastAsia="Times New Roman" w:hAnsi="Calibri" w:cs="Times New Roman"/>
      <w:i/>
      <w:iCs/>
      <w:color w:val="000000"/>
      <w:lang w:eastAsia="fr-FR"/>
    </w:rPr>
  </w:style>
  <w:style w:type="paragraph" w:styleId="CitaoIntensa">
    <w:name w:val="Intense Quote"/>
    <w:basedOn w:val="Normal"/>
    <w:next w:val="Normal"/>
    <w:link w:val="CitaoIntensaCarcter"/>
    <w:uiPriority w:val="30"/>
    <w:qFormat/>
    <w:rsid w:val="001D3373"/>
    <w:pPr>
      <w:pBdr>
        <w:top w:val="single" w:sz="4" w:space="10" w:color="5B9BD5" w:themeColor="accent1"/>
        <w:bottom w:val="single" w:sz="4" w:space="10" w:color="5B9BD5" w:themeColor="accent1"/>
      </w:pBdr>
      <w:spacing w:before="360" w:after="360" w:line="276" w:lineRule="auto"/>
      <w:ind w:left="864" w:right="864"/>
      <w:jc w:val="center"/>
    </w:pPr>
    <w:rPr>
      <w:rFonts w:eastAsia="Calibri"/>
      <w:i/>
      <w:iCs/>
      <w:color w:val="5B9BD5" w:themeColor="accent1"/>
      <w:szCs w:val="22"/>
      <w:lang w:eastAsia="en-US"/>
    </w:rPr>
  </w:style>
  <w:style w:type="character" w:customStyle="1" w:styleId="CitaoIntensaCarcter">
    <w:name w:val="Citação Intensa Carácter"/>
    <w:basedOn w:val="Tipodeletrapredefinidodopargrafo"/>
    <w:link w:val="CitaoIntensa"/>
    <w:uiPriority w:val="30"/>
    <w:rsid w:val="001D3373"/>
    <w:rPr>
      <w:rFonts w:ascii="Times New Roman" w:eastAsia="Calibri" w:hAnsi="Times New Roman" w:cs="Times New Roman"/>
      <w:i/>
      <w:iCs/>
      <w:color w:val="5B9BD5" w:themeColor="accent1"/>
      <w:sz w:val="24"/>
    </w:rPr>
  </w:style>
  <w:style w:type="paragraph" w:customStyle="1" w:styleId="m8205132091282087500msolistparagraph">
    <w:name w:val="m_8205132091282087500msolistparagraph"/>
    <w:basedOn w:val="Normal"/>
    <w:rsid w:val="001D3373"/>
    <w:pPr>
      <w:spacing w:before="100" w:beforeAutospacing="1" w:after="100" w:afterAutospacing="1"/>
    </w:pPr>
    <w:rPr>
      <w:rFonts w:eastAsia="Times New Roman"/>
    </w:rPr>
  </w:style>
  <w:style w:type="character" w:customStyle="1" w:styleId="goohl4">
    <w:name w:val="goohl4"/>
    <w:basedOn w:val="Tipodeletrapredefinidodopargrafo"/>
    <w:rsid w:val="001D3373"/>
  </w:style>
  <w:style w:type="character" w:customStyle="1" w:styleId="Mentionnonrsolue1">
    <w:name w:val="Mention non résolue1"/>
    <w:basedOn w:val="Tipodeletrapredefinidodopargrafo"/>
    <w:uiPriority w:val="99"/>
    <w:semiHidden/>
    <w:unhideWhenUsed/>
    <w:rsid w:val="001D3373"/>
    <w:rPr>
      <w:color w:val="605E5C"/>
      <w:shd w:val="clear" w:color="auto" w:fill="E1DFDD"/>
    </w:rPr>
  </w:style>
  <w:style w:type="character" w:customStyle="1" w:styleId="lang-en">
    <w:name w:val="lang-en"/>
    <w:basedOn w:val="Tipodeletrapredefinidodopargrafo"/>
    <w:rsid w:val="001D3373"/>
  </w:style>
  <w:style w:type="paragraph" w:customStyle="1" w:styleId="classic">
    <w:name w:val="classic"/>
    <w:basedOn w:val="Normal"/>
    <w:rsid w:val="001D3373"/>
    <w:pPr>
      <w:spacing w:before="100" w:beforeAutospacing="1" w:after="100" w:afterAutospacing="1"/>
    </w:pPr>
  </w:style>
  <w:style w:type="paragraph" w:customStyle="1" w:styleId="Basdepage">
    <w:name w:val="Basdepage"/>
    <w:link w:val="BasdepageCar"/>
    <w:qFormat/>
    <w:rsid w:val="00B15CA5"/>
    <w:pPr>
      <w:pBdr>
        <w:top w:val="single" w:sz="4" w:space="1" w:color="auto"/>
      </w:pBdr>
      <w:spacing w:after="200" w:line="276" w:lineRule="auto"/>
    </w:pPr>
    <w:rPr>
      <w:rFonts w:ascii="Times New Roman" w:eastAsia="Times New Roman" w:hAnsi="Times New Roman" w:cstheme="minorHAnsi"/>
      <w:sz w:val="20"/>
      <w:szCs w:val="20"/>
      <w:lang w:eastAsia="fr-FR"/>
    </w:rPr>
  </w:style>
  <w:style w:type="character" w:customStyle="1" w:styleId="BasdepageCar">
    <w:name w:val="Basdepage Car"/>
    <w:basedOn w:val="RodapCarcter"/>
    <w:link w:val="Basdepage"/>
    <w:rsid w:val="00B15CA5"/>
    <w:rPr>
      <w:rFonts w:ascii="Times New Roman" w:eastAsia="Times New Roman" w:hAnsi="Times New Roman" w:cstheme="minorHAnsi"/>
      <w:sz w:val="20"/>
      <w:szCs w:val="20"/>
      <w:lang w:eastAsia="fr-FR"/>
    </w:rPr>
  </w:style>
  <w:style w:type="character" w:customStyle="1" w:styleId="Mentionnonrsolue11">
    <w:name w:val="Mention non résolue11"/>
    <w:basedOn w:val="Tipodeletrapredefinidodopargrafo"/>
    <w:uiPriority w:val="99"/>
    <w:semiHidden/>
    <w:unhideWhenUsed/>
    <w:rsid w:val="003C6DA9"/>
    <w:rPr>
      <w:color w:val="605E5C"/>
      <w:shd w:val="clear" w:color="auto" w:fill="E1DFDD"/>
    </w:rPr>
  </w:style>
  <w:style w:type="paragraph" w:customStyle="1" w:styleId="SolbaseNormal">
    <w:name w:val="Solbase_Normal"/>
    <w:basedOn w:val="Normal"/>
    <w:qFormat/>
    <w:rsid w:val="00A007E9"/>
    <w:pPr>
      <w:spacing w:after="120"/>
      <w:ind w:left="1134"/>
      <w:jc w:val="both"/>
    </w:pPr>
    <w:rPr>
      <w:rFonts w:ascii="Century Gothic" w:eastAsia="Times New Roman" w:hAnsi="Century Gothic"/>
      <w:sz w:val="20"/>
      <w:szCs w:val="20"/>
    </w:rPr>
  </w:style>
  <w:style w:type="paragraph" w:customStyle="1" w:styleId="BVIfnrCarattereCharCharCharCarattereCharCharCharCharCharChar1CharCharChar">
    <w:name w:val="BVI fnr Carattere Char Char Char Carattere Char Char Char Char Char Char1 Char Char Char"/>
    <w:basedOn w:val="Normal"/>
    <w:link w:val="Refdenotaderodap"/>
    <w:uiPriority w:val="99"/>
    <w:rsid w:val="000C30E3"/>
    <w:pPr>
      <w:spacing w:after="160" w:line="240" w:lineRule="exact"/>
    </w:pPr>
    <w:rPr>
      <w:rFonts w:asciiTheme="minorHAnsi" w:hAnsiTheme="minorHAnsi"/>
      <w:szCs w:val="22"/>
      <w:vertAlign w:val="superscript"/>
      <w:lang w:eastAsia="en-US"/>
    </w:rPr>
  </w:style>
  <w:style w:type="character" w:customStyle="1" w:styleId="NormalWebCarcter">
    <w:name w:val="Normal (Web) Carácter"/>
    <w:link w:val="NormalWeb"/>
    <w:uiPriority w:val="99"/>
    <w:rsid w:val="008B5BDA"/>
    <w:rPr>
      <w:rFonts w:ascii="Times New Roman" w:hAnsi="Times New Roman" w:cs="Times New Roman"/>
      <w:sz w:val="24"/>
      <w:szCs w:val="24"/>
      <w:lang w:eastAsia="fr-FR"/>
    </w:rPr>
  </w:style>
  <w:style w:type="paragraph" w:customStyle="1" w:styleId="Ttulo1">
    <w:name w:val="Título1"/>
    <w:basedOn w:val="Normal"/>
    <w:rsid w:val="00F641A3"/>
    <w:pPr>
      <w:spacing w:before="240" w:line="360" w:lineRule="atLeast"/>
      <w:jc w:val="center"/>
    </w:pPr>
    <w:rPr>
      <w:rFonts w:ascii="Arial" w:eastAsia="Times New Roman" w:hAnsi="Arial"/>
      <w:b/>
      <w:sz w:val="26"/>
      <w:szCs w:val="26"/>
      <w:lang w:eastAsia="en-US"/>
    </w:rPr>
  </w:style>
  <w:style w:type="paragraph" w:customStyle="1" w:styleId="texte0">
    <w:name w:val="texte"/>
    <w:basedOn w:val="Normal"/>
    <w:rsid w:val="007C0EBB"/>
    <w:pPr>
      <w:spacing w:after="200" w:line="276" w:lineRule="auto"/>
      <w:jc w:val="both"/>
    </w:pPr>
    <w:rPr>
      <w:rFonts w:ascii="Arial" w:eastAsia="Calibri" w:hAnsi="Arial" w:cs="Arial"/>
      <w:sz w:val="20"/>
      <w:szCs w:val="20"/>
      <w:lang w:eastAsia="en-US"/>
    </w:rPr>
  </w:style>
  <w:style w:type="paragraph" w:styleId="Lista3">
    <w:name w:val="List 3"/>
    <w:basedOn w:val="Normal"/>
    <w:uiPriority w:val="99"/>
    <w:unhideWhenUsed/>
    <w:rsid w:val="00A05714"/>
    <w:pPr>
      <w:ind w:left="849" w:hanging="283"/>
      <w:contextualSpacing/>
    </w:pPr>
  </w:style>
  <w:style w:type="paragraph" w:styleId="Listadecont">
    <w:name w:val="List Continue"/>
    <w:basedOn w:val="Normal"/>
    <w:uiPriority w:val="99"/>
    <w:unhideWhenUsed/>
    <w:rsid w:val="00A05714"/>
    <w:pPr>
      <w:spacing w:after="120"/>
      <w:ind w:left="283"/>
      <w:contextualSpacing/>
    </w:pPr>
  </w:style>
  <w:style w:type="paragraph" w:styleId="Listadecont2">
    <w:name w:val="List Continue 2"/>
    <w:basedOn w:val="Normal"/>
    <w:uiPriority w:val="99"/>
    <w:unhideWhenUsed/>
    <w:rsid w:val="00A05714"/>
    <w:pPr>
      <w:spacing w:after="120"/>
      <w:ind w:left="566"/>
      <w:contextualSpacing/>
    </w:pPr>
  </w:style>
  <w:style w:type="paragraph" w:styleId="Listadecont4">
    <w:name w:val="List Continue 4"/>
    <w:basedOn w:val="Normal"/>
    <w:uiPriority w:val="99"/>
    <w:unhideWhenUsed/>
    <w:rsid w:val="00A05714"/>
    <w:pPr>
      <w:spacing w:after="120"/>
      <w:ind w:left="1132"/>
      <w:contextualSpacing/>
    </w:pPr>
  </w:style>
  <w:style w:type="paragraph" w:customStyle="1" w:styleId="Grillemoyenne1-Accent21">
    <w:name w:val="Grille moyenne 1 - Accent 21"/>
    <w:aliases w:val="List Paragraph1,Medium Grid 1 - Accent 21,List_Paragraph,Multilevel para_II"/>
    <w:basedOn w:val="Normal"/>
    <w:link w:val="Grillemoyenne1-Accent2Car"/>
    <w:uiPriority w:val="34"/>
    <w:qFormat/>
    <w:rsid w:val="00CE5C45"/>
    <w:pPr>
      <w:ind w:left="720"/>
      <w:contextualSpacing/>
      <w:jc w:val="both"/>
    </w:pPr>
    <w:rPr>
      <w:rFonts w:eastAsia="Times New Roman"/>
      <w:lang w:eastAsia="en-US"/>
    </w:rPr>
  </w:style>
  <w:style w:type="table" w:customStyle="1" w:styleId="TableauGrille3-Accentuation31">
    <w:name w:val="Tableau Grille 3 - Accentuation 31"/>
    <w:basedOn w:val="Tabelanormal"/>
    <w:uiPriority w:val="48"/>
    <w:rsid w:val="001D352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auGrille3-Accentuation62">
    <w:name w:val="Tableau Grille 3 - Accentuation 62"/>
    <w:basedOn w:val="Tabelanormal"/>
    <w:uiPriority w:val="48"/>
    <w:rsid w:val="001D352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lledutableau2">
    <w:name w:val="Grille du tableau2"/>
    <w:basedOn w:val="Tabelanormal"/>
    <w:next w:val="Tabelacomgrelha"/>
    <w:uiPriority w:val="39"/>
    <w:rsid w:val="00681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3">
    <w:name w:val="Tableau Grille 1 Clair3"/>
    <w:basedOn w:val="Tabelanormal"/>
    <w:next w:val="TableauGrille1Clair4"/>
    <w:uiPriority w:val="46"/>
    <w:rsid w:val="00681EC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4">
    <w:name w:val="Tableau Grille 1 Clair4"/>
    <w:basedOn w:val="Tabelanormal"/>
    <w:uiPriority w:val="99"/>
    <w:rsid w:val="00681E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8">
    <w:name w:val="A8"/>
    <w:uiPriority w:val="99"/>
    <w:rsid w:val="002B6283"/>
    <w:rPr>
      <w:color w:val="000000"/>
      <w:sz w:val="20"/>
      <w:szCs w:val="20"/>
    </w:rPr>
  </w:style>
  <w:style w:type="character" w:customStyle="1" w:styleId="UnresolvedMention1">
    <w:name w:val="Unresolved Mention1"/>
    <w:basedOn w:val="Tipodeletrapredefinidodopargrafo"/>
    <w:uiPriority w:val="99"/>
    <w:rsid w:val="004414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qFormat="1"/>
    <w:lsdException w:name="caption" w:uiPriority="0" w:qFormat="1"/>
    <w:lsdException w:name="footnote reference" w:qFormat="1"/>
    <w:lsdException w:name="annotation reference" w:uiPriority="0"/>
    <w:lsdException w:name="page number" w:uiPriority="0"/>
    <w:lsdException w:name="endnote text" w:uiPriority="0"/>
    <w:lsdException w:name="macro" w:uiPriority="0"/>
    <w:lsdException w:name="List"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9"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34"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23"/>
    <w:pPr>
      <w:spacing w:after="0" w:line="240" w:lineRule="auto"/>
    </w:pPr>
    <w:rPr>
      <w:rFonts w:ascii="Times New Roman" w:hAnsi="Times New Roman" w:cs="Times New Roman"/>
      <w:sz w:val="24"/>
      <w:szCs w:val="24"/>
      <w:lang w:eastAsia="fr-FR"/>
    </w:rPr>
  </w:style>
  <w:style w:type="paragraph" w:styleId="Cabealho1">
    <w:name w:val="heading 1"/>
    <w:aliases w:val=" Main Heading,Main Heading,TCI 1.  Heading,Main Heading 1,Heading 11,Heading 11 Car,Titre 11,An_Über 1,TITRE 1 + Droite :  8,5 cm,Avant : 25 pt,Après : 12 pt,Haut: (Simp...,Chapitre,Chapitre1,Chapitre2,Chapitre3,Chapitre4,Chapitre5,Chapitre6"/>
    <w:basedOn w:val="Normal"/>
    <w:next w:val="Normal"/>
    <w:link w:val="Cabealho1Carcter"/>
    <w:uiPriority w:val="9"/>
    <w:qFormat/>
    <w:rsid w:val="00A45EEC"/>
    <w:pPr>
      <w:keepNext/>
      <w:numPr>
        <w:numId w:val="23"/>
      </w:numPr>
      <w:spacing w:before="240" w:after="60"/>
      <w:outlineLvl w:val="0"/>
    </w:pPr>
    <w:rPr>
      <w:rFonts w:ascii="Cambria" w:hAnsi="Cambria"/>
      <w:b/>
      <w:bCs/>
      <w:kern w:val="32"/>
      <w:sz w:val="32"/>
      <w:szCs w:val="32"/>
    </w:rPr>
  </w:style>
  <w:style w:type="paragraph" w:styleId="Cabealho2">
    <w:name w:val="heading 2"/>
    <w:aliases w:val="Paranum,Chpt,Titolo 2,alec2,STitre 2,an_Über 2,Titre secondaire (2),sous-chapitre,Tend_Überschrift 2,Titre 2 tamarins,Titre Article,Titre 22,Kiyombo T2,Reset numbering,Major,Heading 2 Char,Chapitre 2,an,(1.1)"/>
    <w:basedOn w:val="Normal"/>
    <w:next w:val="Normal"/>
    <w:link w:val="Cabealho2Carcter"/>
    <w:qFormat/>
    <w:rsid w:val="00A45EEC"/>
    <w:pPr>
      <w:keepNext/>
      <w:numPr>
        <w:ilvl w:val="1"/>
        <w:numId w:val="23"/>
      </w:numPr>
      <w:spacing w:before="240" w:after="60"/>
      <w:outlineLvl w:val="1"/>
    </w:pPr>
    <w:rPr>
      <w:rFonts w:ascii="Cambria" w:hAnsi="Cambria"/>
      <w:b/>
      <w:bCs/>
      <w:i/>
      <w:iCs/>
      <w:sz w:val="28"/>
      <w:szCs w:val="28"/>
    </w:rPr>
  </w:style>
  <w:style w:type="paragraph" w:styleId="Cabealho3">
    <w:name w:val="heading 3"/>
    <w:aliases w:val="Centered, Centered,Titolo 3,Heading 3 (BM revised),centered"/>
    <w:basedOn w:val="Normal"/>
    <w:next w:val="Normal"/>
    <w:link w:val="Cabealho3Carcter"/>
    <w:qFormat/>
    <w:rsid w:val="00A45EEC"/>
    <w:pPr>
      <w:keepNext/>
      <w:numPr>
        <w:ilvl w:val="2"/>
        <w:numId w:val="23"/>
      </w:numPr>
      <w:spacing w:before="240" w:after="60"/>
      <w:outlineLvl w:val="2"/>
    </w:pPr>
    <w:rPr>
      <w:rFonts w:ascii="Cambria" w:hAnsi="Cambria"/>
      <w:b/>
      <w:bCs/>
      <w:sz w:val="26"/>
      <w:szCs w:val="26"/>
    </w:rPr>
  </w:style>
  <w:style w:type="paragraph" w:styleId="Cabealho4">
    <w:name w:val="heading 4"/>
    <w:aliases w:val="Sub-Clause Sub-paragraph, Sub-Clause Sub-paragraph"/>
    <w:basedOn w:val="Normal"/>
    <w:next w:val="Normal"/>
    <w:link w:val="Cabealho4Carcter"/>
    <w:qFormat/>
    <w:rsid w:val="00A45EEC"/>
    <w:pPr>
      <w:keepNext/>
      <w:numPr>
        <w:ilvl w:val="3"/>
        <w:numId w:val="23"/>
      </w:numPr>
      <w:spacing w:before="240" w:after="60"/>
      <w:outlineLvl w:val="3"/>
    </w:pPr>
    <w:rPr>
      <w:rFonts w:ascii="Calibri" w:hAnsi="Calibri"/>
      <w:b/>
      <w:bCs/>
      <w:sz w:val="28"/>
      <w:szCs w:val="28"/>
    </w:rPr>
  </w:style>
  <w:style w:type="paragraph" w:styleId="Cabealho5">
    <w:name w:val="heading 5"/>
    <w:aliases w:val="Side"/>
    <w:basedOn w:val="Normal"/>
    <w:next w:val="Normal"/>
    <w:link w:val="Cabealho5Carcter"/>
    <w:qFormat/>
    <w:rsid w:val="00A45EEC"/>
    <w:pPr>
      <w:keepNext/>
      <w:keepLines/>
      <w:numPr>
        <w:ilvl w:val="4"/>
        <w:numId w:val="23"/>
      </w:numPr>
      <w:spacing w:before="200" w:line="276" w:lineRule="auto"/>
      <w:outlineLvl w:val="4"/>
    </w:pPr>
    <w:rPr>
      <w:rFonts w:ascii="Cambria" w:hAnsi="Cambria"/>
      <w:color w:val="243F60"/>
      <w:sz w:val="20"/>
      <w:szCs w:val="20"/>
    </w:rPr>
  </w:style>
  <w:style w:type="paragraph" w:styleId="Cabealho6">
    <w:name w:val="heading 6"/>
    <w:basedOn w:val="Normal"/>
    <w:next w:val="Normal"/>
    <w:link w:val="Cabealho6Carcter"/>
    <w:qFormat/>
    <w:rsid w:val="00A45EEC"/>
    <w:pPr>
      <w:keepNext/>
      <w:keepLines/>
      <w:numPr>
        <w:ilvl w:val="5"/>
        <w:numId w:val="23"/>
      </w:numPr>
      <w:spacing w:before="200" w:line="276" w:lineRule="auto"/>
      <w:outlineLvl w:val="5"/>
    </w:pPr>
    <w:rPr>
      <w:rFonts w:ascii="Cambria" w:eastAsia="MS Gothic" w:hAnsi="Cambria"/>
      <w:i/>
      <w:iCs/>
      <w:color w:val="243F60"/>
      <w:sz w:val="20"/>
      <w:szCs w:val="20"/>
    </w:rPr>
  </w:style>
  <w:style w:type="paragraph" w:styleId="Cabealho7">
    <w:name w:val="heading 7"/>
    <w:basedOn w:val="Normal"/>
    <w:next w:val="Normal"/>
    <w:link w:val="Cabealho7Carcter"/>
    <w:qFormat/>
    <w:rsid w:val="00A45EEC"/>
    <w:pPr>
      <w:keepNext/>
      <w:numPr>
        <w:ilvl w:val="6"/>
        <w:numId w:val="23"/>
      </w:numPr>
      <w:jc w:val="both"/>
      <w:outlineLvl w:val="6"/>
    </w:pPr>
    <w:rPr>
      <w:b/>
      <w:bCs/>
      <w:sz w:val="20"/>
      <w:lang w:val="en-US" w:eastAsia="en-US"/>
    </w:rPr>
  </w:style>
  <w:style w:type="paragraph" w:styleId="Cabealho8">
    <w:name w:val="heading 8"/>
    <w:basedOn w:val="Normal"/>
    <w:next w:val="Normal"/>
    <w:link w:val="Cabealho8Carcter"/>
    <w:qFormat/>
    <w:rsid w:val="00A45EEC"/>
    <w:pPr>
      <w:keepNext/>
      <w:numPr>
        <w:ilvl w:val="7"/>
        <w:numId w:val="23"/>
      </w:numPr>
      <w:jc w:val="both"/>
      <w:outlineLvl w:val="7"/>
    </w:pPr>
    <w:rPr>
      <w:b/>
      <w:bCs/>
      <w:sz w:val="20"/>
      <w:lang w:val="en-US" w:eastAsia="en-US"/>
    </w:rPr>
  </w:style>
  <w:style w:type="paragraph" w:styleId="Cabealho9">
    <w:name w:val="heading 9"/>
    <w:aliases w:val="Listes"/>
    <w:basedOn w:val="Normal"/>
    <w:next w:val="Normal"/>
    <w:link w:val="Cabealho9Carcter"/>
    <w:qFormat/>
    <w:rsid w:val="00A45EEC"/>
    <w:pPr>
      <w:keepNext/>
      <w:numPr>
        <w:ilvl w:val="8"/>
        <w:numId w:val="23"/>
      </w:numPr>
      <w:spacing w:before="240" w:after="240"/>
      <w:jc w:val="center"/>
      <w:outlineLvl w:val="8"/>
    </w:pPr>
    <w:rPr>
      <w:b/>
      <w:sz w:val="28"/>
      <w:lang w:val="en-GB" w:eastAsia="it-I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Guidelines,En-tête CV,En-tête client,Kopfzeile Char Char, Char Char Char,heading 3 after h2,h,ContentsHeader,KPMG,Kopfzeile Angebot,alize,STYLE NORMAL,Heade,En-tête1,h3+,hd,he,*Header,Section Header,E.e,Cover Page,normal3,En-tête11,E.e1"/>
    <w:basedOn w:val="Normal"/>
    <w:link w:val="CabealhoCarcter"/>
    <w:unhideWhenUsed/>
    <w:qFormat/>
    <w:rsid w:val="00A45EEC"/>
    <w:pPr>
      <w:tabs>
        <w:tab w:val="center" w:pos="4536"/>
        <w:tab w:val="right" w:pos="9072"/>
      </w:tabs>
      <w:spacing w:after="200" w:line="276" w:lineRule="auto"/>
    </w:pPr>
    <w:rPr>
      <w:rFonts w:ascii="Calibri" w:eastAsia="Calibri" w:hAnsi="Calibri"/>
      <w:sz w:val="20"/>
      <w:szCs w:val="20"/>
    </w:rPr>
  </w:style>
  <w:style w:type="character" w:customStyle="1" w:styleId="CabealhoCarcter">
    <w:name w:val="Cabeçalho Carácter"/>
    <w:aliases w:val="Guidelines Carácter,En-tête CV Carácter,En-tête client Carácter,Kopfzeile Char Char Carácter, Char Char Char Carácter,heading 3 after h2 Carácter,h Carácter,ContentsHeader Carácter,KPMG Carácter,Kopfzeile Angebot Carácter,h3+ Carácter"/>
    <w:basedOn w:val="Tipodeletrapredefinidodopargrafo"/>
    <w:link w:val="Cabealho"/>
    <w:rsid w:val="00A45EEC"/>
    <w:rPr>
      <w:rFonts w:ascii="Calibri" w:eastAsia="Calibri" w:hAnsi="Calibri" w:cs="Times New Roman"/>
      <w:sz w:val="20"/>
      <w:szCs w:val="20"/>
      <w:lang w:eastAsia="fr-FR"/>
    </w:rPr>
  </w:style>
  <w:style w:type="paragraph" w:styleId="Textodebalo">
    <w:name w:val="Balloon Text"/>
    <w:basedOn w:val="Normal"/>
    <w:link w:val="TextodebaloCarcter"/>
    <w:uiPriority w:val="99"/>
    <w:semiHidden/>
    <w:unhideWhenUsed/>
    <w:rsid w:val="00A45EEC"/>
    <w:rPr>
      <w:rFonts w:ascii="Lucida Grande" w:hAnsi="Lucida Grande"/>
      <w:sz w:val="18"/>
      <w:szCs w:val="18"/>
    </w:rPr>
  </w:style>
  <w:style w:type="character" w:customStyle="1" w:styleId="TextodebaloCarcter">
    <w:name w:val="Texto de balão Carácter"/>
    <w:basedOn w:val="Tipodeletrapredefinidodopargrafo"/>
    <w:link w:val="Textodebalo"/>
    <w:uiPriority w:val="99"/>
    <w:semiHidden/>
    <w:rsid w:val="00A45EEC"/>
    <w:rPr>
      <w:rFonts w:ascii="Lucida Grande" w:eastAsia="Times New Roman" w:hAnsi="Lucida Grande" w:cs="Times New Roman"/>
      <w:sz w:val="18"/>
      <w:szCs w:val="18"/>
      <w:lang w:eastAsia="fr-FR"/>
    </w:rPr>
  </w:style>
  <w:style w:type="paragraph" w:styleId="Rodap">
    <w:name w:val="footer"/>
    <w:aliases w:val="puces points"/>
    <w:basedOn w:val="Normal"/>
    <w:link w:val="RodapCarcter"/>
    <w:uiPriority w:val="99"/>
    <w:unhideWhenUsed/>
    <w:rsid w:val="00A45EEC"/>
    <w:pPr>
      <w:tabs>
        <w:tab w:val="center" w:pos="4536"/>
        <w:tab w:val="right" w:pos="9072"/>
      </w:tabs>
    </w:pPr>
  </w:style>
  <w:style w:type="character" w:customStyle="1" w:styleId="RodapCarcter">
    <w:name w:val="Rodapé Carácter"/>
    <w:aliases w:val="puces points Carácter"/>
    <w:basedOn w:val="Tipodeletrapredefinidodopargrafo"/>
    <w:link w:val="Rodap"/>
    <w:uiPriority w:val="99"/>
    <w:rsid w:val="00A45EEC"/>
    <w:rPr>
      <w:rFonts w:ascii="Times New Roman" w:eastAsia="Times New Roman" w:hAnsi="Times New Roman" w:cs="Times New Roman"/>
      <w:sz w:val="24"/>
      <w:szCs w:val="24"/>
      <w:lang w:eastAsia="fr-FR"/>
    </w:rPr>
  </w:style>
  <w:style w:type="paragraph" w:customStyle="1" w:styleId="NormalWeb1">
    <w:name w:val="Normal (Web)1"/>
    <w:basedOn w:val="Normal"/>
    <w:next w:val="NormalWeb"/>
    <w:uiPriority w:val="99"/>
    <w:unhideWhenUsed/>
    <w:rsid w:val="00A45EEC"/>
    <w:pPr>
      <w:spacing w:before="100" w:beforeAutospacing="1" w:after="100" w:afterAutospacing="1"/>
    </w:pPr>
  </w:style>
  <w:style w:type="paragraph" w:styleId="NormalWeb">
    <w:name w:val="Normal (Web)"/>
    <w:basedOn w:val="Normal"/>
    <w:link w:val="NormalWebCarcter"/>
    <w:uiPriority w:val="99"/>
    <w:unhideWhenUsed/>
    <w:rsid w:val="00A45EEC"/>
  </w:style>
  <w:style w:type="character" w:customStyle="1" w:styleId="Cabealho1Carcter">
    <w:name w:val="Cabeçalho 1 Carácter"/>
    <w:aliases w:val=" Main Heading Carácter,Main Heading Carácter,TCI 1.  Heading Carácter,Main Heading 1 Carácter,Heading 11 Carácter,Heading 11 Car Carácter,Titre 11 Carácter,An_Über 1 Carácter,TITRE 1 + Droite :  8 Carácter,5 cm Carácter"/>
    <w:basedOn w:val="Tipodeletrapredefinidodopargrafo"/>
    <w:link w:val="Cabealho1"/>
    <w:uiPriority w:val="9"/>
    <w:rsid w:val="00A45EEC"/>
    <w:rPr>
      <w:rFonts w:ascii="Cambria" w:hAnsi="Cambria" w:cs="Times New Roman"/>
      <w:b/>
      <w:bCs/>
      <w:kern w:val="32"/>
      <w:sz w:val="32"/>
      <w:szCs w:val="32"/>
      <w:lang w:eastAsia="fr-FR"/>
    </w:rPr>
  </w:style>
  <w:style w:type="character" w:customStyle="1" w:styleId="Cabealho2Carcter">
    <w:name w:val="Cabeçalho 2 Carácter"/>
    <w:aliases w:val="Paranum Carácter,Chpt Carácter,Titolo 2 Carácter,alec2 Carácter,STitre 2 Carácter,an_Über 2 Carácter,Titre secondaire (2) Carácter,sous-chapitre Carácter,Tend_Überschrift 2 Carácter,Titre 2 tamarins Carácter,Titre Article Carácter"/>
    <w:basedOn w:val="Tipodeletrapredefinidodopargrafo"/>
    <w:link w:val="Cabealho2"/>
    <w:rsid w:val="00A45EEC"/>
    <w:rPr>
      <w:rFonts w:ascii="Cambria" w:hAnsi="Cambria" w:cs="Times New Roman"/>
      <w:b/>
      <w:bCs/>
      <w:i/>
      <w:iCs/>
      <w:sz w:val="28"/>
      <w:szCs w:val="28"/>
      <w:lang w:eastAsia="fr-FR"/>
    </w:rPr>
  </w:style>
  <w:style w:type="character" w:customStyle="1" w:styleId="Cabealho3Carcter">
    <w:name w:val="Cabeçalho 3 Carácter"/>
    <w:aliases w:val="Centered Carácter, Centered Carácter,Titolo 3 Carácter,Heading 3 (BM revised) Carácter,centered Carácter"/>
    <w:basedOn w:val="Tipodeletrapredefinidodopargrafo"/>
    <w:link w:val="Cabealho3"/>
    <w:rsid w:val="00A45EEC"/>
    <w:rPr>
      <w:rFonts w:ascii="Cambria" w:hAnsi="Cambria" w:cs="Times New Roman"/>
      <w:b/>
      <w:bCs/>
      <w:sz w:val="26"/>
      <w:szCs w:val="26"/>
      <w:lang w:eastAsia="fr-FR"/>
    </w:rPr>
  </w:style>
  <w:style w:type="character" w:customStyle="1" w:styleId="Cabealho4Carcter">
    <w:name w:val="Cabeçalho 4 Carácter"/>
    <w:aliases w:val="Sub-Clause Sub-paragraph Carácter, Sub-Clause Sub-paragraph Carácter"/>
    <w:basedOn w:val="Tipodeletrapredefinidodopargrafo"/>
    <w:link w:val="Cabealho4"/>
    <w:rsid w:val="00A45EEC"/>
    <w:rPr>
      <w:rFonts w:ascii="Calibri" w:hAnsi="Calibri" w:cs="Times New Roman"/>
      <w:b/>
      <w:bCs/>
      <w:sz w:val="28"/>
      <w:szCs w:val="28"/>
      <w:lang w:eastAsia="fr-FR"/>
    </w:rPr>
  </w:style>
  <w:style w:type="character" w:customStyle="1" w:styleId="Cabealho5Carcter">
    <w:name w:val="Cabeçalho 5 Carácter"/>
    <w:aliases w:val="Side Carácter"/>
    <w:basedOn w:val="Tipodeletrapredefinidodopargrafo"/>
    <w:link w:val="Cabealho5"/>
    <w:rsid w:val="00A45EEC"/>
    <w:rPr>
      <w:rFonts w:ascii="Cambria" w:hAnsi="Cambria" w:cs="Times New Roman"/>
      <w:color w:val="243F60"/>
      <w:sz w:val="20"/>
      <w:szCs w:val="20"/>
      <w:lang w:eastAsia="fr-FR"/>
    </w:rPr>
  </w:style>
  <w:style w:type="character" w:customStyle="1" w:styleId="Cabealho6Carcter">
    <w:name w:val="Cabeçalho 6 Carácter"/>
    <w:basedOn w:val="Tipodeletrapredefinidodopargrafo"/>
    <w:link w:val="Cabealho6"/>
    <w:rsid w:val="00A45EEC"/>
    <w:rPr>
      <w:rFonts w:ascii="Cambria" w:eastAsia="MS Gothic" w:hAnsi="Cambria" w:cs="Times New Roman"/>
      <w:i/>
      <w:iCs/>
      <w:color w:val="243F60"/>
      <w:sz w:val="20"/>
      <w:szCs w:val="20"/>
      <w:lang w:eastAsia="fr-FR"/>
    </w:rPr>
  </w:style>
  <w:style w:type="character" w:customStyle="1" w:styleId="Cabealho7Carcter">
    <w:name w:val="Cabeçalho 7 Carácter"/>
    <w:basedOn w:val="Tipodeletrapredefinidodopargrafo"/>
    <w:link w:val="Cabealho7"/>
    <w:rsid w:val="00A45EEC"/>
    <w:rPr>
      <w:rFonts w:ascii="Times New Roman" w:hAnsi="Times New Roman" w:cs="Times New Roman"/>
      <w:b/>
      <w:bCs/>
      <w:sz w:val="20"/>
      <w:szCs w:val="24"/>
      <w:lang w:val="en-US"/>
    </w:rPr>
  </w:style>
  <w:style w:type="character" w:customStyle="1" w:styleId="Cabealho8Carcter">
    <w:name w:val="Cabeçalho 8 Carácter"/>
    <w:basedOn w:val="Tipodeletrapredefinidodopargrafo"/>
    <w:link w:val="Cabealho8"/>
    <w:rsid w:val="00A45EEC"/>
    <w:rPr>
      <w:rFonts w:ascii="Times New Roman" w:hAnsi="Times New Roman" w:cs="Times New Roman"/>
      <w:b/>
      <w:bCs/>
      <w:sz w:val="20"/>
      <w:szCs w:val="24"/>
      <w:lang w:val="en-US"/>
    </w:rPr>
  </w:style>
  <w:style w:type="character" w:customStyle="1" w:styleId="Cabealho9Carcter">
    <w:name w:val="Cabeçalho 9 Carácter"/>
    <w:aliases w:val="Listes Carácter"/>
    <w:basedOn w:val="Tipodeletrapredefinidodopargrafo"/>
    <w:link w:val="Cabealho9"/>
    <w:rsid w:val="00A45EEC"/>
    <w:rPr>
      <w:rFonts w:ascii="Times New Roman" w:hAnsi="Times New Roman" w:cs="Times New Roman"/>
      <w:b/>
      <w:sz w:val="28"/>
      <w:szCs w:val="24"/>
      <w:lang w:val="en-GB" w:eastAsia="it-IT"/>
    </w:rPr>
  </w:style>
  <w:style w:type="character" w:styleId="Refdenotaderodap">
    <w:name w:val="footnote reference"/>
    <w:aliases w:val="ftref,(NECG) Footnote Reference,16 Point,Superscript 6 Point,Ref,de nota al pie,referencia nota al pie,Error-Fußnotenzeichen5,Error-Fußnotenzeichen6,Error-Fußnotenzeichen3,BVI fnr,Footnote Reference Number,Footnote Reference_LVL6"/>
    <w:link w:val="BVIfnrCarattereCharCharCharCarattereCharCharCharCharCharChar1CharCharChar"/>
    <w:uiPriority w:val="99"/>
    <w:qFormat/>
    <w:rsid w:val="00A45EEC"/>
    <w:rPr>
      <w:sz w:val="24"/>
      <w:vertAlign w:val="superscript"/>
    </w:rPr>
  </w:style>
  <w:style w:type="paragraph" w:styleId="Textodenotaderodap">
    <w:name w:val="footnote text"/>
    <w:aliases w:val=" Car1,Footnote Text Char1 Char,Footnote Text Char Char Char1,Footnote Text Char1 Char Char Char1,Footnote Text Char1 Char1 Char,Footnote Text Char Char Char Char,Footnote Text Char1 Char Char Char Char,ALTS FOOTNOT,ALTS FOOTNOTE"/>
    <w:basedOn w:val="Normal"/>
    <w:link w:val="TextodenotaderodapCarcter"/>
    <w:uiPriority w:val="99"/>
    <w:qFormat/>
    <w:rsid w:val="00A45EEC"/>
    <w:pPr>
      <w:keepNext/>
      <w:keepLines/>
      <w:spacing w:after="120"/>
      <w:ind w:left="432" w:hanging="432"/>
    </w:pPr>
    <w:rPr>
      <w:sz w:val="20"/>
      <w:szCs w:val="20"/>
    </w:rPr>
  </w:style>
  <w:style w:type="character" w:customStyle="1" w:styleId="TextodenotaderodapCarcter">
    <w:name w:val="Texto de nota de rodapé Carácter"/>
    <w:aliases w:val=" Car1 Carácter,Footnote Text Char1 Char Carácter,Footnote Text Char Char Char1 Carácter,Footnote Text Char1 Char Char Char1 Carácter,Footnote Text Char1 Char1 Char Carácter,Footnote Text Char Char Char Char Carácter"/>
    <w:basedOn w:val="Tipodeletrapredefinidodopargrafo"/>
    <w:link w:val="Textodenotaderodap"/>
    <w:uiPriority w:val="99"/>
    <w:qFormat/>
    <w:rsid w:val="00A45EEC"/>
    <w:rPr>
      <w:rFonts w:ascii="Times New Roman" w:eastAsia="Times New Roman" w:hAnsi="Times New Roman" w:cs="Times New Roman"/>
      <w:sz w:val="20"/>
      <w:szCs w:val="20"/>
      <w:lang w:eastAsia="fr-FR"/>
    </w:rPr>
  </w:style>
  <w:style w:type="character" w:customStyle="1" w:styleId="Tramecouleur-Accent3Car">
    <w:name w:val="Trame couleur - Accent 3 Car"/>
    <w:link w:val="SombreadoColorido-Cor3"/>
    <w:uiPriority w:val="34"/>
    <w:rsid w:val="00A45EEC"/>
    <w:rPr>
      <w:rFonts w:ascii="Times New Roman" w:eastAsia="Times New Roman" w:hAnsi="Times New Roman"/>
      <w:sz w:val="24"/>
      <w:szCs w:val="24"/>
    </w:rPr>
  </w:style>
  <w:style w:type="table" w:styleId="SombreadoColorido-Cor3">
    <w:name w:val="Colorful Shading Accent 3"/>
    <w:basedOn w:val="Tabelanormal"/>
    <w:link w:val="Tramecouleur-Accent3Car"/>
    <w:uiPriority w:val="34"/>
    <w:rsid w:val="00A45EEC"/>
    <w:pPr>
      <w:spacing w:after="0" w:line="240" w:lineRule="auto"/>
    </w:pPr>
    <w:rPr>
      <w:rFonts w:ascii="Times New Roman" w:eastAsia="Times New Roman" w:hAnsi="Times New Roman"/>
      <w:sz w:val="24"/>
      <w:szCs w:val="24"/>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customStyle="1" w:styleId="Default">
    <w:name w:val="Default"/>
    <w:link w:val="DefaultCar"/>
    <w:rsid w:val="00A45EEC"/>
    <w:pPr>
      <w:autoSpaceDE w:val="0"/>
      <w:autoSpaceDN w:val="0"/>
      <w:adjustRightInd w:val="0"/>
      <w:spacing w:after="0" w:line="240" w:lineRule="auto"/>
    </w:pPr>
    <w:rPr>
      <w:rFonts w:ascii="Arial" w:eastAsia="Calibri" w:hAnsi="Arial" w:cs="Arial"/>
      <w:color w:val="000000"/>
      <w:sz w:val="24"/>
      <w:szCs w:val="24"/>
      <w:lang w:eastAsia="fr-FR"/>
    </w:rPr>
  </w:style>
  <w:style w:type="paragraph" w:styleId="Corpodetexto">
    <w:name w:val="Body Text"/>
    <w:aliases w:val="Corps de texte Car Car Car,Corps de texte Car Car Car Car Car"/>
    <w:basedOn w:val="Normal"/>
    <w:link w:val="CorpodetextoCarcter"/>
    <w:unhideWhenUsed/>
    <w:rsid w:val="00A45EEC"/>
    <w:pPr>
      <w:spacing w:before="120" w:after="120"/>
      <w:ind w:left="720"/>
    </w:pPr>
    <w:rPr>
      <w:rFonts w:ascii="Gill Sans MT" w:hAnsi="Gill Sans MT"/>
      <w:spacing w:val="-5"/>
    </w:rPr>
  </w:style>
  <w:style w:type="character" w:customStyle="1" w:styleId="CorpodetextoCarcter">
    <w:name w:val="Corpo de texto Carácter"/>
    <w:aliases w:val="Corps de texte Car Car Car Carácter,Corps de texte Car Car Car Car Car Carácter"/>
    <w:basedOn w:val="Tipodeletrapredefinidodopargrafo"/>
    <w:link w:val="Corpodetexto"/>
    <w:rsid w:val="00A45EEC"/>
    <w:rPr>
      <w:rFonts w:ascii="Gill Sans MT" w:eastAsia="Times New Roman" w:hAnsi="Gill Sans MT" w:cs="Times New Roman"/>
      <w:spacing w:val="-5"/>
      <w:sz w:val="24"/>
      <w:szCs w:val="24"/>
      <w:lang w:eastAsia="fr-FR"/>
    </w:rPr>
  </w:style>
  <w:style w:type="table" w:styleId="Tabelacomgrelha">
    <w:name w:val="Table Grid"/>
    <w:basedOn w:val="Tabelanormal"/>
    <w:uiPriority w:val="59"/>
    <w:rsid w:val="00A45EEC"/>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Style5Noir">
    <w:name w:val="Style Style5 + Noir"/>
    <w:basedOn w:val="Normal"/>
    <w:autoRedefine/>
    <w:rsid w:val="00A45EEC"/>
    <w:pPr>
      <w:ind w:left="1080" w:hanging="720"/>
    </w:pPr>
    <w:rPr>
      <w:b/>
      <w:bCs/>
      <w:kern w:val="32"/>
      <w:lang w:eastAsia="wo-SN"/>
    </w:rPr>
  </w:style>
  <w:style w:type="paragraph" w:customStyle="1" w:styleId="Sansinterligne1">
    <w:name w:val="Sans interligne1"/>
    <w:uiPriority w:val="1"/>
    <w:qFormat/>
    <w:rsid w:val="00A45EEC"/>
    <w:pPr>
      <w:spacing w:after="0" w:line="240" w:lineRule="auto"/>
    </w:pPr>
    <w:rPr>
      <w:rFonts w:ascii="Calibri" w:eastAsia="Calibri" w:hAnsi="Calibri" w:cs="Times New Roman"/>
    </w:rPr>
  </w:style>
  <w:style w:type="paragraph" w:styleId="Lista">
    <w:name w:val="List"/>
    <w:basedOn w:val="Normal"/>
    <w:rsid w:val="00A45EEC"/>
    <w:pPr>
      <w:ind w:left="283" w:hanging="283"/>
    </w:pPr>
  </w:style>
  <w:style w:type="paragraph" w:styleId="Primeiroavanodecorpodetexto">
    <w:name w:val="Body Text First Indent"/>
    <w:basedOn w:val="Corpodetexto"/>
    <w:link w:val="PrimeiroavanodecorpodetextoCarcter"/>
    <w:uiPriority w:val="99"/>
    <w:semiHidden/>
    <w:unhideWhenUsed/>
    <w:rsid w:val="00A45EEC"/>
    <w:pPr>
      <w:spacing w:before="0" w:after="0"/>
      <w:ind w:left="0" w:firstLine="360"/>
    </w:pPr>
    <w:rPr>
      <w:rFonts w:ascii="Times New Roman" w:hAnsi="Times New Roman"/>
    </w:rPr>
  </w:style>
  <w:style w:type="character" w:customStyle="1" w:styleId="PrimeiroavanodecorpodetextoCarcter">
    <w:name w:val="Primeiro avanço de corpo de texto Carácter"/>
    <w:basedOn w:val="CorpodetextoCarcter"/>
    <w:link w:val="Primeiroavanodecorpodetexto"/>
    <w:uiPriority w:val="99"/>
    <w:semiHidden/>
    <w:rsid w:val="00A45EEC"/>
    <w:rPr>
      <w:rFonts w:ascii="Times New Roman" w:eastAsia="Times New Roman" w:hAnsi="Times New Roman" w:cs="Times New Roman"/>
      <w:spacing w:val="-5"/>
      <w:sz w:val="24"/>
      <w:szCs w:val="24"/>
      <w:lang w:eastAsia="fr-FR"/>
    </w:rPr>
  </w:style>
  <w:style w:type="character" w:styleId="Forte">
    <w:name w:val="Strong"/>
    <w:uiPriority w:val="22"/>
    <w:qFormat/>
    <w:rsid w:val="00A45EEC"/>
    <w:rPr>
      <w:b/>
      <w:bCs/>
    </w:rPr>
  </w:style>
  <w:style w:type="character" w:styleId="nfase">
    <w:name w:val="Emphasis"/>
    <w:uiPriority w:val="20"/>
    <w:qFormat/>
    <w:rsid w:val="00A45EEC"/>
    <w:rPr>
      <w:i/>
      <w:iCs/>
    </w:rPr>
  </w:style>
  <w:style w:type="paragraph" w:customStyle="1" w:styleId="xl33">
    <w:name w:val="xl33"/>
    <w:basedOn w:val="Normal"/>
    <w:rsid w:val="00A45EEC"/>
    <w:pPr>
      <w:spacing w:before="100" w:beforeAutospacing="1" w:after="100" w:afterAutospacing="1"/>
    </w:pPr>
  </w:style>
  <w:style w:type="paragraph" w:styleId="Listacommarcas2">
    <w:name w:val="List Bullet 2"/>
    <w:basedOn w:val="Normal"/>
    <w:link w:val="Listacommarcas2Carcter"/>
    <w:rsid w:val="00A45EEC"/>
    <w:pPr>
      <w:widowControl w:val="0"/>
      <w:numPr>
        <w:numId w:val="1"/>
      </w:numPr>
      <w:adjustRightInd w:val="0"/>
      <w:spacing w:line="360" w:lineRule="auto"/>
      <w:jc w:val="both"/>
      <w:textAlignment w:val="baseline"/>
    </w:pPr>
    <w:rPr>
      <w:rFonts w:ascii="Arial" w:hAnsi="Arial"/>
      <w:sz w:val="20"/>
      <w:lang w:val="en-US" w:bidi="en-US"/>
    </w:rPr>
  </w:style>
  <w:style w:type="character" w:customStyle="1" w:styleId="Listacommarcas2Carcter">
    <w:name w:val="Lista com marcas 2 Carácter"/>
    <w:link w:val="Listacommarcas2"/>
    <w:rsid w:val="00A45EEC"/>
    <w:rPr>
      <w:rFonts w:ascii="Arial" w:hAnsi="Arial" w:cs="Times New Roman"/>
      <w:sz w:val="20"/>
      <w:szCs w:val="24"/>
      <w:lang w:val="en-US" w:eastAsia="fr-FR" w:bidi="en-US"/>
    </w:rPr>
  </w:style>
  <w:style w:type="character" w:customStyle="1" w:styleId="Rfrenceple1">
    <w:name w:val="Référence pâle1"/>
    <w:uiPriority w:val="31"/>
    <w:qFormat/>
    <w:rsid w:val="00A45EEC"/>
    <w:rPr>
      <w:smallCaps/>
      <w:color w:val="C0504D"/>
      <w:u w:val="single"/>
    </w:rPr>
  </w:style>
  <w:style w:type="character" w:customStyle="1" w:styleId="Tramemoyenne2-Accent3Car">
    <w:name w:val="Trame moyenne 2 - Accent 3 Car"/>
    <w:link w:val="SombreadoMdio2-Cor3"/>
    <w:uiPriority w:val="69"/>
    <w:rsid w:val="00A45EEC"/>
    <w:rPr>
      <w:rFonts w:ascii="Times New Roman" w:eastAsia="Times New Roman" w:hAnsi="Times New Roman"/>
      <w:b/>
      <w:bCs/>
      <w:i/>
      <w:iCs/>
      <w:color w:val="4F81BD"/>
      <w:sz w:val="24"/>
      <w:szCs w:val="24"/>
    </w:rPr>
  </w:style>
  <w:style w:type="table" w:styleId="SombreadoMdio2-Cor3">
    <w:name w:val="Medium Shading 2 Accent 3"/>
    <w:basedOn w:val="Tabelanormal"/>
    <w:link w:val="Tramemoyenne2-Accent3Car"/>
    <w:uiPriority w:val="69"/>
    <w:rsid w:val="00A45EEC"/>
    <w:pPr>
      <w:spacing w:after="0" w:line="240" w:lineRule="auto"/>
    </w:pPr>
    <w:rPr>
      <w:rFonts w:ascii="Times New Roman" w:eastAsia="Times New Roman" w:hAnsi="Times New Roman"/>
      <w:b/>
      <w:bCs/>
      <w:i/>
      <w:iCs/>
      <w:color w:val="4F81BD"/>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character" w:customStyle="1" w:styleId="Grilleclaire-Accent3Car1">
    <w:name w:val="Grille claire - Accent 3 Car1"/>
    <w:link w:val="GrelhaClara-Cor3"/>
    <w:uiPriority w:val="34"/>
    <w:rsid w:val="00A45EEC"/>
    <w:rPr>
      <w:rFonts w:ascii="Calibri" w:eastAsia="Calibri" w:hAnsi="Calibri" w:cs="Times New Roman"/>
      <w:sz w:val="22"/>
      <w:szCs w:val="22"/>
      <w:lang w:eastAsia="en-US"/>
    </w:rPr>
  </w:style>
  <w:style w:type="table" w:styleId="GrelhaClara-Cor3">
    <w:name w:val="Light Grid Accent 3"/>
    <w:basedOn w:val="Tabelanormal"/>
    <w:link w:val="Grilleclaire-Accent3Car1"/>
    <w:uiPriority w:val="34"/>
    <w:rsid w:val="00A45EE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Legenda">
    <w:name w:val="caption"/>
    <w:aliases w:val=" Car Car Car,Légende Car,Car Car Car, Char Char Char Char Char, Char Char Char Char Char Char, Char Char Char Char, Car,Légende-Tableau,Légende dak,Car Car,Car Car Car Car Car,Car,Car Car Car Car Car Car Car Car Car,M"/>
    <w:basedOn w:val="Normal"/>
    <w:next w:val="Normal"/>
    <w:link w:val="LegendaCarcter"/>
    <w:qFormat/>
    <w:rsid w:val="00A45EEC"/>
    <w:rPr>
      <w:b/>
      <w:bCs/>
      <w:sz w:val="20"/>
      <w:szCs w:val="20"/>
    </w:rPr>
  </w:style>
  <w:style w:type="character" w:customStyle="1" w:styleId="LegendaCarcter">
    <w:name w:val="Legenda Carácter"/>
    <w:aliases w:val=" Car Car Car Carácter,Légende Car Carácter,Car Car Car Carácter, Char Char Char Char Char Carácter, Char Char Char Char Char Char Carácter, Char Char Char Char Carácter, Car Carácter,Légende-Tableau Carácter,Légende dak Carácter"/>
    <w:link w:val="Legenda"/>
    <w:uiPriority w:val="35"/>
    <w:qFormat/>
    <w:rsid w:val="00A45EEC"/>
    <w:rPr>
      <w:rFonts w:ascii="Times New Roman" w:eastAsia="Times New Roman" w:hAnsi="Times New Roman" w:cs="Times New Roman"/>
      <w:b/>
      <w:bCs/>
      <w:sz w:val="20"/>
      <w:szCs w:val="20"/>
      <w:lang w:eastAsia="fr-FR"/>
    </w:rPr>
  </w:style>
  <w:style w:type="paragraph" w:customStyle="1" w:styleId="En-ttedetabledesmatires1">
    <w:name w:val="En-tête de table des matières1"/>
    <w:basedOn w:val="Cabealho1"/>
    <w:next w:val="Normal"/>
    <w:unhideWhenUsed/>
    <w:qFormat/>
    <w:rsid w:val="00A45EEC"/>
    <w:pPr>
      <w:keepLines/>
      <w:numPr>
        <w:numId w:val="0"/>
      </w:numPr>
      <w:spacing w:before="480" w:after="0" w:line="276" w:lineRule="auto"/>
      <w:outlineLvl w:val="9"/>
    </w:pPr>
    <w:rPr>
      <w:color w:val="365F91"/>
      <w:kern w:val="0"/>
      <w:sz w:val="28"/>
      <w:szCs w:val="28"/>
      <w:lang w:eastAsia="en-US"/>
    </w:rPr>
  </w:style>
  <w:style w:type="paragraph" w:styleId="ndice1">
    <w:name w:val="toc 1"/>
    <w:basedOn w:val="Normal"/>
    <w:next w:val="Normal"/>
    <w:autoRedefine/>
    <w:uiPriority w:val="39"/>
    <w:unhideWhenUsed/>
    <w:qFormat/>
    <w:rsid w:val="00FB409C"/>
    <w:pPr>
      <w:tabs>
        <w:tab w:val="left" w:pos="480"/>
        <w:tab w:val="right" w:leader="dot" w:pos="10206"/>
      </w:tabs>
    </w:pPr>
    <w:rPr>
      <w:b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tyle>
  <w:style w:type="paragraph" w:styleId="ndice2">
    <w:name w:val="toc 2"/>
    <w:basedOn w:val="Normal"/>
    <w:next w:val="Normal"/>
    <w:autoRedefine/>
    <w:uiPriority w:val="39"/>
    <w:unhideWhenUsed/>
    <w:qFormat/>
    <w:rsid w:val="0001641A"/>
    <w:pPr>
      <w:tabs>
        <w:tab w:val="right" w:leader="dot" w:pos="9913"/>
      </w:tabs>
      <w:ind w:left="240"/>
    </w:pPr>
    <w:rPr>
      <w:rFonts w:asciiTheme="minorHAnsi" w:hAnsiTheme="minorHAnsi"/>
      <w:b/>
      <w:bCs/>
      <w:sz w:val="22"/>
      <w:szCs w:val="22"/>
    </w:rPr>
  </w:style>
  <w:style w:type="paragraph" w:styleId="ndice3">
    <w:name w:val="toc 3"/>
    <w:basedOn w:val="Normal"/>
    <w:next w:val="Normal"/>
    <w:autoRedefine/>
    <w:uiPriority w:val="39"/>
    <w:unhideWhenUsed/>
    <w:qFormat/>
    <w:rsid w:val="00A45EEC"/>
    <w:pPr>
      <w:ind w:left="480"/>
    </w:pPr>
    <w:rPr>
      <w:rFonts w:asciiTheme="minorHAnsi" w:hAnsiTheme="minorHAnsi"/>
      <w:sz w:val="22"/>
      <w:szCs w:val="22"/>
    </w:rPr>
  </w:style>
  <w:style w:type="character" w:styleId="Hiperligao">
    <w:name w:val="Hyperlink"/>
    <w:uiPriority w:val="99"/>
    <w:unhideWhenUsed/>
    <w:rsid w:val="00A45EEC"/>
    <w:rPr>
      <w:color w:val="0000FF"/>
      <w:u w:val="single"/>
    </w:rPr>
  </w:style>
  <w:style w:type="paragraph" w:styleId="ndice4">
    <w:name w:val="toc 4"/>
    <w:basedOn w:val="Normal"/>
    <w:next w:val="Normal"/>
    <w:autoRedefine/>
    <w:uiPriority w:val="39"/>
    <w:unhideWhenUsed/>
    <w:rsid w:val="00A45EEC"/>
    <w:pPr>
      <w:ind w:left="720"/>
    </w:pPr>
    <w:rPr>
      <w:rFonts w:asciiTheme="minorHAnsi" w:hAnsiTheme="minorHAnsi"/>
      <w:sz w:val="20"/>
      <w:szCs w:val="20"/>
    </w:rPr>
  </w:style>
  <w:style w:type="paragraph" w:styleId="ndice5">
    <w:name w:val="toc 5"/>
    <w:basedOn w:val="Normal"/>
    <w:next w:val="Normal"/>
    <w:autoRedefine/>
    <w:uiPriority w:val="39"/>
    <w:unhideWhenUsed/>
    <w:rsid w:val="00A45EEC"/>
    <w:pPr>
      <w:ind w:left="960"/>
    </w:pPr>
    <w:rPr>
      <w:rFonts w:asciiTheme="minorHAnsi" w:hAnsiTheme="minorHAnsi"/>
      <w:sz w:val="20"/>
      <w:szCs w:val="20"/>
    </w:rPr>
  </w:style>
  <w:style w:type="paragraph" w:styleId="ndice6">
    <w:name w:val="toc 6"/>
    <w:basedOn w:val="Normal"/>
    <w:next w:val="Normal"/>
    <w:autoRedefine/>
    <w:uiPriority w:val="39"/>
    <w:unhideWhenUsed/>
    <w:rsid w:val="00A45EEC"/>
    <w:pPr>
      <w:ind w:left="1200"/>
    </w:pPr>
    <w:rPr>
      <w:rFonts w:asciiTheme="minorHAnsi" w:hAnsiTheme="minorHAnsi"/>
      <w:sz w:val="20"/>
      <w:szCs w:val="20"/>
    </w:rPr>
  </w:style>
  <w:style w:type="paragraph" w:styleId="ndice7">
    <w:name w:val="toc 7"/>
    <w:basedOn w:val="Normal"/>
    <w:next w:val="Normal"/>
    <w:autoRedefine/>
    <w:uiPriority w:val="39"/>
    <w:unhideWhenUsed/>
    <w:rsid w:val="00A45EEC"/>
    <w:pPr>
      <w:ind w:left="1440"/>
    </w:pPr>
    <w:rPr>
      <w:rFonts w:asciiTheme="minorHAnsi" w:hAnsiTheme="minorHAnsi"/>
      <w:sz w:val="20"/>
      <w:szCs w:val="20"/>
    </w:rPr>
  </w:style>
  <w:style w:type="paragraph" w:styleId="ndice8">
    <w:name w:val="toc 8"/>
    <w:basedOn w:val="Normal"/>
    <w:next w:val="Normal"/>
    <w:autoRedefine/>
    <w:uiPriority w:val="39"/>
    <w:unhideWhenUsed/>
    <w:rsid w:val="00A45EEC"/>
    <w:pPr>
      <w:ind w:left="1680"/>
    </w:pPr>
    <w:rPr>
      <w:rFonts w:asciiTheme="minorHAnsi" w:hAnsiTheme="minorHAnsi"/>
      <w:sz w:val="20"/>
      <w:szCs w:val="20"/>
    </w:rPr>
  </w:style>
  <w:style w:type="paragraph" w:styleId="ndice9">
    <w:name w:val="toc 9"/>
    <w:basedOn w:val="Normal"/>
    <w:next w:val="Normal"/>
    <w:autoRedefine/>
    <w:uiPriority w:val="39"/>
    <w:unhideWhenUsed/>
    <w:rsid w:val="00A45EEC"/>
    <w:pPr>
      <w:ind w:left="1920"/>
    </w:pPr>
    <w:rPr>
      <w:rFonts w:asciiTheme="minorHAnsi" w:hAnsiTheme="minorHAnsi"/>
      <w:sz w:val="20"/>
      <w:szCs w:val="20"/>
    </w:rPr>
  </w:style>
  <w:style w:type="paragraph" w:styleId="ndicedeilustraes">
    <w:name w:val="table of figures"/>
    <w:basedOn w:val="Normal"/>
    <w:next w:val="Normal"/>
    <w:uiPriority w:val="99"/>
    <w:unhideWhenUsed/>
    <w:rsid w:val="00A45EEC"/>
  </w:style>
  <w:style w:type="paragraph" w:customStyle="1" w:styleId="Listecouleur-Accent11">
    <w:name w:val="Liste couleur - Accent 11"/>
    <w:basedOn w:val="Normal"/>
    <w:uiPriority w:val="34"/>
    <w:qFormat/>
    <w:rsid w:val="00A45EEC"/>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rsid w:val="00A45EEC"/>
  </w:style>
  <w:style w:type="paragraph" w:styleId="PargrafodaLista">
    <w:name w:val="List Paragraph"/>
    <w:aliases w:val="Paragraphe  revu,Bullets,Bullet L1,References,Liste 1,Numbered List Paragraph,ReferencesCxSpLast,List Paragraph (numbered (a)),List Paragraph nowy,figure,Colorful List - Accent 11,I..1,Puces,Paragraphe de liste1,itens,Bullet1,RM1"/>
    <w:basedOn w:val="Normal"/>
    <w:link w:val="PargrafodaListaCarcter"/>
    <w:uiPriority w:val="34"/>
    <w:qFormat/>
    <w:rsid w:val="00A45EEC"/>
    <w:pPr>
      <w:spacing w:after="200" w:line="276" w:lineRule="auto"/>
      <w:ind w:left="720"/>
      <w:contextualSpacing/>
    </w:pPr>
    <w:rPr>
      <w:rFonts w:ascii="Calibri" w:eastAsia="Calibri" w:hAnsi="Calibri"/>
      <w:sz w:val="20"/>
      <w:szCs w:val="20"/>
    </w:rPr>
  </w:style>
  <w:style w:type="character" w:customStyle="1" w:styleId="PargrafodaListaCarcter">
    <w:name w:val="Parágrafo da Lista Carácter"/>
    <w:aliases w:val="Paragraphe  revu Carácter,Bullets Carácter,Bullet L1 Carácter,References Carácter,Liste 1 Carácter,Numbered List Paragraph Carácter,ReferencesCxSpLast Carácter,List Paragraph (numbered (a)) Carácter,figure Carácter"/>
    <w:link w:val="PargrafodaLista"/>
    <w:uiPriority w:val="34"/>
    <w:qFormat/>
    <w:rsid w:val="00A45EEC"/>
    <w:rPr>
      <w:rFonts w:ascii="Calibri" w:eastAsia="Calibri" w:hAnsi="Calibri" w:cs="Times New Roman"/>
      <w:sz w:val="20"/>
      <w:szCs w:val="20"/>
      <w:lang w:eastAsia="fr-FR"/>
    </w:rPr>
  </w:style>
  <w:style w:type="paragraph" w:styleId="Avanodecorpodetexto">
    <w:name w:val="Body Text Indent"/>
    <w:basedOn w:val="Normal"/>
    <w:link w:val="AvanodecorpodetextoCarcter"/>
    <w:unhideWhenUsed/>
    <w:rsid w:val="00A45EEC"/>
    <w:pPr>
      <w:spacing w:after="120"/>
      <w:ind w:left="360"/>
    </w:pPr>
  </w:style>
  <w:style w:type="character" w:customStyle="1" w:styleId="AvanodecorpodetextoCarcter">
    <w:name w:val="Avanço de corpo de texto Carácter"/>
    <w:basedOn w:val="Tipodeletrapredefinidodopargrafo"/>
    <w:link w:val="Avanodecorpodetexto"/>
    <w:rsid w:val="00A45EEC"/>
    <w:rPr>
      <w:rFonts w:ascii="Times New Roman" w:eastAsia="Times New Roman" w:hAnsi="Times New Roman" w:cs="Times New Roman"/>
      <w:sz w:val="24"/>
      <w:szCs w:val="24"/>
      <w:lang w:eastAsia="fr-FR"/>
    </w:rPr>
  </w:style>
  <w:style w:type="paragraph" w:styleId="Corpodetexto3">
    <w:name w:val="Body Text 3"/>
    <w:basedOn w:val="Normal"/>
    <w:link w:val="Corpodetexto3Carcter"/>
    <w:rsid w:val="00A45EEC"/>
    <w:pPr>
      <w:spacing w:after="120"/>
    </w:pPr>
    <w:rPr>
      <w:sz w:val="16"/>
      <w:szCs w:val="16"/>
    </w:rPr>
  </w:style>
  <w:style w:type="character" w:customStyle="1" w:styleId="Corpodetexto3Carcter">
    <w:name w:val="Corpo de texto 3 Carácter"/>
    <w:basedOn w:val="Tipodeletrapredefinidodopargrafo"/>
    <w:link w:val="Corpodetexto3"/>
    <w:rsid w:val="00A45EEC"/>
    <w:rPr>
      <w:rFonts w:ascii="Times New Roman" w:eastAsia="Times New Roman" w:hAnsi="Times New Roman" w:cs="Times New Roman"/>
      <w:sz w:val="16"/>
      <w:szCs w:val="16"/>
      <w:lang w:eastAsia="fr-FR"/>
    </w:rPr>
  </w:style>
  <w:style w:type="paragraph" w:customStyle="1" w:styleId="Outline">
    <w:name w:val="Outline"/>
    <w:basedOn w:val="Normal"/>
    <w:rsid w:val="00A45EEC"/>
    <w:pPr>
      <w:spacing w:before="240"/>
    </w:pPr>
    <w:rPr>
      <w:kern w:val="28"/>
      <w:szCs w:val="20"/>
      <w:lang w:val="en-US" w:eastAsia="en-US"/>
    </w:rPr>
  </w:style>
  <w:style w:type="paragraph" w:customStyle="1" w:styleId="Spacebetweennumberedparas">
    <w:name w:val="Space between numbered paras"/>
    <w:basedOn w:val="Normal"/>
    <w:next w:val="Cabealho1"/>
    <w:rsid w:val="00A45EEC"/>
    <w:pPr>
      <w:overflowPunct w:val="0"/>
      <w:autoSpaceDE w:val="0"/>
      <w:autoSpaceDN w:val="0"/>
      <w:adjustRightInd w:val="0"/>
      <w:textAlignment w:val="baseline"/>
    </w:pPr>
    <w:rPr>
      <w:sz w:val="22"/>
      <w:szCs w:val="20"/>
      <w:lang w:val="en-US" w:eastAsia="en-US"/>
    </w:rPr>
  </w:style>
  <w:style w:type="character" w:customStyle="1" w:styleId="Rfrenceintense1">
    <w:name w:val="Référence intense1"/>
    <w:uiPriority w:val="32"/>
    <w:qFormat/>
    <w:rsid w:val="00A45EEC"/>
    <w:rPr>
      <w:b/>
      <w:bCs/>
      <w:smallCaps/>
      <w:color w:val="C0504D"/>
      <w:spacing w:val="5"/>
      <w:u w:val="single"/>
    </w:rPr>
  </w:style>
  <w:style w:type="character" w:customStyle="1" w:styleId="Grillemoyenne1-Accent2Car1">
    <w:name w:val="Grille moyenne 1 - Accent 2 Car1"/>
    <w:link w:val="GrelhaMdia1-Cor2"/>
    <w:rsid w:val="00A45EEC"/>
    <w:rPr>
      <w:rFonts w:ascii="Calibri" w:eastAsia="Times New Roman" w:hAnsi="Calibri" w:cs="Times New Roman"/>
    </w:rPr>
  </w:style>
  <w:style w:type="table" w:styleId="GrelhaMdia1-Cor2">
    <w:name w:val="Medium Grid 1 Accent 2"/>
    <w:basedOn w:val="Tabelanormal"/>
    <w:link w:val="Grillemoyenne1-Accent2Car1"/>
    <w:rsid w:val="00A45EEC"/>
    <w:pPr>
      <w:spacing w:after="0" w:line="240" w:lineRule="auto"/>
    </w:pPr>
    <w:rPr>
      <w:rFonts w:ascii="Calibri" w:eastAsia="Times New Roman"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Grillemoyenne1-Accent2Car">
    <w:name w:val="Grille moyenne 1 - Accent 2 Car"/>
    <w:aliases w:val="Medium Grid 1 - Accent 21 Car"/>
    <w:link w:val="Grillemoyenne1-Accent21"/>
    <w:uiPriority w:val="34"/>
    <w:qFormat/>
    <w:rsid w:val="00A45EEC"/>
    <w:rPr>
      <w:rFonts w:ascii="Times New Roman" w:eastAsia="Times New Roman" w:hAnsi="Times New Roman"/>
      <w:sz w:val="24"/>
      <w:szCs w:val="24"/>
    </w:rPr>
  </w:style>
  <w:style w:type="character" w:customStyle="1" w:styleId="Trameclaire-Accent2Car">
    <w:name w:val="Trame claire - Accent 2 Car"/>
    <w:link w:val="Trameclaire-Accent21"/>
    <w:uiPriority w:val="69"/>
    <w:rsid w:val="00A45EEC"/>
    <w:rPr>
      <w:rFonts w:ascii="Times New Roman" w:eastAsia="Times New Roman" w:hAnsi="Times New Roman"/>
      <w:b/>
      <w:bCs/>
      <w:i/>
      <w:iCs/>
      <w:color w:val="4F81BD"/>
      <w:sz w:val="24"/>
      <w:szCs w:val="24"/>
    </w:rPr>
  </w:style>
  <w:style w:type="character" w:customStyle="1" w:styleId="Listecouleur-Accent1Car1">
    <w:name w:val="Liste couleur - Accent 1 Car1"/>
    <w:uiPriority w:val="34"/>
    <w:rsid w:val="00A45EEC"/>
    <w:rPr>
      <w:rFonts w:ascii="Calibri" w:eastAsia="Calibri" w:hAnsi="Calibri" w:cs="Times New Roman"/>
      <w:sz w:val="22"/>
      <w:szCs w:val="22"/>
      <w:lang w:eastAsia="en-US"/>
    </w:rPr>
  </w:style>
  <w:style w:type="character" w:customStyle="1" w:styleId="Listecouleur-Accent1Car">
    <w:name w:val="Liste couleur - Accent 1 Car"/>
    <w:aliases w:val="Parágrafo da Lista s/espaço Car,RM1 Car,Citation List Car,List Bullet-OpsManual Car,Title Style 1 Car,List_Paragraph Car,Multilevel para_II Car,List Paragraph1 Car,Paragraphe de liste Car,Premier Car,Tableau Adere Car,I..1 C"/>
    <w:link w:val="ListaColorida-Cor1"/>
    <w:uiPriority w:val="34"/>
    <w:qFormat/>
    <w:rsid w:val="00A45EEC"/>
    <w:rPr>
      <w:rFonts w:ascii="Calibri" w:eastAsia="Times New Roman" w:hAnsi="Calibri" w:cs="Times New Roman"/>
    </w:rPr>
  </w:style>
  <w:style w:type="table" w:styleId="ListaColorida-Cor1">
    <w:name w:val="Colorful List Accent 1"/>
    <w:basedOn w:val="Tabelanormal"/>
    <w:link w:val="Listecouleur-Accent1Car"/>
    <w:qFormat/>
    <w:rsid w:val="00A45EEC"/>
    <w:pPr>
      <w:spacing w:after="0" w:line="240" w:lineRule="auto"/>
    </w:pPr>
    <w:rPr>
      <w:rFonts w:ascii="Calibri" w:eastAsia="Times New Roman"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GrelhaMdia3-Cor2">
    <w:name w:val="Medium Grid 3 Accent 2"/>
    <w:basedOn w:val="Tabelanormal"/>
    <w:uiPriority w:val="69"/>
    <w:rsid w:val="00A45EEC"/>
    <w:pPr>
      <w:spacing w:after="0" w:line="240" w:lineRule="auto"/>
    </w:pPr>
    <w:rPr>
      <w:rFonts w:ascii="Times New Roman" w:eastAsia="Times New Roman" w:hAnsi="Times New Roman" w:cs="Times New Roman"/>
      <w:b/>
      <w:bCs/>
      <w:i/>
      <w:iCs/>
      <w:color w:val="4F81BD"/>
      <w:sz w:val="24"/>
      <w:szCs w:val="24"/>
      <w:lang w:eastAsia="fr-FR"/>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acommarcas4">
    <w:name w:val="List Bullet 4"/>
    <w:basedOn w:val="Normal"/>
    <w:uiPriority w:val="99"/>
    <w:semiHidden/>
    <w:unhideWhenUsed/>
    <w:rsid w:val="00A45EEC"/>
    <w:pPr>
      <w:numPr>
        <w:numId w:val="2"/>
      </w:numPr>
      <w:contextualSpacing/>
    </w:pPr>
  </w:style>
  <w:style w:type="paragraph" w:styleId="SemEspaamento">
    <w:name w:val="No Spacing"/>
    <w:aliases w:val="INTRO"/>
    <w:link w:val="SemEspaamentoCarcter"/>
    <w:uiPriority w:val="1"/>
    <w:qFormat/>
    <w:rsid w:val="00A45EEC"/>
    <w:pPr>
      <w:spacing w:after="0" w:line="240" w:lineRule="auto"/>
    </w:pPr>
    <w:rPr>
      <w:rFonts w:ascii="Times New Roman" w:eastAsia="Times New Roman" w:hAnsi="Times New Roman" w:cs="Times New Roman"/>
      <w:sz w:val="24"/>
      <w:szCs w:val="24"/>
      <w:lang w:eastAsia="fr-FR"/>
    </w:rPr>
  </w:style>
  <w:style w:type="paragraph" w:customStyle="1" w:styleId="BankNormal">
    <w:name w:val="BankNormal"/>
    <w:basedOn w:val="Normal"/>
    <w:rsid w:val="00A45EEC"/>
    <w:pPr>
      <w:spacing w:after="240"/>
    </w:pPr>
    <w:rPr>
      <w:szCs w:val="20"/>
      <w:lang w:eastAsia="en-US"/>
    </w:rPr>
  </w:style>
  <w:style w:type="paragraph" w:styleId="Subttulo">
    <w:name w:val="Subtitle"/>
    <w:basedOn w:val="Normal"/>
    <w:next w:val="Normal"/>
    <w:link w:val="SubttuloCarcter"/>
    <w:qFormat/>
    <w:rsid w:val="00A45EEC"/>
    <w:pPr>
      <w:spacing w:after="60"/>
      <w:jc w:val="center"/>
      <w:outlineLvl w:val="1"/>
    </w:pPr>
    <w:rPr>
      <w:rFonts w:ascii="Cambria" w:hAnsi="Cambria"/>
    </w:rPr>
  </w:style>
  <w:style w:type="character" w:customStyle="1" w:styleId="SubttuloCarcter">
    <w:name w:val="Subtítulo Carácter"/>
    <w:basedOn w:val="Tipodeletrapredefinidodopargrafo"/>
    <w:link w:val="Subttulo"/>
    <w:rsid w:val="00A45EEC"/>
    <w:rPr>
      <w:rFonts w:ascii="Cambria" w:eastAsia="Times New Roman" w:hAnsi="Cambria" w:cs="Times New Roman"/>
      <w:sz w:val="24"/>
      <w:szCs w:val="24"/>
      <w:lang w:eastAsia="fr-FR"/>
    </w:rPr>
  </w:style>
  <w:style w:type="character" w:styleId="Refdecomentrio">
    <w:name w:val="annotation reference"/>
    <w:semiHidden/>
    <w:unhideWhenUsed/>
    <w:rsid w:val="00A45EEC"/>
    <w:rPr>
      <w:sz w:val="16"/>
      <w:szCs w:val="16"/>
    </w:rPr>
  </w:style>
  <w:style w:type="paragraph" w:styleId="Textodecomentrio">
    <w:name w:val="annotation text"/>
    <w:basedOn w:val="Normal"/>
    <w:link w:val="TextodecomentrioCarcter"/>
    <w:unhideWhenUsed/>
    <w:rsid w:val="00A45EEC"/>
    <w:rPr>
      <w:sz w:val="20"/>
      <w:szCs w:val="20"/>
    </w:rPr>
  </w:style>
  <w:style w:type="character" w:customStyle="1" w:styleId="TextodecomentrioCarcter">
    <w:name w:val="Texto de comentário Carácter"/>
    <w:basedOn w:val="Tipodeletrapredefinidodopargrafo"/>
    <w:link w:val="Textodecomentrio"/>
    <w:rsid w:val="00A45EEC"/>
    <w:rPr>
      <w:rFonts w:ascii="Times New Roman" w:eastAsia="Times New Roman" w:hAnsi="Times New Roman" w:cs="Times New Roman"/>
      <w:sz w:val="20"/>
      <w:szCs w:val="20"/>
      <w:lang w:eastAsia="fr-FR"/>
    </w:rPr>
  </w:style>
  <w:style w:type="paragraph" w:styleId="Assuntodecomentrio">
    <w:name w:val="annotation subject"/>
    <w:basedOn w:val="Textodecomentrio"/>
    <w:next w:val="Textodecomentrio"/>
    <w:link w:val="AssuntodecomentrioCarcter"/>
    <w:uiPriority w:val="99"/>
    <w:semiHidden/>
    <w:unhideWhenUsed/>
    <w:rsid w:val="00A45EEC"/>
    <w:rPr>
      <w:b/>
      <w:bCs/>
    </w:rPr>
  </w:style>
  <w:style w:type="character" w:customStyle="1" w:styleId="AssuntodecomentrioCarcter">
    <w:name w:val="Assunto de comentário Carácter"/>
    <w:basedOn w:val="TextodecomentrioCarcter"/>
    <w:link w:val="Assuntodecomentrio"/>
    <w:uiPriority w:val="99"/>
    <w:semiHidden/>
    <w:rsid w:val="00A45EEC"/>
    <w:rPr>
      <w:rFonts w:ascii="Times New Roman" w:eastAsia="Times New Roman" w:hAnsi="Times New Roman" w:cs="Times New Roman"/>
      <w:b/>
      <w:bCs/>
      <w:sz w:val="20"/>
      <w:szCs w:val="20"/>
      <w:lang w:eastAsia="fr-FR"/>
    </w:rPr>
  </w:style>
  <w:style w:type="paragraph" w:styleId="Ttulodondice">
    <w:name w:val="TOC Heading"/>
    <w:basedOn w:val="Cabealho1"/>
    <w:next w:val="Normal"/>
    <w:uiPriority w:val="39"/>
    <w:unhideWhenUsed/>
    <w:qFormat/>
    <w:rsid w:val="00A45EEC"/>
    <w:pPr>
      <w:keepLines/>
      <w:numPr>
        <w:numId w:val="0"/>
      </w:numPr>
      <w:spacing w:before="480" w:after="0" w:line="276" w:lineRule="auto"/>
      <w:outlineLvl w:val="9"/>
    </w:pPr>
    <w:rPr>
      <w:color w:val="365F91"/>
      <w:kern w:val="0"/>
      <w:sz w:val="28"/>
      <w:szCs w:val="28"/>
      <w:lang w:eastAsia="en-US"/>
    </w:rPr>
  </w:style>
  <w:style w:type="character" w:customStyle="1" w:styleId="Avanodecorpodetexto2Carcter">
    <w:name w:val="Avanço de corpo de texto 2 Carácter"/>
    <w:basedOn w:val="Tipodeletrapredefinidodopargrafo"/>
    <w:link w:val="Avanodecorpodetexto2"/>
    <w:uiPriority w:val="99"/>
    <w:rsid w:val="00A45EEC"/>
    <w:rPr>
      <w:rFonts w:ascii="Times New Roman" w:eastAsia="Calibri" w:hAnsi="Times New Roman" w:cs="Times New Roman"/>
      <w:sz w:val="24"/>
    </w:rPr>
  </w:style>
  <w:style w:type="paragraph" w:styleId="Avanodecorpodetexto2">
    <w:name w:val="Body Text Indent 2"/>
    <w:basedOn w:val="Normal"/>
    <w:link w:val="Avanodecorpodetexto2Carcter"/>
    <w:uiPriority w:val="99"/>
    <w:unhideWhenUsed/>
    <w:rsid w:val="00A45EEC"/>
    <w:pPr>
      <w:spacing w:after="120" w:line="480" w:lineRule="auto"/>
      <w:ind w:left="283"/>
    </w:pPr>
    <w:rPr>
      <w:rFonts w:eastAsia="Calibri"/>
      <w:szCs w:val="22"/>
      <w:lang w:eastAsia="en-US"/>
    </w:rPr>
  </w:style>
  <w:style w:type="character" w:customStyle="1" w:styleId="Retraitcorpsdetexte2Car1">
    <w:name w:val="Retrait corps de texte 2 Car1"/>
    <w:basedOn w:val="Tipodeletrapredefinidodopargrafo"/>
    <w:rsid w:val="00A45EEC"/>
    <w:rPr>
      <w:rFonts w:ascii="Times New Roman" w:eastAsia="Times New Roman" w:hAnsi="Times New Roman" w:cs="Times New Roman"/>
      <w:sz w:val="24"/>
      <w:szCs w:val="24"/>
      <w:lang w:eastAsia="fr-FR"/>
    </w:rPr>
  </w:style>
  <w:style w:type="character" w:customStyle="1" w:styleId="a">
    <w:name w:val="a"/>
    <w:rsid w:val="00A45EEC"/>
  </w:style>
  <w:style w:type="character" w:customStyle="1" w:styleId="l6">
    <w:name w:val="l6"/>
    <w:rsid w:val="00A45EEC"/>
  </w:style>
  <w:style w:type="character" w:customStyle="1" w:styleId="l7">
    <w:name w:val="l7"/>
    <w:rsid w:val="00A45EEC"/>
  </w:style>
  <w:style w:type="table" w:customStyle="1" w:styleId="Grilledutableau5">
    <w:name w:val="Grille du tableau5"/>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elanormal"/>
    <w:uiPriority w:val="39"/>
    <w:rsid w:val="00A45EE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locked/>
    <w:rsid w:val="00A45EEC"/>
    <w:rPr>
      <w:rFonts w:ascii="Arial Narrow" w:eastAsia="Times" w:hAnsi="Arial Narrow" w:cs="Angsana New"/>
      <w:sz w:val="19"/>
      <w:szCs w:val="20"/>
      <w:lang w:val="en-AU"/>
    </w:rPr>
  </w:style>
  <w:style w:type="paragraph" w:customStyle="1" w:styleId="Tabletext">
    <w:name w:val="Table text"/>
    <w:basedOn w:val="Normal"/>
    <w:link w:val="TabletextChar"/>
    <w:rsid w:val="00A45EEC"/>
    <w:pPr>
      <w:spacing w:after="60" w:line="300" w:lineRule="atLeast"/>
    </w:pPr>
    <w:rPr>
      <w:rFonts w:ascii="Arial Narrow" w:eastAsia="Times" w:hAnsi="Arial Narrow" w:cs="Angsana New"/>
      <w:sz w:val="19"/>
      <w:szCs w:val="20"/>
      <w:lang w:val="en-AU" w:eastAsia="en-US"/>
    </w:rPr>
  </w:style>
  <w:style w:type="table" w:customStyle="1" w:styleId="ESTableStyle">
    <w:name w:val="ES Table Style"/>
    <w:basedOn w:val="Tabelaprofissional"/>
    <w:uiPriority w:val="99"/>
    <w:rsid w:val="00A45EEC"/>
    <w:pPr>
      <w:adjustRightInd w:val="0"/>
      <w:snapToGrid w:val="0"/>
      <w:spacing w:after="120" w:line="240" w:lineRule="atLeast"/>
      <w:jc w:val="both"/>
    </w:pPr>
    <w:rPr>
      <w:rFonts w:ascii="Myriad Web Pro" w:eastAsiaTheme="minorEastAsia"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shd w:val="clear" w:color="auto" w:fill="auto"/>
    </w:tcPr>
    <w:tblStylePr w:type="firstRow">
      <w:rPr>
        <w:rFonts w:ascii="Rupee Foradian" w:hAnsi="Rupee Foradian" w:hint="default"/>
        <w:b/>
        <w:bCs/>
        <w:color w:val="auto"/>
        <w:sz w:val="18"/>
        <w:szCs w:val="18"/>
      </w:rPr>
      <w:tblPr/>
      <w:tcPr>
        <w:tcBorders>
          <w:tl2br w:val="none" w:sz="0" w:space="0" w:color="auto"/>
          <w:tr2bl w:val="none" w:sz="0" w:space="0" w:color="auto"/>
        </w:tcBorders>
        <w:shd w:val="clear" w:color="auto" w:fill="D5DCE4" w:themeFill="text2" w:themeFillTint="33"/>
      </w:tcPr>
    </w:tblStylePr>
  </w:style>
  <w:style w:type="table" w:styleId="Tabelaprofissional">
    <w:name w:val="Table Professional"/>
    <w:basedOn w:val="Tabelanormal"/>
    <w:uiPriority w:val="99"/>
    <w:semiHidden/>
    <w:unhideWhenUsed/>
    <w:rsid w:val="00A45EEC"/>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Grilledutableau1">
    <w:name w:val="Grille du tableau1"/>
    <w:basedOn w:val="Tabelanormal"/>
    <w:uiPriority w:val="59"/>
    <w:rsid w:val="00A45EE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ableCar">
    <w:name w:val="Table Car"/>
    <w:aliases w:val="LVT Table Heading Car,Légende Car Car Car,Légende Car1 Car,tableau 3. Car,tableau 6. Car,tableau 7. Car,Char Car,Fig Car,Table Caption Car,Figure Car,headings Car,CPR Caption Car,CPR Caption Char Car,Table1 Car,Figure1 Car,headings1 Char Car"/>
    <w:uiPriority w:val="35"/>
    <w:qFormat/>
    <w:locked/>
    <w:rsid w:val="00A45EEC"/>
    <w:rPr>
      <w:b/>
      <w:bCs/>
      <w:color w:val="4F81BD"/>
      <w:sz w:val="18"/>
      <w:szCs w:val="18"/>
    </w:rPr>
  </w:style>
  <w:style w:type="paragraph" w:customStyle="1" w:styleId="Clauses">
    <w:name w:val="Clauses"/>
    <w:basedOn w:val="Normal"/>
    <w:rsid w:val="00A45EEC"/>
    <w:pPr>
      <w:keepLines/>
      <w:numPr>
        <w:numId w:val="5"/>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A45EEC"/>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A45EEC"/>
    <w:pPr>
      <w:numPr>
        <w:ilvl w:val="3"/>
      </w:numPr>
      <w:tabs>
        <w:tab w:val="clear" w:pos="1418"/>
        <w:tab w:val="num" w:pos="1712"/>
        <w:tab w:val="left" w:pos="1843"/>
      </w:tabs>
      <w:ind w:left="1418" w:hanging="426"/>
    </w:pPr>
  </w:style>
  <w:style w:type="paragraph" w:customStyle="1" w:styleId="Normal1">
    <w:name w:val="Normal(1)"/>
    <w:basedOn w:val="Normal"/>
    <w:rsid w:val="00A45EEC"/>
    <w:pPr>
      <w:tabs>
        <w:tab w:val="num" w:pos="709"/>
      </w:tabs>
      <w:spacing w:after="120"/>
      <w:ind w:left="709" w:hanging="709"/>
      <w:jc w:val="both"/>
    </w:pPr>
    <w:rPr>
      <w:szCs w:val="20"/>
      <w:lang w:val="en-GB" w:eastAsia="en-GB"/>
    </w:rPr>
  </w:style>
  <w:style w:type="paragraph" w:styleId="Ttulo">
    <w:name w:val="Title"/>
    <w:basedOn w:val="Normal"/>
    <w:link w:val="TtuloCarcter"/>
    <w:qFormat/>
    <w:rsid w:val="00A45EEC"/>
    <w:pPr>
      <w:tabs>
        <w:tab w:val="right" w:leader="dot" w:pos="8640"/>
      </w:tabs>
      <w:jc w:val="center"/>
    </w:pPr>
    <w:rPr>
      <w:b/>
      <w:sz w:val="36"/>
      <w:szCs w:val="20"/>
      <w:lang w:val="en-US" w:eastAsia="en-US"/>
    </w:rPr>
  </w:style>
  <w:style w:type="character" w:customStyle="1" w:styleId="TitreCar">
    <w:name w:val="Titre Car"/>
    <w:basedOn w:val="Tipodeletrapredefinidodopargrafo"/>
    <w:rsid w:val="00A45EEC"/>
    <w:rPr>
      <w:rFonts w:asciiTheme="majorHAnsi" w:eastAsiaTheme="majorEastAsia" w:hAnsiTheme="majorHAnsi" w:cstheme="majorBidi"/>
      <w:spacing w:val="-10"/>
      <w:kern w:val="28"/>
      <w:sz w:val="56"/>
      <w:szCs w:val="56"/>
      <w:lang w:eastAsia="fr-FR"/>
    </w:rPr>
  </w:style>
  <w:style w:type="character" w:customStyle="1" w:styleId="TtuloCarcter">
    <w:name w:val="Título Carácter"/>
    <w:link w:val="Ttulo"/>
    <w:rsid w:val="00A45EEC"/>
    <w:rPr>
      <w:rFonts w:ascii="Times New Roman" w:eastAsia="Times New Roman" w:hAnsi="Times New Roman" w:cs="Times New Roman"/>
      <w:b/>
      <w:sz w:val="36"/>
      <w:szCs w:val="20"/>
      <w:lang w:val="en-US"/>
    </w:rPr>
  </w:style>
  <w:style w:type="character" w:customStyle="1" w:styleId="InciodecartaCarcter">
    <w:name w:val="Início de carta Carácter"/>
    <w:basedOn w:val="Tipodeletrapredefinidodopargrafo"/>
    <w:link w:val="Inciodecarta"/>
    <w:semiHidden/>
    <w:rsid w:val="00A45EEC"/>
    <w:rPr>
      <w:rFonts w:ascii="Times New Roman" w:eastAsia="Times New Roman" w:hAnsi="Times New Roman" w:cs="Times New Roman"/>
      <w:sz w:val="24"/>
      <w:szCs w:val="24"/>
      <w:lang w:val="en-US"/>
    </w:rPr>
  </w:style>
  <w:style w:type="paragraph" w:styleId="Inciodecarta">
    <w:name w:val="Salutation"/>
    <w:basedOn w:val="Normal"/>
    <w:next w:val="Normal"/>
    <w:link w:val="InciodecartaCarcter"/>
    <w:semiHidden/>
    <w:rsid w:val="00A45EEC"/>
    <w:rPr>
      <w:lang w:val="en-US" w:eastAsia="en-US"/>
    </w:rPr>
  </w:style>
  <w:style w:type="character" w:customStyle="1" w:styleId="SalutationsCar1">
    <w:name w:val="Salutations Car1"/>
    <w:basedOn w:val="Tipodeletrapredefinidodopargrafo"/>
    <w:uiPriority w:val="99"/>
    <w:semiHidden/>
    <w:rsid w:val="00A45EEC"/>
    <w:rPr>
      <w:rFonts w:ascii="Times New Roman" w:eastAsia="Times New Roman" w:hAnsi="Times New Roman" w:cs="Times New Roman"/>
      <w:sz w:val="24"/>
      <w:szCs w:val="24"/>
      <w:lang w:eastAsia="fr-FR"/>
    </w:rPr>
  </w:style>
  <w:style w:type="paragraph" w:styleId="Avanonormal">
    <w:name w:val="Normal Indent"/>
    <w:basedOn w:val="Normal"/>
    <w:rsid w:val="00A45EEC"/>
    <w:pPr>
      <w:ind w:left="708"/>
    </w:pPr>
    <w:rPr>
      <w:lang w:val="en-US" w:eastAsia="en-US"/>
    </w:rPr>
  </w:style>
  <w:style w:type="character" w:customStyle="1" w:styleId="Avanodecorpodetexto3Carcter">
    <w:name w:val="Avanço de corpo de texto 3 Carácter"/>
    <w:basedOn w:val="Tipodeletrapredefinidodopargrafo"/>
    <w:link w:val="Avanodecorpodetexto3"/>
    <w:semiHidden/>
    <w:rsid w:val="00A45EEC"/>
    <w:rPr>
      <w:rFonts w:ascii="Times New Roman" w:eastAsia="Times New Roman" w:hAnsi="Times New Roman" w:cs="Times New Roman"/>
      <w:sz w:val="24"/>
      <w:szCs w:val="24"/>
      <w:lang w:val="en-US"/>
    </w:rPr>
  </w:style>
  <w:style w:type="paragraph" w:styleId="Avanodecorpodetexto3">
    <w:name w:val="Body Text Indent 3"/>
    <w:basedOn w:val="Normal"/>
    <w:link w:val="Avanodecorpodetexto3Carcter"/>
    <w:semiHidden/>
    <w:rsid w:val="00A45EEC"/>
    <w:pPr>
      <w:ind w:left="1854" w:hanging="414"/>
      <w:jc w:val="both"/>
    </w:pPr>
    <w:rPr>
      <w:lang w:val="en-US" w:eastAsia="en-US"/>
    </w:rPr>
  </w:style>
  <w:style w:type="character" w:customStyle="1" w:styleId="Retraitcorpsdetexte3Car1">
    <w:name w:val="Retrait corps de texte 3 Car1"/>
    <w:basedOn w:val="Tipodeletrapredefinidodopargrafo"/>
    <w:uiPriority w:val="99"/>
    <w:semiHidden/>
    <w:rsid w:val="00A45EEC"/>
    <w:rPr>
      <w:rFonts w:ascii="Times New Roman" w:eastAsia="Times New Roman" w:hAnsi="Times New Roman" w:cs="Times New Roman"/>
      <w:sz w:val="16"/>
      <w:szCs w:val="16"/>
      <w:lang w:eastAsia="fr-FR"/>
    </w:rPr>
  </w:style>
  <w:style w:type="paragraph" w:customStyle="1" w:styleId="xl26">
    <w:name w:val="xl26"/>
    <w:basedOn w:val="Normal"/>
    <w:rsid w:val="00A45EEC"/>
    <w:pPr>
      <w:spacing w:before="100" w:beforeAutospacing="1" w:after="100" w:afterAutospacing="1"/>
    </w:pPr>
    <w:rPr>
      <w:b/>
      <w:bCs/>
      <w:lang w:val="it-IT" w:eastAsia="it-IT"/>
    </w:rPr>
  </w:style>
  <w:style w:type="paragraph" w:customStyle="1" w:styleId="xl143">
    <w:name w:val="xl143"/>
    <w:basedOn w:val="Normal"/>
    <w:rsid w:val="00A45EEC"/>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Nmerodepgina">
    <w:name w:val="page number"/>
    <w:rsid w:val="00A45EEC"/>
    <w:rPr>
      <w:rFonts w:cs="Times New Roman"/>
    </w:rPr>
  </w:style>
  <w:style w:type="paragraph" w:customStyle="1" w:styleId="xl41">
    <w:name w:val="xl41"/>
    <w:basedOn w:val="Normal"/>
    <w:rsid w:val="00A45EEC"/>
    <w:pPr>
      <w:spacing w:before="100" w:beforeAutospacing="1" w:after="100" w:afterAutospacing="1"/>
    </w:pPr>
    <w:rPr>
      <w:sz w:val="20"/>
      <w:szCs w:val="20"/>
      <w:lang w:val="it-IT" w:eastAsia="it-IT"/>
    </w:rPr>
  </w:style>
  <w:style w:type="paragraph" w:customStyle="1" w:styleId="A1-Heading1">
    <w:name w:val="A1-Heading1"/>
    <w:basedOn w:val="Cabealho1"/>
    <w:rsid w:val="00A45EEC"/>
    <w:pPr>
      <w:keepNext w:val="0"/>
      <w:numPr>
        <w:numId w:val="0"/>
      </w:numPr>
      <w:spacing w:after="240"/>
      <w:jc w:val="center"/>
    </w:pPr>
    <w:rPr>
      <w:rFonts w:ascii="Times New Roman" w:hAnsi="Times New Roman"/>
      <w:bCs w:val="0"/>
      <w:kern w:val="0"/>
      <w:szCs w:val="20"/>
      <w:lang w:val="en-US" w:eastAsia="en-US"/>
    </w:rPr>
  </w:style>
  <w:style w:type="paragraph" w:customStyle="1" w:styleId="A1-Heading2">
    <w:name w:val="A1-Heading2"/>
    <w:basedOn w:val="Cabealho2"/>
    <w:link w:val="A1-Heading2Char"/>
    <w:rsid w:val="00A45EEC"/>
    <w:pPr>
      <w:keepNext w:val="0"/>
      <w:numPr>
        <w:ilvl w:val="0"/>
        <w:numId w:val="0"/>
      </w:numPr>
      <w:tabs>
        <w:tab w:val="left" w:pos="360"/>
      </w:tabs>
      <w:spacing w:before="0" w:after="0"/>
      <w:ind w:left="720" w:hanging="360"/>
      <w:contextualSpacing/>
      <w:jc w:val="center"/>
    </w:pPr>
    <w:rPr>
      <w:rFonts w:ascii="Times New Roman" w:hAnsi="Times New Roman"/>
      <w:i w:val="0"/>
      <w:iCs w:val="0"/>
      <w:smallCaps/>
      <w:sz w:val="24"/>
      <w:szCs w:val="24"/>
      <w:lang w:val="en-GB" w:eastAsia="en-US"/>
    </w:rPr>
  </w:style>
  <w:style w:type="character" w:customStyle="1" w:styleId="A1-Heading2Char">
    <w:name w:val="A1-Heading2 Char"/>
    <w:link w:val="A1-Heading2"/>
    <w:rsid w:val="00A45EEC"/>
    <w:rPr>
      <w:rFonts w:ascii="Times New Roman" w:eastAsia="Times New Roman" w:hAnsi="Times New Roman" w:cs="Times New Roman"/>
      <w:b/>
      <w:bCs/>
      <w:smallCaps/>
      <w:sz w:val="24"/>
      <w:szCs w:val="24"/>
      <w:lang w:val="en-GB"/>
    </w:rPr>
  </w:style>
  <w:style w:type="paragraph" w:customStyle="1" w:styleId="A2-Heading1">
    <w:name w:val="A2-Heading 1"/>
    <w:basedOn w:val="Cabealho1"/>
    <w:rsid w:val="00A45EEC"/>
    <w:pPr>
      <w:keepNext w:val="0"/>
      <w:numPr>
        <w:ilvl w:val="12"/>
        <w:numId w:val="0"/>
      </w:numPr>
      <w:spacing w:before="0" w:after="0"/>
      <w:jc w:val="center"/>
    </w:pPr>
    <w:rPr>
      <w:rFonts w:ascii="Times New Roman Bold" w:hAnsi="Times New Roman Bold"/>
      <w:bCs w:val="0"/>
      <w:kern w:val="0"/>
      <w:szCs w:val="24"/>
      <w:lang w:val="en-US" w:eastAsia="en-US"/>
    </w:rPr>
  </w:style>
  <w:style w:type="paragraph" w:customStyle="1" w:styleId="A2-Heading2">
    <w:name w:val="A2-Heading 2"/>
    <w:basedOn w:val="Cabealho2"/>
    <w:rsid w:val="00A45EEC"/>
    <w:pPr>
      <w:keepNext w:val="0"/>
      <w:numPr>
        <w:ilvl w:val="0"/>
        <w:numId w:val="0"/>
      </w:numPr>
      <w:tabs>
        <w:tab w:val="num" w:pos="360"/>
      </w:tabs>
      <w:spacing w:before="0" w:after="0"/>
      <w:ind w:left="720" w:hanging="720"/>
      <w:contextualSpacing/>
      <w:jc w:val="center"/>
    </w:pPr>
    <w:rPr>
      <w:rFonts w:ascii="Times New Roman" w:hAnsi="Times New Roman"/>
      <w:i w:val="0"/>
      <w:iCs w:val="0"/>
      <w:smallCaps/>
      <w:sz w:val="24"/>
      <w:szCs w:val="24"/>
      <w:lang w:val="en-GB" w:eastAsia="en-US"/>
    </w:rPr>
  </w:style>
  <w:style w:type="paragraph" w:customStyle="1" w:styleId="A1-Heading3">
    <w:name w:val="A1-Heading 3"/>
    <w:basedOn w:val="Cabealho3"/>
    <w:rsid w:val="00A45EEC"/>
    <w:pPr>
      <w:keepNext w:val="0"/>
      <w:numPr>
        <w:ilvl w:val="0"/>
        <w:numId w:val="0"/>
      </w:numPr>
      <w:tabs>
        <w:tab w:val="left" w:pos="540"/>
      </w:tabs>
      <w:spacing w:before="0" w:after="0"/>
      <w:ind w:left="533" w:right="-29" w:hanging="533"/>
      <w:contextualSpacing/>
    </w:pPr>
    <w:rPr>
      <w:rFonts w:ascii="Times New Roman" w:hAnsi="Times New Roman"/>
      <w:sz w:val="24"/>
      <w:szCs w:val="24"/>
      <w:lang w:val="en-GB" w:eastAsia="en-US"/>
    </w:rPr>
  </w:style>
  <w:style w:type="paragraph" w:customStyle="1" w:styleId="A1-Heading4">
    <w:name w:val="A1-Heading 4"/>
    <w:basedOn w:val="Cabealho4"/>
    <w:rsid w:val="00A45EEC"/>
    <w:pPr>
      <w:keepNext w:val="0"/>
      <w:numPr>
        <w:ilvl w:val="0"/>
        <w:numId w:val="0"/>
      </w:numPr>
      <w:tabs>
        <w:tab w:val="left" w:pos="720"/>
        <w:tab w:val="left" w:pos="1062"/>
        <w:tab w:val="right" w:leader="dot" w:pos="8640"/>
      </w:tabs>
      <w:spacing w:before="0" w:after="0"/>
      <w:ind w:left="1062" w:hanging="720"/>
    </w:pPr>
    <w:rPr>
      <w:rFonts w:ascii="Times New Roman" w:hAnsi="Times New Roman"/>
      <w:sz w:val="24"/>
      <w:szCs w:val="24"/>
      <w:lang w:val="en-US" w:eastAsia="en-US"/>
    </w:rPr>
  </w:style>
  <w:style w:type="paragraph" w:customStyle="1" w:styleId="A2-Heading3">
    <w:name w:val="A2-Heading 3"/>
    <w:basedOn w:val="Cabealho3"/>
    <w:rsid w:val="00A45EEC"/>
    <w:pPr>
      <w:keepNext w:val="0"/>
      <w:numPr>
        <w:ilvl w:val="0"/>
        <w:numId w:val="0"/>
      </w:numPr>
      <w:tabs>
        <w:tab w:val="left" w:pos="540"/>
      </w:tabs>
      <w:spacing w:before="0" w:after="0"/>
      <w:ind w:left="539" w:right="-34" w:hanging="539"/>
      <w:contextualSpacing/>
    </w:pPr>
    <w:rPr>
      <w:rFonts w:ascii="Times New Roman" w:hAnsi="Times New Roman"/>
      <w:sz w:val="24"/>
      <w:szCs w:val="24"/>
      <w:lang w:val="en-GB" w:eastAsia="en-US"/>
    </w:rPr>
  </w:style>
  <w:style w:type="character" w:customStyle="1" w:styleId="TextodenotadefimCarcter">
    <w:name w:val="Texto de nota de fim Carácter"/>
    <w:basedOn w:val="Tipodeletrapredefinidodopargrafo"/>
    <w:link w:val="Textodenotadefim"/>
    <w:semiHidden/>
    <w:rsid w:val="00A45EEC"/>
    <w:rPr>
      <w:rFonts w:ascii="Times New Roman" w:eastAsia="Times New Roman" w:hAnsi="Times New Roman" w:cs="Times New Roman"/>
      <w:sz w:val="20"/>
      <w:szCs w:val="20"/>
      <w:lang w:val="en-US"/>
    </w:rPr>
  </w:style>
  <w:style w:type="paragraph" w:styleId="Textodenotadefim">
    <w:name w:val="endnote text"/>
    <w:basedOn w:val="Normal"/>
    <w:link w:val="TextodenotadefimCarcter"/>
    <w:semiHidden/>
    <w:rsid w:val="00A45EEC"/>
    <w:rPr>
      <w:sz w:val="20"/>
      <w:szCs w:val="20"/>
      <w:lang w:val="en-US" w:eastAsia="en-US"/>
    </w:rPr>
  </w:style>
  <w:style w:type="character" w:customStyle="1" w:styleId="NotedefinCar1">
    <w:name w:val="Note de fin Car1"/>
    <w:basedOn w:val="Tipodeletrapredefinidodopargrafo"/>
    <w:uiPriority w:val="99"/>
    <w:semiHidden/>
    <w:rsid w:val="00A45EEC"/>
    <w:rPr>
      <w:rFonts w:ascii="Times New Roman" w:eastAsia="Times New Roman" w:hAnsi="Times New Roman" w:cs="Times New Roman"/>
      <w:sz w:val="20"/>
      <w:szCs w:val="20"/>
      <w:lang w:eastAsia="fr-FR"/>
    </w:rPr>
  </w:style>
  <w:style w:type="paragraph" w:customStyle="1" w:styleId="Section3-Heading1">
    <w:name w:val="Section 3 - Heading 1"/>
    <w:basedOn w:val="Normal"/>
    <w:rsid w:val="00A45EEC"/>
    <w:pPr>
      <w:pBdr>
        <w:bottom w:val="single" w:sz="4" w:space="1" w:color="auto"/>
      </w:pBdr>
      <w:spacing w:after="240"/>
      <w:jc w:val="center"/>
    </w:pPr>
    <w:rPr>
      <w:rFonts w:ascii="Times New Roman Bold" w:hAnsi="Times New Roman Bold"/>
      <w:b/>
      <w:sz w:val="32"/>
      <w:lang w:val="en-US" w:eastAsia="en-US"/>
    </w:rPr>
  </w:style>
  <w:style w:type="paragraph" w:customStyle="1" w:styleId="CharChar">
    <w:name w:val="Char Char"/>
    <w:basedOn w:val="Normal"/>
    <w:rsid w:val="00A45EEC"/>
    <w:pPr>
      <w:autoSpaceDE w:val="0"/>
      <w:autoSpaceDN w:val="0"/>
      <w:spacing w:after="160" w:line="240" w:lineRule="exact"/>
    </w:pPr>
    <w:rPr>
      <w:rFonts w:ascii="Arial" w:hAnsi="Arial" w:cs="Arial"/>
      <w:b/>
      <w:sz w:val="20"/>
      <w:szCs w:val="20"/>
      <w:lang w:val="en-US" w:eastAsia="de-DE"/>
    </w:rPr>
  </w:style>
  <w:style w:type="character" w:customStyle="1" w:styleId="GaramondTimesNewRoman">
    <w:name w:val="Стиль Стиль Garamond + Times New Roman"/>
    <w:rsid w:val="00A45EEC"/>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rsid w:val="00A45EEC"/>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Cabealho"/>
    <w:rsid w:val="00A45EEC"/>
    <w:pPr>
      <w:numPr>
        <w:numId w:val="6"/>
      </w:numPr>
      <w:tabs>
        <w:tab w:val="clear" w:pos="4536"/>
        <w:tab w:val="clear" w:pos="9072"/>
      </w:tabs>
      <w:spacing w:after="0" w:line="240" w:lineRule="auto"/>
      <w:ind w:right="-88"/>
      <w:jc w:val="both"/>
    </w:pPr>
    <w:rPr>
      <w:rFonts w:ascii="Arial" w:eastAsia="Times New Roman" w:hAnsi="Arial" w:cs="Arial"/>
      <w:bCs/>
      <w:sz w:val="22"/>
      <w:szCs w:val="24"/>
      <w:lang w:val="en-GB" w:eastAsia="en-US"/>
    </w:rPr>
  </w:style>
  <w:style w:type="paragraph" w:customStyle="1" w:styleId="Subtitulos">
    <w:name w:val="Subtitulos"/>
    <w:basedOn w:val="Cabealho2"/>
    <w:rsid w:val="00A45EEC"/>
    <w:pPr>
      <w:keepNext w:val="0"/>
      <w:numPr>
        <w:ilvl w:val="0"/>
        <w:numId w:val="0"/>
      </w:numPr>
      <w:tabs>
        <w:tab w:val="left" w:pos="360"/>
      </w:tabs>
      <w:spacing w:before="120" w:after="120"/>
      <w:contextualSpacing/>
    </w:pPr>
    <w:rPr>
      <w:rFonts w:ascii="Times New Roman Bold" w:hAnsi="Times New Roman Bold"/>
      <w:bCs w:val="0"/>
      <w:i w:val="0"/>
      <w:iCs w:val="0"/>
      <w:sz w:val="24"/>
      <w:szCs w:val="20"/>
      <w:lang w:val="es-ES_tradnl" w:eastAsia="en-US"/>
    </w:rPr>
  </w:style>
  <w:style w:type="paragraph" w:customStyle="1" w:styleId="41Autolist4">
    <w:name w:val="4.1 Autolist4"/>
    <w:basedOn w:val="Normal"/>
    <w:next w:val="Normal"/>
    <w:rsid w:val="00A45EEC"/>
    <w:pPr>
      <w:keepNext/>
      <w:spacing w:before="120" w:after="120"/>
      <w:jc w:val="both"/>
    </w:pPr>
    <w:rPr>
      <w:szCs w:val="20"/>
      <w:lang w:val="en-US" w:eastAsia="en-US"/>
    </w:rPr>
  </w:style>
  <w:style w:type="paragraph" w:customStyle="1" w:styleId="iAutoList">
    <w:name w:val="(i) AutoList"/>
    <w:basedOn w:val="Normal"/>
    <w:next w:val="Normal"/>
    <w:rsid w:val="00A45EEC"/>
    <w:pPr>
      <w:spacing w:before="120" w:after="120"/>
      <w:ind w:left="720" w:hanging="360"/>
      <w:jc w:val="both"/>
    </w:pPr>
    <w:rPr>
      <w:snapToGrid w:val="0"/>
      <w:szCs w:val="20"/>
      <w:lang w:val="es-ES_tradnl" w:eastAsia="en-US"/>
    </w:rPr>
  </w:style>
  <w:style w:type="paragraph" w:styleId="Corpodetexto2">
    <w:name w:val="Body Text 2"/>
    <w:basedOn w:val="Normal"/>
    <w:link w:val="Corpodetexto2Carcter"/>
    <w:unhideWhenUsed/>
    <w:rsid w:val="00A45EEC"/>
    <w:pPr>
      <w:spacing w:after="120" w:line="480" w:lineRule="auto"/>
    </w:pPr>
    <w:rPr>
      <w:lang w:val="en-US" w:eastAsia="en-US"/>
    </w:rPr>
  </w:style>
  <w:style w:type="character" w:customStyle="1" w:styleId="Corpsdetexte2Car">
    <w:name w:val="Corps de texte 2 Car"/>
    <w:basedOn w:val="Tipodeletrapredefinidodopargrafo"/>
    <w:rsid w:val="00A45EEC"/>
    <w:rPr>
      <w:rFonts w:ascii="Times New Roman" w:eastAsia="Times New Roman" w:hAnsi="Times New Roman" w:cs="Times New Roman"/>
      <w:sz w:val="24"/>
      <w:szCs w:val="24"/>
      <w:lang w:eastAsia="fr-FR"/>
    </w:rPr>
  </w:style>
  <w:style w:type="character" w:customStyle="1" w:styleId="Corpodetexto2Carcter">
    <w:name w:val="Corpo de texto 2 Carácter"/>
    <w:link w:val="Corpodetexto2"/>
    <w:rsid w:val="00A45EEC"/>
    <w:rPr>
      <w:rFonts w:ascii="Times New Roman" w:eastAsia="Times New Roman" w:hAnsi="Times New Roman" w:cs="Times New Roman"/>
      <w:sz w:val="24"/>
      <w:szCs w:val="24"/>
      <w:lang w:val="en-US"/>
    </w:rPr>
  </w:style>
  <w:style w:type="paragraph" w:customStyle="1" w:styleId="Section4-Heading1">
    <w:name w:val="Section 4 - Heading 1"/>
    <w:basedOn w:val="Section3-Heading1"/>
    <w:rsid w:val="00A45EEC"/>
  </w:style>
  <w:style w:type="paragraph" w:customStyle="1" w:styleId="Header1-Clauses">
    <w:name w:val="Header 1 - Clauses"/>
    <w:basedOn w:val="Normal"/>
    <w:rsid w:val="00A45EEC"/>
    <w:pPr>
      <w:numPr>
        <w:numId w:val="7"/>
      </w:numPr>
    </w:pPr>
    <w:rPr>
      <w:b/>
      <w:szCs w:val="20"/>
      <w:lang w:val="es-ES_tradnl" w:eastAsia="en-US"/>
    </w:rPr>
  </w:style>
  <w:style w:type="paragraph" w:customStyle="1" w:styleId="Header2-SubClauses">
    <w:name w:val="Header 2 - SubClauses"/>
    <w:basedOn w:val="Normal"/>
    <w:rsid w:val="00A45EEC"/>
    <w:pPr>
      <w:numPr>
        <w:ilvl w:val="1"/>
        <w:numId w:val="7"/>
      </w:numPr>
      <w:tabs>
        <w:tab w:val="left" w:pos="619"/>
      </w:tabs>
      <w:spacing w:after="200"/>
      <w:jc w:val="both"/>
    </w:pPr>
    <w:rPr>
      <w:szCs w:val="20"/>
      <w:lang w:val="es-ES_tradnl" w:eastAsia="en-US"/>
    </w:rPr>
  </w:style>
  <w:style w:type="paragraph" w:customStyle="1" w:styleId="P3Header1-Clauses">
    <w:name w:val="P3 Header1-Clauses"/>
    <w:basedOn w:val="Header1-Clauses"/>
    <w:rsid w:val="00A45EEC"/>
    <w:pPr>
      <w:numPr>
        <w:ilvl w:val="2"/>
      </w:numPr>
    </w:pPr>
  </w:style>
  <w:style w:type="character" w:customStyle="1" w:styleId="DeltaViewInsertion">
    <w:name w:val="DeltaView Insertion"/>
    <w:rsid w:val="00A45EEC"/>
    <w:rPr>
      <w:color w:val="0000FF"/>
      <w:u w:val="double"/>
    </w:rPr>
  </w:style>
  <w:style w:type="paragraph" w:customStyle="1" w:styleId="Section8Heading1">
    <w:name w:val="Section 8. Heading1"/>
    <w:basedOn w:val="A1-Heading2"/>
    <w:qFormat/>
    <w:rsid w:val="00A45EEC"/>
    <w:pPr>
      <w:numPr>
        <w:numId w:val="11"/>
      </w:numPr>
      <w:tabs>
        <w:tab w:val="clear" w:pos="360"/>
      </w:tabs>
      <w:spacing w:before="120" w:after="240"/>
      <w:ind w:left="928"/>
      <w:contextualSpacing w:val="0"/>
    </w:pPr>
    <w:rPr>
      <w:sz w:val="28"/>
      <w:lang w:val="en-US"/>
    </w:rPr>
  </w:style>
  <w:style w:type="paragraph" w:customStyle="1" w:styleId="Section8Heading2">
    <w:name w:val="Section 8. Heading2"/>
    <w:next w:val="Normal"/>
    <w:qFormat/>
    <w:rsid w:val="00A45EEC"/>
    <w:pPr>
      <w:numPr>
        <w:numId w:val="12"/>
      </w:numPr>
      <w:spacing w:after="200" w:line="240" w:lineRule="auto"/>
    </w:pPr>
    <w:rPr>
      <w:rFonts w:ascii="Times New Roman" w:eastAsia="Times New Roman" w:hAnsi="Times New Roman" w:cs="Times New Roman"/>
      <w:b/>
      <w:bCs/>
      <w:sz w:val="24"/>
      <w:szCs w:val="24"/>
      <w:lang w:val="en-US"/>
    </w:rPr>
  </w:style>
  <w:style w:type="paragraph" w:customStyle="1" w:styleId="Section8Header1">
    <w:name w:val="Section 8. Header1"/>
    <w:qFormat/>
    <w:rsid w:val="00A45EEC"/>
    <w:pPr>
      <w:numPr>
        <w:numId w:val="13"/>
      </w:numPr>
      <w:spacing w:before="240" w:after="240" w:line="240" w:lineRule="auto"/>
      <w:jc w:val="center"/>
    </w:pPr>
    <w:rPr>
      <w:rFonts w:ascii="Times New Roman" w:eastAsia="Times New Roman" w:hAnsi="Times New Roman" w:cs="Times New Roman"/>
      <w:b/>
      <w:sz w:val="32"/>
      <w:szCs w:val="20"/>
      <w:lang w:val="en-US"/>
    </w:rPr>
  </w:style>
  <w:style w:type="paragraph" w:customStyle="1" w:styleId="Section8Heading3">
    <w:name w:val="Section 8. Heading3"/>
    <w:qFormat/>
    <w:rsid w:val="00A45EEC"/>
    <w:pPr>
      <w:spacing w:after="0" w:line="240" w:lineRule="auto"/>
      <w:ind w:hanging="534"/>
    </w:pPr>
    <w:rPr>
      <w:rFonts w:ascii="Times New Roman" w:eastAsia="Times New Roman" w:hAnsi="Times New Roman" w:cs="Times New Roman"/>
      <w:b/>
      <w:bCs/>
      <w:sz w:val="24"/>
      <w:szCs w:val="24"/>
      <w:lang w:val="en-US"/>
    </w:rPr>
  </w:style>
  <w:style w:type="paragraph" w:customStyle="1" w:styleId="Document1">
    <w:name w:val="Document 1"/>
    <w:rsid w:val="00A45EEC"/>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xtBoxFramed">
    <w:name w:val="Text Box Framed"/>
    <w:basedOn w:val="Normal"/>
    <w:rsid w:val="00A45EEC"/>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paragraph" w:customStyle="1" w:styleId="p7">
    <w:name w:val="p7"/>
    <w:basedOn w:val="Normal"/>
    <w:rsid w:val="00A45EEC"/>
    <w:pPr>
      <w:widowControl w:val="0"/>
      <w:spacing w:line="360" w:lineRule="atLeast"/>
      <w:ind w:left="720" w:hanging="720"/>
    </w:pPr>
    <w:rPr>
      <w:rFonts w:ascii="Chicago" w:hAnsi="Chicago"/>
      <w:snapToGrid w:val="0"/>
      <w:szCs w:val="20"/>
      <w:lang w:val="en-US" w:eastAsia="en-US"/>
    </w:rPr>
  </w:style>
  <w:style w:type="paragraph" w:customStyle="1" w:styleId="p3">
    <w:name w:val="p3"/>
    <w:basedOn w:val="Normal"/>
    <w:rsid w:val="00A45EEC"/>
    <w:pPr>
      <w:widowControl w:val="0"/>
      <w:tabs>
        <w:tab w:val="left" w:pos="0"/>
      </w:tabs>
      <w:spacing w:line="240" w:lineRule="atLeast"/>
      <w:jc w:val="both"/>
      <w:outlineLvl w:val="1"/>
    </w:pPr>
    <w:rPr>
      <w:rFonts w:ascii="Arial" w:hAnsi="Arial" w:cs="Arial"/>
      <w:b/>
      <w:bCs/>
      <w:snapToGrid w:val="0"/>
      <w:sz w:val="20"/>
      <w:szCs w:val="20"/>
      <w:lang w:eastAsia="en-US"/>
    </w:rPr>
  </w:style>
  <w:style w:type="paragraph" w:customStyle="1" w:styleId="p4">
    <w:name w:val="p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18">
    <w:name w:val="p18"/>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13">
    <w:name w:val="p13"/>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38">
    <w:name w:val="p38"/>
    <w:basedOn w:val="Normal"/>
    <w:rsid w:val="00A45EEC"/>
    <w:pPr>
      <w:widowControl w:val="0"/>
      <w:spacing w:line="240" w:lineRule="atLeast"/>
      <w:ind w:left="700" w:hanging="700"/>
    </w:pPr>
    <w:rPr>
      <w:rFonts w:ascii="Chicago" w:hAnsi="Chicago"/>
      <w:snapToGrid w:val="0"/>
      <w:szCs w:val="20"/>
      <w:lang w:val="en-US" w:eastAsia="en-US"/>
    </w:rPr>
  </w:style>
  <w:style w:type="paragraph" w:customStyle="1" w:styleId="p33">
    <w:name w:val="p33"/>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26">
    <w:name w:val="p26"/>
    <w:basedOn w:val="Normal"/>
    <w:rsid w:val="00A45EEC"/>
    <w:pPr>
      <w:widowControl w:val="0"/>
      <w:tabs>
        <w:tab w:val="left" w:pos="0"/>
      </w:tabs>
      <w:spacing w:line="240" w:lineRule="atLeast"/>
      <w:ind w:firstLine="720"/>
    </w:pPr>
    <w:rPr>
      <w:rFonts w:ascii="Chicago" w:hAnsi="Chicago"/>
      <w:snapToGrid w:val="0"/>
      <w:szCs w:val="20"/>
      <w:lang w:val="en-US" w:eastAsia="en-US"/>
    </w:rPr>
  </w:style>
  <w:style w:type="paragraph" w:customStyle="1" w:styleId="p17">
    <w:name w:val="p17"/>
    <w:basedOn w:val="Normal"/>
    <w:rsid w:val="00A45EEC"/>
    <w:pPr>
      <w:widowControl w:val="0"/>
      <w:tabs>
        <w:tab w:val="left" w:pos="720"/>
      </w:tabs>
      <w:spacing w:line="240" w:lineRule="atLeast"/>
      <w:jc w:val="both"/>
    </w:pPr>
    <w:rPr>
      <w:rFonts w:ascii="Chicago" w:hAnsi="Chicago"/>
      <w:snapToGrid w:val="0"/>
      <w:szCs w:val="20"/>
      <w:lang w:val="en-US" w:eastAsia="en-US"/>
    </w:rPr>
  </w:style>
  <w:style w:type="paragraph" w:customStyle="1" w:styleId="p46">
    <w:name w:val="p46"/>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35">
    <w:name w:val="p35"/>
    <w:basedOn w:val="Normal"/>
    <w:rsid w:val="00A45EEC"/>
    <w:pPr>
      <w:widowControl w:val="0"/>
      <w:tabs>
        <w:tab w:val="left" w:pos="720"/>
      </w:tabs>
      <w:spacing w:line="360" w:lineRule="atLeast"/>
    </w:pPr>
    <w:rPr>
      <w:rFonts w:ascii="Chicago" w:hAnsi="Chicago"/>
      <w:snapToGrid w:val="0"/>
      <w:szCs w:val="20"/>
      <w:lang w:val="en-US" w:eastAsia="en-US"/>
    </w:rPr>
  </w:style>
  <w:style w:type="paragraph" w:customStyle="1" w:styleId="p51">
    <w:name w:val="p51"/>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54">
    <w:name w:val="p5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23">
    <w:name w:val="p23"/>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En-ttetitre-chapitre">
    <w:name w:val="En-tête titre-chapitre"/>
    <w:basedOn w:val="Cabealho"/>
    <w:rsid w:val="00A45EEC"/>
    <w:pPr>
      <w:widowControl w:val="0"/>
      <w:pBdr>
        <w:bottom w:val="single" w:sz="18" w:space="4" w:color="auto"/>
      </w:pBdr>
      <w:tabs>
        <w:tab w:val="clear" w:pos="4536"/>
        <w:tab w:val="clear" w:pos="9072"/>
      </w:tabs>
      <w:spacing w:after="0" w:line="240" w:lineRule="auto"/>
      <w:ind w:left="-992" w:right="1134" w:firstLine="851"/>
      <w:jc w:val="right"/>
    </w:pPr>
    <w:rPr>
      <w:rFonts w:ascii="Arial Narrow" w:eastAsia="Times New Roman" w:hAnsi="Arial Narrow"/>
      <w:b/>
      <w:smallCaps/>
      <w:sz w:val="28"/>
    </w:rPr>
  </w:style>
  <w:style w:type="paragraph" w:styleId="Listacommarcas3">
    <w:name w:val="List Bullet 3"/>
    <w:basedOn w:val="Normal"/>
    <w:autoRedefine/>
    <w:semiHidden/>
    <w:rsid w:val="00490E6E"/>
    <w:pPr>
      <w:numPr>
        <w:numId w:val="43"/>
      </w:numPr>
    </w:pPr>
    <w:rPr>
      <w:b/>
    </w:rPr>
  </w:style>
  <w:style w:type="paragraph" w:styleId="Listanumerada2">
    <w:name w:val="List Number 2"/>
    <w:basedOn w:val="Normal"/>
    <w:semiHidden/>
    <w:rsid w:val="00A45EEC"/>
    <w:pPr>
      <w:numPr>
        <w:numId w:val="15"/>
      </w:numPr>
      <w:tabs>
        <w:tab w:val="clear" w:pos="643"/>
        <w:tab w:val="num" w:pos="1080"/>
      </w:tabs>
      <w:spacing w:before="120" w:after="120" w:line="300" w:lineRule="auto"/>
      <w:ind w:left="1080"/>
      <w:jc w:val="both"/>
    </w:pPr>
    <w:rPr>
      <w:rFonts w:ascii="Arial" w:eastAsia="Calibri" w:hAnsi="Arial"/>
      <w:sz w:val="20"/>
      <w:lang w:val="en-GB" w:eastAsia="en-US"/>
    </w:rPr>
  </w:style>
  <w:style w:type="paragraph" w:customStyle="1" w:styleId="AATitre3">
    <w:name w:val="AA Titre 3"/>
    <w:basedOn w:val="Normal"/>
    <w:rsid w:val="00A45EEC"/>
    <w:pPr>
      <w:numPr>
        <w:numId w:val="16"/>
      </w:numPr>
      <w:suppressAutoHyphens/>
      <w:spacing w:before="120" w:after="120"/>
      <w:jc w:val="both"/>
    </w:pPr>
    <w:rPr>
      <w:sz w:val="22"/>
      <w:szCs w:val="20"/>
      <w:lang w:eastAsia="ar-SA"/>
    </w:rPr>
  </w:style>
  <w:style w:type="paragraph" w:customStyle="1" w:styleId="ListAlpha2">
    <w:name w:val="List Alpha 2"/>
    <w:basedOn w:val="Normal"/>
    <w:next w:val="Normal"/>
    <w:rsid w:val="00A45EEC"/>
    <w:pPr>
      <w:numPr>
        <w:ilvl w:val="1"/>
        <w:numId w:val="17"/>
      </w:numPr>
      <w:tabs>
        <w:tab w:val="left" w:pos="50"/>
      </w:tabs>
      <w:spacing w:after="200" w:line="288" w:lineRule="auto"/>
      <w:jc w:val="both"/>
    </w:pPr>
    <w:rPr>
      <w:rFonts w:ascii="CG Times" w:hAnsi="CG Times"/>
      <w:color w:val="000000"/>
      <w:sz w:val="22"/>
      <w:szCs w:val="22"/>
      <w:lang w:val="en-GB"/>
    </w:rPr>
  </w:style>
  <w:style w:type="paragraph" w:customStyle="1" w:styleId="ListAlpha3">
    <w:name w:val="List Alpha 3"/>
    <w:basedOn w:val="Normal"/>
    <w:next w:val="Normal"/>
    <w:rsid w:val="00A45EEC"/>
    <w:pPr>
      <w:numPr>
        <w:numId w:val="17"/>
      </w:numPr>
      <w:tabs>
        <w:tab w:val="left" w:pos="68"/>
      </w:tabs>
      <w:spacing w:after="200" w:line="288" w:lineRule="auto"/>
      <w:jc w:val="both"/>
    </w:pPr>
    <w:rPr>
      <w:rFonts w:ascii="CG Times" w:hAnsi="CG Times"/>
      <w:color w:val="000000"/>
      <w:sz w:val="22"/>
      <w:szCs w:val="22"/>
      <w:lang w:val="en-GB"/>
    </w:rPr>
  </w:style>
  <w:style w:type="paragraph" w:customStyle="1" w:styleId="LISTALPHACAPS2">
    <w:name w:val="LIST ALPHA CAPS 2"/>
    <w:basedOn w:val="Normal"/>
    <w:next w:val="Normal"/>
    <w:rsid w:val="00A45EEC"/>
    <w:pPr>
      <w:numPr>
        <w:ilvl w:val="2"/>
        <w:numId w:val="17"/>
      </w:numPr>
      <w:tabs>
        <w:tab w:val="left" w:pos="50"/>
      </w:tabs>
      <w:spacing w:after="200" w:line="288" w:lineRule="auto"/>
      <w:jc w:val="both"/>
    </w:pPr>
    <w:rPr>
      <w:rFonts w:ascii="CG Times" w:hAnsi="CG Times"/>
      <w:color w:val="000000"/>
      <w:sz w:val="22"/>
      <w:szCs w:val="22"/>
      <w:lang w:val="en-GB"/>
    </w:rPr>
  </w:style>
  <w:style w:type="character" w:customStyle="1" w:styleId="NotedebasdepageCar2">
    <w:name w:val="Note de bas de page Car2"/>
    <w:locked/>
    <w:rsid w:val="00A45EEC"/>
    <w:rPr>
      <w:lang w:val="en-US" w:eastAsia="en-US"/>
    </w:rPr>
  </w:style>
  <w:style w:type="paragraph" w:customStyle="1" w:styleId="Paragraphedeliste2">
    <w:name w:val="Paragraphe de liste2"/>
    <w:basedOn w:val="Normal"/>
    <w:qFormat/>
    <w:rsid w:val="00A45EEC"/>
    <w:pPr>
      <w:ind w:left="720"/>
    </w:pPr>
    <w:rPr>
      <w:lang w:val="en-US" w:eastAsia="en-US"/>
    </w:rPr>
  </w:style>
  <w:style w:type="paragraph" w:customStyle="1" w:styleId="En-ttedetabledesmatires11">
    <w:name w:val="En-tête de table des matières11"/>
    <w:basedOn w:val="Cabealho1"/>
    <w:next w:val="Normal"/>
    <w:unhideWhenUsed/>
    <w:qFormat/>
    <w:rsid w:val="00A45EEC"/>
    <w:pPr>
      <w:keepLines/>
      <w:numPr>
        <w:numId w:val="0"/>
      </w:numPr>
      <w:spacing w:before="480" w:after="0" w:line="276" w:lineRule="auto"/>
      <w:outlineLvl w:val="9"/>
    </w:pPr>
    <w:rPr>
      <w:color w:val="365F91"/>
      <w:kern w:val="0"/>
      <w:sz w:val="28"/>
      <w:szCs w:val="28"/>
      <w:lang w:val="en-US" w:eastAsia="en-US"/>
    </w:rPr>
  </w:style>
  <w:style w:type="paragraph" w:customStyle="1" w:styleId="BodyText21">
    <w:name w:val="Body Text 21"/>
    <w:basedOn w:val="Normal"/>
    <w:rsid w:val="00A45EEC"/>
    <w:rPr>
      <w:kern w:val="24"/>
      <w:sz w:val="22"/>
      <w:szCs w:val="20"/>
      <w:lang w:val="en-US" w:eastAsia="en-US"/>
    </w:rPr>
  </w:style>
  <w:style w:type="paragraph" w:customStyle="1" w:styleId="IanBodytext">
    <w:name w:val="Ian Body text"/>
    <w:basedOn w:val="Normal"/>
    <w:rsid w:val="00A45EEC"/>
    <w:pPr>
      <w:widowControl w:val="0"/>
      <w:tabs>
        <w:tab w:val="left" w:pos="567"/>
        <w:tab w:val="left" w:pos="1134"/>
        <w:tab w:val="left" w:pos="1701"/>
        <w:tab w:val="left" w:pos="2268"/>
        <w:tab w:val="left" w:pos="2835"/>
        <w:tab w:val="right" w:pos="9639"/>
      </w:tabs>
      <w:spacing w:before="120" w:after="120"/>
      <w:jc w:val="both"/>
    </w:pPr>
    <w:rPr>
      <w:rFonts w:ascii="Arial" w:hAnsi="Arial"/>
      <w:sz w:val="22"/>
      <w:lang w:val="en-AU" w:eastAsia="en-US"/>
    </w:rPr>
  </w:style>
  <w:style w:type="paragraph" w:customStyle="1" w:styleId="A1-Heading20">
    <w:name w:val="A1-Heading 2"/>
    <w:basedOn w:val="Cabealho2"/>
    <w:next w:val="Normal"/>
    <w:rsid w:val="00A45EEC"/>
    <w:pPr>
      <w:keepNext w:val="0"/>
      <w:numPr>
        <w:ilvl w:val="0"/>
        <w:numId w:val="0"/>
      </w:numPr>
      <w:spacing w:before="0" w:after="200"/>
      <w:ind w:left="720" w:hanging="720"/>
      <w:contextualSpacing/>
      <w:jc w:val="center"/>
    </w:pPr>
    <w:rPr>
      <w:rFonts w:ascii="Times New Roman" w:hAnsi="Times New Roman"/>
      <w:i w:val="0"/>
      <w:iCs w:val="0"/>
      <w:smallCaps/>
      <w:szCs w:val="24"/>
      <w:lang w:val="en-US" w:eastAsia="en-US"/>
    </w:rPr>
  </w:style>
  <w:style w:type="paragraph" w:customStyle="1" w:styleId="Section2-Heading1">
    <w:name w:val="Section 2 - Heading 1"/>
    <w:basedOn w:val="Normal"/>
    <w:rsid w:val="00A45EEC"/>
    <w:pPr>
      <w:tabs>
        <w:tab w:val="left" w:pos="360"/>
      </w:tabs>
      <w:spacing w:after="200"/>
      <w:ind w:left="360" w:hanging="360"/>
    </w:pPr>
    <w:rPr>
      <w:b/>
      <w:lang w:val="en-GB" w:eastAsia="en-US"/>
    </w:rPr>
  </w:style>
  <w:style w:type="paragraph" w:customStyle="1" w:styleId="Section2-Heading2">
    <w:name w:val="Section 2 - Heading 2"/>
    <w:basedOn w:val="Normal"/>
    <w:rsid w:val="00A45EEC"/>
    <w:pPr>
      <w:spacing w:after="200"/>
      <w:ind w:left="360"/>
    </w:pPr>
    <w:rPr>
      <w:b/>
      <w:lang w:val="en-GB" w:eastAsia="en-US"/>
    </w:rPr>
  </w:style>
  <w:style w:type="paragraph" w:customStyle="1" w:styleId="Section3-Heading2">
    <w:name w:val="Section 3 - Heading 2"/>
    <w:basedOn w:val="Normal"/>
    <w:next w:val="Normal"/>
    <w:rsid w:val="00A45EEC"/>
    <w:pPr>
      <w:spacing w:after="200"/>
      <w:jc w:val="center"/>
    </w:pPr>
    <w:rPr>
      <w:b/>
      <w:sz w:val="28"/>
      <w:lang w:val="en-US" w:eastAsia="en-US"/>
    </w:rPr>
  </w:style>
  <w:style w:type="paragraph" w:customStyle="1" w:styleId="c5">
    <w:name w:val="c5"/>
    <w:basedOn w:val="Normal"/>
    <w:rsid w:val="00A45EEC"/>
    <w:pPr>
      <w:widowControl w:val="0"/>
      <w:spacing w:line="240" w:lineRule="atLeast"/>
      <w:jc w:val="center"/>
    </w:pPr>
    <w:rPr>
      <w:rFonts w:ascii="Chicago" w:hAnsi="Chicago"/>
      <w:snapToGrid w:val="0"/>
      <w:szCs w:val="20"/>
      <w:lang w:val="en-US" w:eastAsia="en-US"/>
    </w:rPr>
  </w:style>
  <w:style w:type="paragraph" w:customStyle="1" w:styleId="p6">
    <w:name w:val="p6"/>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8">
    <w:name w:val="p8"/>
    <w:basedOn w:val="Normal"/>
    <w:rsid w:val="00A45EEC"/>
    <w:pPr>
      <w:widowControl w:val="0"/>
      <w:tabs>
        <w:tab w:val="left" w:pos="0"/>
        <w:tab w:val="left" w:pos="920"/>
      </w:tabs>
      <w:spacing w:line="240" w:lineRule="atLeast"/>
      <w:ind w:left="200" w:firstLine="720"/>
    </w:pPr>
    <w:rPr>
      <w:rFonts w:ascii="Chicago" w:hAnsi="Chicago"/>
      <w:snapToGrid w:val="0"/>
      <w:szCs w:val="20"/>
      <w:lang w:val="en-US" w:eastAsia="en-US"/>
    </w:rPr>
  </w:style>
  <w:style w:type="paragraph" w:customStyle="1" w:styleId="p11">
    <w:name w:val="p11"/>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16">
    <w:name w:val="p16"/>
    <w:basedOn w:val="Normal"/>
    <w:rsid w:val="00A45EEC"/>
    <w:pPr>
      <w:widowControl w:val="0"/>
      <w:tabs>
        <w:tab w:val="left" w:pos="0"/>
      </w:tabs>
      <w:spacing w:line="240" w:lineRule="atLeast"/>
      <w:ind w:firstLine="720"/>
      <w:jc w:val="both"/>
    </w:pPr>
    <w:rPr>
      <w:rFonts w:ascii="Chicago" w:hAnsi="Chicago"/>
      <w:snapToGrid w:val="0"/>
      <w:szCs w:val="20"/>
      <w:lang w:val="en-US" w:eastAsia="en-US"/>
    </w:rPr>
  </w:style>
  <w:style w:type="paragraph" w:customStyle="1" w:styleId="p32">
    <w:name w:val="p32"/>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4">
    <w:name w:val="p3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7">
    <w:name w:val="p37"/>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40">
    <w:name w:val="p40"/>
    <w:basedOn w:val="Normal"/>
    <w:rsid w:val="00A45EEC"/>
    <w:pPr>
      <w:widowControl w:val="0"/>
      <w:tabs>
        <w:tab w:val="left" w:pos="0"/>
      </w:tabs>
      <w:spacing w:line="240" w:lineRule="atLeast"/>
      <w:ind w:left="4160" w:hanging="1780"/>
    </w:pPr>
    <w:rPr>
      <w:rFonts w:ascii="Chicago" w:hAnsi="Chicago"/>
      <w:snapToGrid w:val="0"/>
      <w:szCs w:val="20"/>
      <w:lang w:val="en-US" w:eastAsia="en-US"/>
    </w:rPr>
  </w:style>
  <w:style w:type="paragraph" w:customStyle="1" w:styleId="p42">
    <w:name w:val="p42"/>
    <w:basedOn w:val="Normal"/>
    <w:rsid w:val="00A45EEC"/>
    <w:pPr>
      <w:widowControl w:val="0"/>
      <w:tabs>
        <w:tab w:val="left" w:pos="0"/>
        <w:tab w:val="left" w:pos="900"/>
      </w:tabs>
      <w:spacing w:line="360" w:lineRule="atLeast"/>
      <w:ind w:firstLine="180"/>
    </w:pPr>
    <w:rPr>
      <w:rFonts w:ascii="Chicago" w:hAnsi="Chicago"/>
      <w:snapToGrid w:val="0"/>
      <w:szCs w:val="20"/>
      <w:lang w:val="en-US" w:eastAsia="en-US"/>
    </w:rPr>
  </w:style>
  <w:style w:type="paragraph" w:customStyle="1" w:styleId="p12">
    <w:name w:val="p12"/>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6">
    <w:name w:val="p36"/>
    <w:basedOn w:val="Normal"/>
    <w:rsid w:val="00A45EEC"/>
    <w:pPr>
      <w:widowControl w:val="0"/>
      <w:tabs>
        <w:tab w:val="left" w:pos="720"/>
      </w:tabs>
      <w:spacing w:line="240" w:lineRule="atLeast"/>
      <w:jc w:val="both"/>
    </w:pPr>
    <w:rPr>
      <w:rFonts w:ascii="Chicago" w:hAnsi="Chicago"/>
      <w:snapToGrid w:val="0"/>
      <w:szCs w:val="20"/>
      <w:lang w:val="en-US" w:eastAsia="en-US"/>
    </w:rPr>
  </w:style>
  <w:style w:type="paragraph" w:customStyle="1" w:styleId="p48">
    <w:name w:val="p48"/>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ArialBodyTextCharCharCharChar">
    <w:name w:val="Arial Body Text Char Char Char Char"/>
    <w:basedOn w:val="Normal"/>
    <w:rsid w:val="00A45EEC"/>
    <w:pPr>
      <w:spacing w:before="120" w:after="60"/>
      <w:ind w:left="1418"/>
      <w:jc w:val="both"/>
    </w:pPr>
    <w:rPr>
      <w:rFonts w:ascii="Arial" w:hAnsi="Arial" w:cs="Arial"/>
      <w:sz w:val="22"/>
      <w:szCs w:val="22"/>
      <w:lang w:val="de-DE" w:eastAsia="de-CH"/>
    </w:rPr>
  </w:style>
  <w:style w:type="paragraph" w:customStyle="1" w:styleId="MainParanoChapter">
    <w:name w:val="Main Para no Chapter #"/>
    <w:basedOn w:val="Normal"/>
    <w:rsid w:val="00A45EEC"/>
    <w:pPr>
      <w:numPr>
        <w:ilvl w:val="1"/>
        <w:numId w:val="18"/>
      </w:numPr>
      <w:spacing w:after="240"/>
      <w:outlineLvl w:val="1"/>
    </w:pPr>
    <w:rPr>
      <w:lang w:val="en-US" w:eastAsia="en-US"/>
    </w:rPr>
  </w:style>
  <w:style w:type="paragraph" w:customStyle="1" w:styleId="Sub-Para1underX">
    <w:name w:val="Sub-Para 1 under X."/>
    <w:basedOn w:val="Normal"/>
    <w:rsid w:val="00A45EEC"/>
    <w:pPr>
      <w:numPr>
        <w:ilvl w:val="2"/>
        <w:numId w:val="20"/>
      </w:numPr>
      <w:spacing w:after="240"/>
      <w:outlineLvl w:val="2"/>
    </w:pPr>
    <w:rPr>
      <w:lang w:val="en-US" w:eastAsia="en-US"/>
    </w:rPr>
  </w:style>
  <w:style w:type="paragraph" w:customStyle="1" w:styleId="Sub-Para2underX">
    <w:name w:val="Sub-Para 2 under X."/>
    <w:basedOn w:val="Normal"/>
    <w:rsid w:val="00A45EEC"/>
    <w:pPr>
      <w:numPr>
        <w:ilvl w:val="3"/>
        <w:numId w:val="20"/>
      </w:numPr>
      <w:spacing w:after="240"/>
      <w:outlineLvl w:val="3"/>
    </w:pPr>
    <w:rPr>
      <w:lang w:val="en-US" w:eastAsia="en-US"/>
    </w:rPr>
  </w:style>
  <w:style w:type="paragraph" w:customStyle="1" w:styleId="Sub-Para3underX">
    <w:name w:val="Sub-Para 3 under X."/>
    <w:basedOn w:val="Normal"/>
    <w:rsid w:val="00A45EEC"/>
    <w:pPr>
      <w:numPr>
        <w:ilvl w:val="4"/>
        <w:numId w:val="20"/>
      </w:numPr>
      <w:spacing w:after="240"/>
      <w:outlineLvl w:val="4"/>
    </w:pPr>
    <w:rPr>
      <w:lang w:val="en-US" w:eastAsia="en-US"/>
    </w:rPr>
  </w:style>
  <w:style w:type="paragraph" w:customStyle="1" w:styleId="Sub-Para4underX">
    <w:name w:val="Sub-Para 4 under X."/>
    <w:basedOn w:val="Normal"/>
    <w:rsid w:val="00A45EEC"/>
    <w:pPr>
      <w:numPr>
        <w:ilvl w:val="5"/>
        <w:numId w:val="20"/>
      </w:numPr>
      <w:spacing w:after="240"/>
      <w:outlineLvl w:val="5"/>
    </w:pPr>
    <w:rPr>
      <w:lang w:val="en-US" w:eastAsia="en-US"/>
    </w:rPr>
  </w:style>
  <w:style w:type="paragraph" w:customStyle="1" w:styleId="StyleMainParanoChapter11ptBold">
    <w:name w:val="Style Main Para no Chapter # + 11 pt Bold"/>
    <w:basedOn w:val="MainParanoChapter"/>
    <w:rsid w:val="00A45EEC"/>
    <w:pPr>
      <w:numPr>
        <w:ilvl w:val="0"/>
        <w:numId w:val="20"/>
      </w:numPr>
      <w:tabs>
        <w:tab w:val="clear" w:pos="360"/>
        <w:tab w:val="num" w:pos="1440"/>
      </w:tabs>
      <w:ind w:left="720" w:hanging="720"/>
    </w:pPr>
    <w:rPr>
      <w:b/>
      <w:bCs/>
      <w:spacing w:val="-2"/>
      <w:sz w:val="22"/>
    </w:rPr>
  </w:style>
  <w:style w:type="paragraph" w:customStyle="1" w:styleId="ModelNrmlSingle">
    <w:name w:val="ModelNrmlSingle"/>
    <w:basedOn w:val="Normal"/>
    <w:rsid w:val="00A45EEC"/>
    <w:pPr>
      <w:spacing w:after="240"/>
      <w:ind w:firstLine="720"/>
      <w:jc w:val="both"/>
    </w:pPr>
    <w:rPr>
      <w:sz w:val="22"/>
      <w:szCs w:val="20"/>
      <w:lang w:val="en-US" w:eastAsia="en-US"/>
    </w:rPr>
  </w:style>
  <w:style w:type="paragraph" w:customStyle="1" w:styleId="Paragraphedeliste11">
    <w:name w:val="Paragraphe de liste11"/>
    <w:basedOn w:val="Normal"/>
    <w:qFormat/>
    <w:rsid w:val="00A45EEC"/>
    <w:pPr>
      <w:ind w:left="720"/>
    </w:pPr>
  </w:style>
  <w:style w:type="paragraph" w:customStyle="1" w:styleId="Bullet">
    <w:name w:val="Bullet"/>
    <w:basedOn w:val="Normal"/>
    <w:rsid w:val="00A45EEC"/>
    <w:pPr>
      <w:numPr>
        <w:numId w:val="19"/>
      </w:numPr>
    </w:pPr>
    <w:rPr>
      <w:lang w:val="fr-CA"/>
    </w:rPr>
  </w:style>
  <w:style w:type="paragraph" w:customStyle="1" w:styleId="ParaWB">
    <w:name w:val="Para WB"/>
    <w:basedOn w:val="Normal"/>
    <w:rsid w:val="00A45EEC"/>
    <w:pPr>
      <w:numPr>
        <w:numId w:val="8"/>
      </w:numPr>
      <w:spacing w:before="120" w:after="120"/>
      <w:jc w:val="both"/>
    </w:pPr>
  </w:style>
  <w:style w:type="paragraph" w:styleId="ndiceremissivo1">
    <w:name w:val="index 1"/>
    <w:basedOn w:val="Normal"/>
    <w:next w:val="Normal"/>
    <w:autoRedefine/>
    <w:semiHidden/>
    <w:rsid w:val="00A45EEC"/>
    <w:pPr>
      <w:numPr>
        <w:numId w:val="10"/>
      </w:numPr>
      <w:ind w:left="1980" w:hanging="540"/>
      <w:jc w:val="both"/>
    </w:pPr>
  </w:style>
  <w:style w:type="paragraph" w:customStyle="1" w:styleId="Outline4">
    <w:name w:val="Outline4"/>
    <w:basedOn w:val="Normal"/>
    <w:rsid w:val="00A45EEC"/>
    <w:pPr>
      <w:numPr>
        <w:ilvl w:val="3"/>
        <w:numId w:val="9"/>
      </w:numPr>
      <w:tabs>
        <w:tab w:val="num" w:pos="1872"/>
      </w:tabs>
      <w:spacing w:before="240"/>
      <w:ind w:left="1872" w:hanging="504"/>
    </w:pPr>
    <w:rPr>
      <w:kern w:val="28"/>
      <w:lang w:val="en-US"/>
    </w:rPr>
  </w:style>
  <w:style w:type="paragraph" w:customStyle="1" w:styleId="titre4">
    <w:name w:val="titre 4"/>
    <w:basedOn w:val="Normal"/>
    <w:autoRedefine/>
    <w:rsid w:val="00A45EEC"/>
    <w:pPr>
      <w:numPr>
        <w:ilvl w:val="2"/>
        <w:numId w:val="12"/>
      </w:numPr>
      <w:spacing w:before="120" w:after="120"/>
      <w:jc w:val="both"/>
    </w:pPr>
    <w:rPr>
      <w:rFonts w:ascii="Century Schoolbook" w:hAnsi="Century Schoolbook"/>
      <w:b/>
      <w:bCs/>
    </w:rPr>
  </w:style>
  <w:style w:type="paragraph" w:customStyle="1" w:styleId="Outline1">
    <w:name w:val="Outline1"/>
    <w:basedOn w:val="Outline"/>
    <w:next w:val="Outline2"/>
    <w:rsid w:val="00A45EEC"/>
    <w:pPr>
      <w:keepNext/>
    </w:pPr>
    <w:rPr>
      <w:sz w:val="22"/>
      <w:szCs w:val="22"/>
      <w:lang w:val="fr-CA" w:eastAsia="fr-FR"/>
    </w:rPr>
  </w:style>
  <w:style w:type="paragraph" w:customStyle="1" w:styleId="Outline2">
    <w:name w:val="Outline2"/>
    <w:basedOn w:val="Normal"/>
    <w:rsid w:val="00A45EEC"/>
    <w:pPr>
      <w:numPr>
        <w:ilvl w:val="1"/>
        <w:numId w:val="9"/>
      </w:numPr>
      <w:tabs>
        <w:tab w:val="clear" w:pos="1080"/>
        <w:tab w:val="num" w:pos="864"/>
      </w:tabs>
      <w:spacing w:before="240"/>
      <w:ind w:left="864" w:hanging="504"/>
    </w:pPr>
    <w:rPr>
      <w:kern w:val="28"/>
      <w:sz w:val="22"/>
      <w:szCs w:val="22"/>
      <w:lang w:val="fr-CA"/>
    </w:rPr>
  </w:style>
  <w:style w:type="paragraph" w:customStyle="1" w:styleId="Outline3">
    <w:name w:val="Outline3"/>
    <w:basedOn w:val="Normal"/>
    <w:rsid w:val="00A45EEC"/>
    <w:pPr>
      <w:numPr>
        <w:ilvl w:val="2"/>
        <w:numId w:val="9"/>
      </w:numPr>
      <w:tabs>
        <w:tab w:val="num" w:pos="1368"/>
      </w:tabs>
      <w:spacing w:before="240"/>
      <w:ind w:left="1368" w:hanging="504"/>
    </w:pPr>
    <w:rPr>
      <w:kern w:val="28"/>
      <w:sz w:val="22"/>
      <w:szCs w:val="22"/>
      <w:lang w:val="fr-CA"/>
    </w:rPr>
  </w:style>
  <w:style w:type="paragraph" w:customStyle="1" w:styleId="TextBox">
    <w:name w:val="Text Box"/>
    <w:basedOn w:val="Normal"/>
    <w:rsid w:val="00A45EEC"/>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sz w:val="20"/>
      <w:szCs w:val="20"/>
      <w:lang w:eastAsia="en-US"/>
    </w:rPr>
  </w:style>
  <w:style w:type="paragraph" w:customStyle="1" w:styleId="TextBoxdots">
    <w:name w:val="Text Box (dots)"/>
    <w:basedOn w:val="Normal"/>
    <w:rsid w:val="00A45EEC"/>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szCs w:val="20"/>
      <w:lang w:eastAsia="en-US"/>
    </w:rPr>
  </w:style>
  <w:style w:type="paragraph" w:customStyle="1" w:styleId="TextBoxUnframed">
    <w:name w:val="Text Box Unframed"/>
    <w:basedOn w:val="Normal"/>
    <w:rsid w:val="00A45EEC"/>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character" w:customStyle="1" w:styleId="TextodemacroCarcter">
    <w:name w:val="Texto de macro Carácter"/>
    <w:basedOn w:val="Tipodeletrapredefinidodopargrafo"/>
    <w:link w:val="Textodemacro"/>
    <w:semiHidden/>
    <w:rsid w:val="00A45EEC"/>
    <w:rPr>
      <w:rFonts w:ascii="Times New Roman" w:eastAsia="Times New Roman" w:hAnsi="Times New Roman" w:cs="Times New Roman"/>
      <w:sz w:val="24"/>
      <w:szCs w:val="20"/>
      <w:lang w:val="en-US"/>
    </w:rPr>
  </w:style>
  <w:style w:type="paragraph" w:styleId="Textodemacro">
    <w:name w:val="macro"/>
    <w:link w:val="TextodemacroCarcter"/>
    <w:semiHidden/>
    <w:rsid w:val="00A45EE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0"/>
      <w:lang w:val="en-US"/>
    </w:rPr>
  </w:style>
  <w:style w:type="character" w:customStyle="1" w:styleId="TextedemacroCar1">
    <w:name w:val="Texte de macro Car1"/>
    <w:basedOn w:val="Tipodeletrapredefinidodopargrafo"/>
    <w:uiPriority w:val="99"/>
    <w:semiHidden/>
    <w:rsid w:val="00A45EEC"/>
    <w:rPr>
      <w:rFonts w:ascii="Consolas" w:eastAsia="Times New Roman" w:hAnsi="Consolas" w:cs="Times New Roman"/>
      <w:sz w:val="20"/>
      <w:szCs w:val="20"/>
      <w:lang w:eastAsia="fr-FR"/>
    </w:rPr>
  </w:style>
  <w:style w:type="paragraph" w:customStyle="1" w:styleId="BoxCaption">
    <w:name w:val="Box Caption"/>
    <w:basedOn w:val="TextBox"/>
    <w:rsid w:val="00A45EEC"/>
    <w:pPr>
      <w:framePr w:wrap="auto"/>
    </w:pPr>
    <w:rPr>
      <w:rFonts w:ascii="Arial" w:hAnsi="Arial"/>
      <w:b/>
    </w:rPr>
  </w:style>
  <w:style w:type="paragraph" w:customStyle="1" w:styleId="CaptionBox">
    <w:name w:val="Caption Box"/>
    <w:basedOn w:val="BoxCaption"/>
    <w:rsid w:val="00A45EEC"/>
    <w:pPr>
      <w:framePr w:wrap="auto"/>
    </w:pPr>
  </w:style>
  <w:style w:type="paragraph" w:customStyle="1" w:styleId="TextBoxIndent">
    <w:name w:val="Text Box Indent"/>
    <w:basedOn w:val="TextBox"/>
    <w:rsid w:val="00A45EEC"/>
    <w:pPr>
      <w:framePr w:wrap="auto"/>
      <w:tabs>
        <w:tab w:val="left" w:pos="630"/>
      </w:tabs>
      <w:ind w:left="1080" w:hanging="792"/>
    </w:pPr>
  </w:style>
  <w:style w:type="character" w:customStyle="1" w:styleId="NotedebasdepageCar1">
    <w:name w:val="Note de bas de page Car1"/>
    <w:basedOn w:val="Tipodeletrapredefinidodopargrafo"/>
    <w:uiPriority w:val="99"/>
    <w:rsid w:val="00A45EEC"/>
    <w:rPr>
      <w:rFonts w:ascii="Times New Roman" w:eastAsia="Times New Roman" w:hAnsi="Times New Roman" w:cs="Times New Roman"/>
      <w:sz w:val="20"/>
      <w:szCs w:val="20"/>
    </w:rPr>
  </w:style>
  <w:style w:type="character" w:customStyle="1" w:styleId="CorpsdetexteCar1">
    <w:name w:val="Corps de texte Car1"/>
    <w:aliases w:val="Corps de texte Car Car Car Car1,Corps de texte Car Car Car Car Car Car1"/>
    <w:rsid w:val="00A45EEC"/>
    <w:rPr>
      <w:rFonts w:ascii="Times New Roman" w:eastAsia="Times New Roman" w:hAnsi="Times New Roman" w:cs="Times New Roman"/>
      <w:sz w:val="24"/>
      <w:szCs w:val="20"/>
    </w:rPr>
  </w:style>
  <w:style w:type="paragraph" w:customStyle="1" w:styleId="BodyText31">
    <w:name w:val="Body Text 31"/>
    <w:basedOn w:val="Normal"/>
    <w:rsid w:val="00A45EEC"/>
    <w:pPr>
      <w:suppressAutoHyphens/>
      <w:overflowPunct w:val="0"/>
      <w:autoSpaceDE w:val="0"/>
      <w:autoSpaceDN w:val="0"/>
      <w:adjustRightInd w:val="0"/>
      <w:spacing w:line="100" w:lineRule="atLeast"/>
      <w:jc w:val="both"/>
      <w:textAlignment w:val="baseline"/>
    </w:pPr>
    <w:rPr>
      <w:rFonts w:ascii="Arial" w:eastAsia="Calibri" w:hAnsi="Arial"/>
      <w:kern w:val="1"/>
      <w:szCs w:val="20"/>
    </w:rPr>
  </w:style>
  <w:style w:type="paragraph" w:customStyle="1" w:styleId="western">
    <w:name w:val="western"/>
    <w:basedOn w:val="Normal"/>
    <w:rsid w:val="00A45EEC"/>
    <w:pPr>
      <w:spacing w:before="100" w:beforeAutospacing="1"/>
      <w:jc w:val="both"/>
    </w:pPr>
    <w:rPr>
      <w:rFonts w:ascii="Arial" w:eastAsia="Arial Unicode MS" w:hAnsi="Arial" w:cs="Arial"/>
      <w:color w:val="000000"/>
    </w:rPr>
  </w:style>
  <w:style w:type="character" w:customStyle="1" w:styleId="hps">
    <w:name w:val="hps"/>
    <w:rsid w:val="00A45EEC"/>
  </w:style>
  <w:style w:type="character" w:customStyle="1" w:styleId="atn">
    <w:name w:val="atn"/>
    <w:rsid w:val="00A45EEC"/>
  </w:style>
  <w:style w:type="paragraph" w:customStyle="1" w:styleId="pabid7">
    <w:name w:val="pabid7"/>
    <w:basedOn w:val="Normal"/>
    <w:rsid w:val="00A45EEC"/>
    <w:pPr>
      <w:spacing w:before="100" w:beforeAutospacing="1" w:after="100" w:afterAutospacing="1"/>
    </w:pPr>
    <w:rPr>
      <w:lang w:val="en-US" w:eastAsia="en-US"/>
    </w:rPr>
  </w:style>
  <w:style w:type="character" w:customStyle="1" w:styleId="Titre2Car1">
    <w:name w:val="Titre 2 Car1"/>
    <w:aliases w:val="Paranum Car,Chpt Car,Titolo 2 Car,alec2 Car,STitre 2 Car1,an_Über 2 Car1,Titre secondaire (2) Car1,sous-chapitre Car1,Tend_Überschrift 2 Car1,Titre 2 tamarins Car1,Titre Article Car1,Titre 22 Car1,Kiyombo T2 Car1"/>
    <w:rsid w:val="00A45EEC"/>
    <w:rPr>
      <w:rFonts w:ascii="Times New Roman" w:eastAsia="Times New Roman" w:hAnsi="Times New Roman" w:cs="Times New Roman"/>
      <w:b/>
      <w:sz w:val="24"/>
      <w:szCs w:val="24"/>
      <w:lang w:val="en-GB"/>
    </w:rPr>
  </w:style>
  <w:style w:type="character" w:customStyle="1" w:styleId="Titre6Car1">
    <w:name w:val="Titre 6 Car1"/>
    <w:rsid w:val="00A45EEC"/>
    <w:rPr>
      <w:rFonts w:ascii="Times New Roman" w:eastAsia="Times New Roman" w:hAnsi="Times New Roman" w:cs="Times New Roman"/>
      <w:b/>
      <w:smallCaps/>
      <w:sz w:val="24"/>
      <w:szCs w:val="24"/>
    </w:rPr>
  </w:style>
  <w:style w:type="character" w:customStyle="1" w:styleId="En-tteCar1">
    <w:name w:val="En-tête Car1"/>
    <w:aliases w:val="Kopfzeile Char Char Car1, Char Char Char Car1"/>
    <w:locked/>
    <w:rsid w:val="00A45EEC"/>
    <w:rPr>
      <w:rFonts w:ascii="Times New Roman" w:eastAsia="Times New Roman" w:hAnsi="Times New Roman" w:cs="Times New Roman"/>
      <w:sz w:val="20"/>
      <w:szCs w:val="20"/>
    </w:rPr>
  </w:style>
  <w:style w:type="character" w:customStyle="1" w:styleId="Titre1Car1">
    <w:name w:val="Titre 1 Car1"/>
    <w:aliases w:val=" Main Heading Car,Main Heading Car,TCI 1.  Heading Car,Main Heading 1 Car,Heading 11 Car2,Heading 11 Car Car1,Titre 11 Car1,An_Über 1 Car1,TITRE 1 + Droite :  8 Car1,5 cm Car1,Avant : 25 pt Car1,Après : 12 pt Car1,Haut: (Simp... Car1"/>
    <w:rsid w:val="00A45EEC"/>
    <w:rPr>
      <w:rFonts w:ascii="Times New Roman Bold" w:eastAsia="Times New Roman" w:hAnsi="Times New Roman Bold" w:cs="Times New Roman"/>
      <w:b/>
      <w:sz w:val="32"/>
      <w:szCs w:val="20"/>
    </w:rPr>
  </w:style>
  <w:style w:type="character" w:customStyle="1" w:styleId="Sous-titreCar1">
    <w:name w:val="Sous-titre Car1"/>
    <w:rsid w:val="00A45EEC"/>
    <w:rPr>
      <w:rFonts w:eastAsia="Times New Roman"/>
      <w:sz w:val="24"/>
      <w:szCs w:val="24"/>
    </w:rPr>
  </w:style>
  <w:style w:type="character" w:customStyle="1" w:styleId="PieddepageCar1">
    <w:name w:val="Pied de page Car1"/>
    <w:uiPriority w:val="99"/>
    <w:rsid w:val="00A45EEC"/>
    <w:rPr>
      <w:rFonts w:ascii="Times New Roman" w:eastAsia="Times New Roman" w:hAnsi="Times New Roman" w:cs="Times New Roman"/>
      <w:sz w:val="24"/>
      <w:szCs w:val="20"/>
    </w:rPr>
  </w:style>
  <w:style w:type="paragraph" w:customStyle="1" w:styleId="Style1">
    <w:name w:val="Style1"/>
    <w:basedOn w:val="Cabealho1"/>
    <w:link w:val="Style1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1Char">
    <w:name w:val="Style1 Char"/>
    <w:basedOn w:val="Titre1Car1"/>
    <w:link w:val="Style1"/>
    <w:rsid w:val="00A45EEC"/>
    <w:rPr>
      <w:rFonts w:ascii="Times New Roman Bold" w:eastAsia="Times New Roman" w:hAnsi="Times New Roman Bold" w:cs="Times New Roman"/>
      <w:b/>
      <w:sz w:val="32"/>
      <w:szCs w:val="20"/>
    </w:rPr>
  </w:style>
  <w:style w:type="paragraph" w:customStyle="1" w:styleId="Style2">
    <w:name w:val="Style2"/>
    <w:basedOn w:val="Cabealho1"/>
    <w:link w:val="Style2Char"/>
    <w:qFormat/>
    <w:rsid w:val="00A45EEC"/>
    <w:pPr>
      <w:keepLines/>
      <w:numPr>
        <w:numId w:val="0"/>
      </w:numPr>
      <w:spacing w:after="240"/>
      <w:jc w:val="center"/>
    </w:pPr>
    <w:rPr>
      <w:rFonts w:ascii="Times New Roman Bold" w:hAnsi="Times New Roman Bold"/>
      <w:bCs w:val="0"/>
      <w:kern w:val="0"/>
      <w:sz w:val="28"/>
      <w:szCs w:val="28"/>
      <w:lang w:eastAsia="en-US"/>
    </w:rPr>
  </w:style>
  <w:style w:type="character" w:customStyle="1" w:styleId="Style2Char">
    <w:name w:val="Style2 Char"/>
    <w:link w:val="Style2"/>
    <w:rsid w:val="00A45EEC"/>
    <w:rPr>
      <w:rFonts w:ascii="Times New Roman Bold" w:eastAsia="Times New Roman" w:hAnsi="Times New Roman Bold" w:cs="Times New Roman"/>
      <w:b/>
      <w:sz w:val="28"/>
      <w:szCs w:val="28"/>
    </w:rPr>
  </w:style>
  <w:style w:type="paragraph" w:customStyle="1" w:styleId="Style3">
    <w:name w:val="Style3"/>
    <w:basedOn w:val="Cabealho6"/>
    <w:link w:val="Style3Char"/>
    <w:qFormat/>
    <w:rsid w:val="00A45EEC"/>
    <w:pPr>
      <w:keepNext w:val="0"/>
      <w:keepLines w:val="0"/>
      <w:numPr>
        <w:ilvl w:val="0"/>
        <w:numId w:val="0"/>
      </w:numPr>
      <w:spacing w:before="0" w:line="240" w:lineRule="auto"/>
      <w:ind w:left="1080" w:hanging="1080"/>
      <w:jc w:val="center"/>
    </w:pPr>
    <w:rPr>
      <w:rFonts w:ascii="Times New Roman" w:eastAsia="Times New Roman" w:hAnsi="Times New Roman"/>
      <w:b/>
      <w:i w:val="0"/>
      <w:iCs w:val="0"/>
      <w:smallCaps/>
      <w:color w:val="auto"/>
      <w:sz w:val="24"/>
      <w:szCs w:val="24"/>
      <w:lang w:eastAsia="en-US"/>
    </w:rPr>
  </w:style>
  <w:style w:type="character" w:customStyle="1" w:styleId="Style3Char">
    <w:name w:val="Style3 Char"/>
    <w:basedOn w:val="Titre6Car1"/>
    <w:link w:val="Style3"/>
    <w:rsid w:val="00A45EEC"/>
    <w:rPr>
      <w:rFonts w:ascii="Times New Roman" w:eastAsia="Times New Roman" w:hAnsi="Times New Roman" w:cs="Times New Roman"/>
      <w:b/>
      <w:smallCaps/>
      <w:sz w:val="24"/>
      <w:szCs w:val="24"/>
    </w:rPr>
  </w:style>
  <w:style w:type="paragraph" w:customStyle="1" w:styleId="Style4">
    <w:name w:val="Style4"/>
    <w:basedOn w:val="Cabealho1"/>
    <w:link w:val="Style4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4Char">
    <w:name w:val="Style4 Char"/>
    <w:basedOn w:val="Titre1Car1"/>
    <w:link w:val="Style4"/>
    <w:rsid w:val="00A45EEC"/>
    <w:rPr>
      <w:rFonts w:ascii="Times New Roman Bold" w:eastAsia="Times New Roman" w:hAnsi="Times New Roman Bold" w:cs="Times New Roman"/>
      <w:b/>
      <w:sz w:val="32"/>
      <w:szCs w:val="20"/>
    </w:rPr>
  </w:style>
  <w:style w:type="paragraph" w:customStyle="1" w:styleId="Style5">
    <w:name w:val="Style5"/>
    <w:basedOn w:val="Cabealho1"/>
    <w:link w:val="Style5Char"/>
    <w:qFormat/>
    <w:rsid w:val="00A45EEC"/>
    <w:pPr>
      <w:keepLines/>
      <w:numPr>
        <w:numId w:val="14"/>
      </w:numPr>
      <w:spacing w:after="240"/>
      <w:jc w:val="center"/>
    </w:pPr>
    <w:rPr>
      <w:rFonts w:ascii="Times New Roman Bold" w:hAnsi="Times New Roman Bold"/>
      <w:bCs w:val="0"/>
      <w:kern w:val="0"/>
      <w:szCs w:val="20"/>
      <w:lang w:eastAsia="en-US"/>
    </w:rPr>
  </w:style>
  <w:style w:type="character" w:customStyle="1" w:styleId="Style5Char">
    <w:name w:val="Style5 Char"/>
    <w:basedOn w:val="Titre1Car1"/>
    <w:link w:val="Style5"/>
    <w:rsid w:val="00A45EEC"/>
    <w:rPr>
      <w:rFonts w:ascii="Times New Roman Bold" w:eastAsia="Times New Roman" w:hAnsi="Times New Roman Bold" w:cs="Times New Roman"/>
      <w:b/>
      <w:sz w:val="32"/>
      <w:szCs w:val="20"/>
    </w:rPr>
  </w:style>
  <w:style w:type="paragraph" w:customStyle="1" w:styleId="Style6">
    <w:name w:val="Style6"/>
    <w:basedOn w:val="Cabealho1"/>
    <w:link w:val="Style6Char"/>
    <w:qFormat/>
    <w:rsid w:val="00A45EEC"/>
    <w:pPr>
      <w:keepLines/>
      <w:numPr>
        <w:numId w:val="0"/>
      </w:numPr>
      <w:spacing w:after="240"/>
      <w:jc w:val="center"/>
    </w:pPr>
    <w:rPr>
      <w:rFonts w:ascii="Times New Roman Bold" w:hAnsi="Times New Roman Bold"/>
      <w:bCs w:val="0"/>
      <w:smallCaps/>
      <w:kern w:val="0"/>
      <w:sz w:val="28"/>
      <w:szCs w:val="28"/>
      <w:lang w:eastAsia="en-US"/>
    </w:rPr>
  </w:style>
  <w:style w:type="character" w:customStyle="1" w:styleId="Style6Char">
    <w:name w:val="Style6 Char"/>
    <w:link w:val="Style6"/>
    <w:rsid w:val="00A45EEC"/>
    <w:rPr>
      <w:rFonts w:ascii="Times New Roman Bold" w:eastAsia="Times New Roman" w:hAnsi="Times New Roman Bold" w:cs="Times New Roman"/>
      <w:b/>
      <w:smallCaps/>
      <w:sz w:val="28"/>
      <w:szCs w:val="28"/>
    </w:rPr>
  </w:style>
  <w:style w:type="paragraph" w:customStyle="1" w:styleId="Style7">
    <w:name w:val="Style7"/>
    <w:basedOn w:val="Cabealho3"/>
    <w:link w:val="Style7Char"/>
    <w:qFormat/>
    <w:rsid w:val="00A45EEC"/>
    <w:pPr>
      <w:keepNext w:val="0"/>
      <w:numPr>
        <w:ilvl w:val="0"/>
        <w:numId w:val="0"/>
      </w:numPr>
      <w:spacing w:before="0" w:after="200"/>
      <w:ind w:left="720" w:hanging="360"/>
      <w:contextualSpacing/>
    </w:pPr>
    <w:rPr>
      <w:rFonts w:ascii="Times New Roman" w:hAnsi="Times New Roman"/>
      <w:bCs w:val="0"/>
      <w:sz w:val="24"/>
      <w:szCs w:val="24"/>
      <w:lang w:val="en-GB" w:eastAsia="en-US"/>
    </w:rPr>
  </w:style>
  <w:style w:type="character" w:customStyle="1" w:styleId="Style7Char">
    <w:name w:val="Style7 Char"/>
    <w:basedOn w:val="Titre3Car1"/>
    <w:link w:val="Style7"/>
    <w:rsid w:val="00A45EEC"/>
    <w:rPr>
      <w:rFonts w:ascii="Times New Roman" w:eastAsia="Times New Roman" w:hAnsi="Times New Roman" w:cs="Times New Roman"/>
      <w:b/>
      <w:sz w:val="24"/>
      <w:szCs w:val="24"/>
      <w:lang w:val="en-GB"/>
    </w:rPr>
  </w:style>
  <w:style w:type="character" w:customStyle="1" w:styleId="Titre3Car1">
    <w:name w:val="Titre 3 Car1"/>
    <w:aliases w:val="Centered Car, Centered Car,Titolo 3 Car,Heading 3 (BM revised) Car,centered Car,Titre 3 Car Car Car Car Car Car Car Car Car Car Car Car Car Car Car Car Car Car Car Car Car Car Car Car Car Car Car1,an_Über 3 Car1,an_Über 3 Car Car Car1"/>
    <w:rsid w:val="00A45EEC"/>
    <w:rPr>
      <w:rFonts w:ascii="Times New Roman" w:eastAsia="Times New Roman" w:hAnsi="Times New Roman" w:cs="Times New Roman"/>
      <w:b/>
      <w:sz w:val="24"/>
      <w:szCs w:val="24"/>
      <w:lang w:val="en-GB"/>
    </w:rPr>
  </w:style>
  <w:style w:type="paragraph" w:customStyle="1" w:styleId="Style8">
    <w:name w:val="Style8"/>
    <w:basedOn w:val="Cabealho1"/>
    <w:link w:val="Style8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8Char">
    <w:name w:val="Style8 Char"/>
    <w:basedOn w:val="Titre1Car1"/>
    <w:link w:val="Style8"/>
    <w:rsid w:val="00A45EEC"/>
    <w:rPr>
      <w:rFonts w:ascii="Times New Roman Bold" w:eastAsia="Times New Roman" w:hAnsi="Times New Roman Bold" w:cs="Times New Roman"/>
      <w:b/>
      <w:sz w:val="32"/>
      <w:szCs w:val="20"/>
    </w:rPr>
  </w:style>
  <w:style w:type="character" w:customStyle="1" w:styleId="ParagraphedelisteChar">
    <w:name w:val="Paragraphe de liste Char"/>
    <w:rsid w:val="00A45EEC"/>
    <w:rPr>
      <w:rFonts w:ascii="Times New Roman" w:eastAsia="Times New Roman" w:hAnsi="Times New Roman" w:cs="Times New Roman"/>
      <w:sz w:val="24"/>
      <w:szCs w:val="24"/>
    </w:rPr>
  </w:style>
  <w:style w:type="paragraph" w:customStyle="1" w:styleId="Style9">
    <w:name w:val="Style9"/>
    <w:basedOn w:val="Cabealho1"/>
    <w:link w:val="Style9Char"/>
    <w:qFormat/>
    <w:rsid w:val="00A45EEC"/>
    <w:pPr>
      <w:keepLines/>
      <w:numPr>
        <w:numId w:val="21"/>
      </w:numPr>
      <w:spacing w:after="240"/>
      <w:jc w:val="center"/>
    </w:pPr>
    <w:rPr>
      <w:rFonts w:ascii="Times New Roman Bold" w:hAnsi="Times New Roman Bold"/>
      <w:bCs w:val="0"/>
      <w:kern w:val="0"/>
      <w:szCs w:val="20"/>
      <w:lang w:eastAsia="en-US"/>
    </w:rPr>
  </w:style>
  <w:style w:type="character" w:customStyle="1" w:styleId="Style9Char">
    <w:name w:val="Style9 Char"/>
    <w:basedOn w:val="Titre1Car1"/>
    <w:link w:val="Style9"/>
    <w:rsid w:val="00A45EEC"/>
    <w:rPr>
      <w:rFonts w:ascii="Times New Roman Bold" w:eastAsia="Times New Roman" w:hAnsi="Times New Roman Bold" w:cs="Times New Roman"/>
      <w:b/>
      <w:sz w:val="32"/>
      <w:szCs w:val="20"/>
    </w:rPr>
  </w:style>
  <w:style w:type="paragraph" w:customStyle="1" w:styleId="Style10">
    <w:name w:val="Style10"/>
    <w:basedOn w:val="Cabealho1"/>
    <w:link w:val="Style10Char"/>
    <w:qFormat/>
    <w:rsid w:val="00A45EEC"/>
    <w:pPr>
      <w:keepLines/>
      <w:numPr>
        <w:numId w:val="0"/>
      </w:numPr>
      <w:spacing w:after="240"/>
      <w:jc w:val="center"/>
    </w:pPr>
    <w:rPr>
      <w:rFonts w:ascii="Times New Roman Bold" w:hAnsi="Times New Roman Bold"/>
      <w:bCs w:val="0"/>
      <w:smallCaps/>
      <w:kern w:val="0"/>
      <w:sz w:val="28"/>
      <w:szCs w:val="28"/>
      <w:lang w:eastAsia="en-US"/>
    </w:rPr>
  </w:style>
  <w:style w:type="character" w:customStyle="1" w:styleId="Style10Char">
    <w:name w:val="Style10 Char"/>
    <w:link w:val="Style10"/>
    <w:rsid w:val="00A45EEC"/>
    <w:rPr>
      <w:rFonts w:ascii="Times New Roman Bold" w:eastAsia="Times New Roman" w:hAnsi="Times New Roman Bold" w:cs="Times New Roman"/>
      <w:b/>
      <w:smallCaps/>
      <w:sz w:val="28"/>
      <w:szCs w:val="28"/>
    </w:rPr>
  </w:style>
  <w:style w:type="paragraph" w:customStyle="1" w:styleId="Style11">
    <w:name w:val="Style11"/>
    <w:basedOn w:val="A1-Heading2"/>
    <w:link w:val="Style11Char"/>
    <w:qFormat/>
    <w:rsid w:val="00A45EEC"/>
    <w:pPr>
      <w:ind w:left="360" w:firstLine="0"/>
    </w:pPr>
  </w:style>
  <w:style w:type="character" w:customStyle="1" w:styleId="Style11Char">
    <w:name w:val="Style11 Char"/>
    <w:basedOn w:val="A1-Heading2Char"/>
    <w:link w:val="Style11"/>
    <w:rsid w:val="00A45EEC"/>
    <w:rPr>
      <w:rFonts w:ascii="Times New Roman" w:eastAsia="Times New Roman" w:hAnsi="Times New Roman" w:cs="Times New Roman"/>
      <w:b/>
      <w:bCs/>
      <w:smallCaps/>
      <w:sz w:val="24"/>
      <w:szCs w:val="24"/>
      <w:lang w:val="en-GB"/>
    </w:rPr>
  </w:style>
  <w:style w:type="paragraph" w:customStyle="1" w:styleId="Style12">
    <w:name w:val="Style12"/>
    <w:basedOn w:val="Cabealho1"/>
    <w:link w:val="Style12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12Char">
    <w:name w:val="Style12 Char"/>
    <w:basedOn w:val="Titre1Car1"/>
    <w:link w:val="Style12"/>
    <w:rsid w:val="00A45EEC"/>
    <w:rPr>
      <w:rFonts w:ascii="Times New Roman Bold" w:eastAsia="Times New Roman" w:hAnsi="Times New Roman Bold" w:cs="Times New Roman"/>
      <w:b/>
      <w:sz w:val="32"/>
      <w:szCs w:val="20"/>
    </w:rPr>
  </w:style>
  <w:style w:type="paragraph" w:customStyle="1" w:styleId="i">
    <w:name w:val="(i)"/>
    <w:basedOn w:val="Normal"/>
    <w:rsid w:val="00A45EEC"/>
    <w:pPr>
      <w:suppressAutoHyphens/>
      <w:jc w:val="both"/>
    </w:pPr>
    <w:rPr>
      <w:rFonts w:ascii="Tms Rmn" w:hAnsi="Tms Rmn"/>
      <w:szCs w:val="20"/>
      <w:lang w:val="en-US"/>
    </w:rPr>
  </w:style>
  <w:style w:type="paragraph" w:customStyle="1" w:styleId="RomanParagraph">
    <w:name w:val="RomanParagraph"/>
    <w:rsid w:val="00A45EEC"/>
    <w:pPr>
      <w:spacing w:before="120" w:after="120" w:line="240" w:lineRule="auto"/>
      <w:jc w:val="both"/>
    </w:pPr>
    <w:rPr>
      <w:rFonts w:ascii="Times New Roman" w:eastAsia="Times New Roman" w:hAnsi="Times New Roman" w:cs="Times New Roman"/>
      <w:noProof/>
      <w:sz w:val="24"/>
      <w:szCs w:val="20"/>
      <w:lang w:val="en-US"/>
    </w:rPr>
  </w:style>
  <w:style w:type="paragraph" w:customStyle="1" w:styleId="Paragrapha">
    <w:name w:val="Paragraph a"/>
    <w:basedOn w:val="Normal"/>
    <w:rsid w:val="00A45EEC"/>
    <w:pPr>
      <w:numPr>
        <w:numId w:val="22"/>
      </w:numPr>
      <w:spacing w:before="120" w:after="120"/>
      <w:jc w:val="both"/>
    </w:pPr>
    <w:rPr>
      <w:spacing w:val="-3"/>
      <w:szCs w:val="20"/>
      <w:lang w:val="en-US" w:eastAsia="en-US"/>
    </w:rPr>
  </w:style>
  <w:style w:type="character" w:customStyle="1" w:styleId="SemEspaamentoCarcter">
    <w:name w:val="Sem Espaçamento Carácter"/>
    <w:aliases w:val="INTRO Carácter"/>
    <w:basedOn w:val="Tipodeletrapredefinidodopargrafo"/>
    <w:link w:val="SemEspaamento"/>
    <w:uiPriority w:val="1"/>
    <w:rsid w:val="00A45EEC"/>
    <w:rPr>
      <w:rFonts w:ascii="Times New Roman" w:eastAsia="Times New Roman" w:hAnsi="Times New Roman" w:cs="Times New Roman"/>
      <w:sz w:val="24"/>
      <w:szCs w:val="24"/>
      <w:lang w:eastAsia="fr-FR"/>
    </w:rPr>
  </w:style>
  <w:style w:type="character" w:customStyle="1" w:styleId="systranseg">
    <w:name w:val="systran_seg"/>
    <w:basedOn w:val="Tipodeletrapredefinidodopargrafo"/>
    <w:rsid w:val="00A45EEC"/>
  </w:style>
  <w:style w:type="character" w:customStyle="1" w:styleId="systrantokenword">
    <w:name w:val="systran_token_word"/>
    <w:basedOn w:val="Tipodeletrapredefinidodopargrafo"/>
    <w:rsid w:val="00A45EEC"/>
  </w:style>
  <w:style w:type="character" w:customStyle="1" w:styleId="systrantokenpunctuation">
    <w:name w:val="systran_token_punctuation"/>
    <w:basedOn w:val="Tipodeletrapredefinidodopargrafo"/>
    <w:rsid w:val="00A45EEC"/>
  </w:style>
  <w:style w:type="table" w:customStyle="1" w:styleId="TableauGrille2-Accentuation61">
    <w:name w:val="Tableau Grille 2 - Accentuation 61"/>
    <w:basedOn w:val="Tabelanormal"/>
    <w:uiPriority w:val="47"/>
    <w:rsid w:val="00A45EE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1Clair1">
    <w:name w:val="Tableau Grille 1 Clair1"/>
    <w:basedOn w:val="Tabelanormal"/>
    <w:uiPriority w:val="46"/>
    <w:rsid w:val="00A45E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61">
    <w:name w:val="Tableau Grille 1 Clair - Accentuation 61"/>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4-Accentuation11">
    <w:name w:val="Tableau Grille 4 - Accentuation 11"/>
    <w:basedOn w:val="Tabelanormal"/>
    <w:uiPriority w:val="49"/>
    <w:rsid w:val="00A45EE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1Clair-Accentuation62">
    <w:name w:val="Tableau Grille 1 Clair - Accentuation 62"/>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1Clair-Accentuation63">
    <w:name w:val="Tableau Grille 1 Clair - Accentuation 63"/>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2-Accentuation62">
    <w:name w:val="Tableau Grille 2 - Accentuation 62"/>
    <w:basedOn w:val="Tabelanormal"/>
    <w:uiPriority w:val="47"/>
    <w:rsid w:val="00A45EE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ydp90e9cbb6msonormal">
    <w:name w:val="ydp90e9cbb6msonormal"/>
    <w:basedOn w:val="Normal"/>
    <w:rsid w:val="00A45EEC"/>
    <w:pPr>
      <w:spacing w:before="100" w:beforeAutospacing="1" w:after="100" w:afterAutospacing="1"/>
    </w:pPr>
  </w:style>
  <w:style w:type="paragraph" w:customStyle="1" w:styleId="Texte">
    <w:name w:val="Texte"/>
    <w:basedOn w:val="Normal"/>
    <w:rsid w:val="00A45EEC"/>
    <w:pPr>
      <w:keepLines/>
      <w:spacing w:before="120"/>
      <w:jc w:val="both"/>
    </w:pPr>
    <w:rPr>
      <w:rFonts w:ascii="Arial" w:hAnsi="Arial"/>
      <w:sz w:val="20"/>
      <w:szCs w:val="20"/>
    </w:rPr>
  </w:style>
  <w:style w:type="paragraph" w:customStyle="1" w:styleId="Paragraphe">
    <w:name w:val="Paragraphe"/>
    <w:basedOn w:val="Normal"/>
    <w:rsid w:val="00A45EEC"/>
    <w:pPr>
      <w:overflowPunct w:val="0"/>
      <w:autoSpaceDE w:val="0"/>
      <w:autoSpaceDN w:val="0"/>
      <w:adjustRightInd w:val="0"/>
      <w:spacing w:after="120"/>
      <w:jc w:val="both"/>
      <w:textAlignment w:val="baseline"/>
    </w:pPr>
  </w:style>
  <w:style w:type="paragraph" w:styleId="Mapadodocumento">
    <w:name w:val="Document Map"/>
    <w:basedOn w:val="Normal"/>
    <w:link w:val="MapadodocumentoCarcter"/>
    <w:uiPriority w:val="99"/>
    <w:semiHidden/>
    <w:unhideWhenUsed/>
    <w:rsid w:val="00A45EEC"/>
  </w:style>
  <w:style w:type="character" w:customStyle="1" w:styleId="MapadodocumentoCarcter">
    <w:name w:val="Mapa do documento Carácter"/>
    <w:basedOn w:val="Tipodeletrapredefinidodopargrafo"/>
    <w:link w:val="Mapadodocumento"/>
    <w:uiPriority w:val="99"/>
    <w:semiHidden/>
    <w:rsid w:val="00A45EEC"/>
    <w:rPr>
      <w:rFonts w:ascii="Times New Roman" w:eastAsia="Times New Roman" w:hAnsi="Times New Roman" w:cs="Times New Roman"/>
      <w:sz w:val="24"/>
      <w:szCs w:val="24"/>
      <w:lang w:eastAsia="fr-FR"/>
    </w:rPr>
  </w:style>
  <w:style w:type="character" w:styleId="Hiperligaovisitada">
    <w:name w:val="FollowedHyperlink"/>
    <w:basedOn w:val="Tipodeletrapredefinidodopargrafo"/>
    <w:semiHidden/>
    <w:unhideWhenUsed/>
    <w:rsid w:val="00A45EEC"/>
    <w:rPr>
      <w:color w:val="954F72" w:themeColor="followedHyperlink"/>
      <w:u w:val="single"/>
    </w:rPr>
  </w:style>
  <w:style w:type="paragraph" w:styleId="Reviso">
    <w:name w:val="Revision"/>
    <w:hidden/>
    <w:uiPriority w:val="99"/>
    <w:semiHidden/>
    <w:rsid w:val="00A45EEC"/>
    <w:pPr>
      <w:spacing w:after="0" w:line="240" w:lineRule="auto"/>
    </w:pPr>
    <w:rPr>
      <w:rFonts w:ascii="Times New Roman" w:eastAsia="Times New Roman" w:hAnsi="Times New Roman" w:cs="Times New Roman"/>
      <w:sz w:val="24"/>
      <w:szCs w:val="24"/>
      <w:lang w:eastAsia="fr-FR"/>
    </w:rPr>
  </w:style>
  <w:style w:type="paragraph" w:customStyle="1" w:styleId="rtejustify">
    <w:name w:val="rtejustify"/>
    <w:basedOn w:val="Normal"/>
    <w:rsid w:val="00A45EEC"/>
    <w:pPr>
      <w:spacing w:before="100" w:beforeAutospacing="1" w:after="100" w:afterAutospacing="1"/>
    </w:pPr>
  </w:style>
  <w:style w:type="table" w:customStyle="1" w:styleId="TableauListe3-Accentuation11">
    <w:name w:val="Tableau Liste 3 - Accentuation 11"/>
    <w:basedOn w:val="Tabelanormal"/>
    <w:uiPriority w:val="48"/>
    <w:rsid w:val="006E352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auListe1Clair1">
    <w:name w:val="Tableau Liste 1 Clair1"/>
    <w:basedOn w:val="Tabelanormal"/>
    <w:uiPriority w:val="46"/>
    <w:rsid w:val="001412E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1Clair-Accentuation21">
    <w:name w:val="Tableau Liste 1 Clair - Accentuation 21"/>
    <w:basedOn w:val="Tabelanormal"/>
    <w:uiPriority w:val="46"/>
    <w:rsid w:val="001412E1"/>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auGrille1Clair2">
    <w:name w:val="Tableau Grille 1 Clair2"/>
    <w:basedOn w:val="Tabelanormal"/>
    <w:uiPriority w:val="46"/>
    <w:rsid w:val="001412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Tipodeletrapredefinidodopargrafo"/>
    <w:rsid w:val="001D3373"/>
    <w:rPr>
      <w:rFonts w:ascii="Verdana" w:hAnsi="Verdana" w:hint="default"/>
      <w:b/>
      <w:bCs/>
      <w:i w:val="0"/>
      <w:iCs w:val="0"/>
      <w:color w:val="000000"/>
      <w:sz w:val="24"/>
      <w:szCs w:val="24"/>
    </w:rPr>
  </w:style>
  <w:style w:type="paragraph" w:customStyle="1" w:styleId="titre3">
    <w:name w:val="titre 3"/>
    <w:basedOn w:val="Cabealho2"/>
    <w:link w:val="titre3Car"/>
    <w:rsid w:val="001D3373"/>
    <w:pPr>
      <w:keepNext w:val="0"/>
      <w:numPr>
        <w:numId w:val="0"/>
      </w:numPr>
      <w:tabs>
        <w:tab w:val="left" w:pos="1701"/>
      </w:tabs>
      <w:spacing w:before="120" w:after="120"/>
      <w:ind w:left="3371" w:hanging="180"/>
      <w:jc w:val="both"/>
    </w:pPr>
    <w:rPr>
      <w:rFonts w:ascii="Calibri" w:eastAsia="Times New Roman" w:hAnsi="Calibri" w:cs="Calibri"/>
      <w:b w:val="0"/>
      <w:i w:val="0"/>
      <w:iCs w:val="0"/>
      <w:color w:val="AF143D"/>
    </w:rPr>
  </w:style>
  <w:style w:type="character" w:customStyle="1" w:styleId="titre3Car">
    <w:name w:val="titre 3 Car"/>
    <w:basedOn w:val="Tipodeletrapredefinidodopargrafo"/>
    <w:link w:val="titre3"/>
    <w:rsid w:val="001D3373"/>
    <w:rPr>
      <w:rFonts w:ascii="Calibri" w:eastAsia="Times New Roman" w:hAnsi="Calibri" w:cs="Calibri"/>
      <w:bCs/>
      <w:color w:val="AF143D"/>
      <w:sz w:val="28"/>
      <w:szCs w:val="28"/>
      <w:lang w:eastAsia="fr-FR"/>
    </w:rPr>
  </w:style>
  <w:style w:type="character" w:styleId="nfaseDiscreto">
    <w:name w:val="Subtle Emphasis"/>
    <w:aliases w:val="Titre document"/>
    <w:basedOn w:val="Tipodeletrapredefinidodopargrafo"/>
    <w:uiPriority w:val="19"/>
    <w:qFormat/>
    <w:rsid w:val="001D3373"/>
    <w:rPr>
      <w:iCs/>
      <w:sz w:val="40"/>
      <w:szCs w:val="40"/>
    </w:rPr>
  </w:style>
  <w:style w:type="character" w:styleId="TtulodoLivro">
    <w:name w:val="Book Title"/>
    <w:basedOn w:val="Tipodeletrapredefinidodopargrafo"/>
    <w:uiPriority w:val="33"/>
    <w:qFormat/>
    <w:rsid w:val="001D3373"/>
    <w:rPr>
      <w:smallCaps/>
    </w:rPr>
  </w:style>
  <w:style w:type="paragraph" w:customStyle="1" w:styleId="BodyText1">
    <w:name w:val="Body Text1"/>
    <w:basedOn w:val="Normal"/>
    <w:link w:val="BodytextChar"/>
    <w:qFormat/>
    <w:rsid w:val="001D3373"/>
    <w:pPr>
      <w:jc w:val="both"/>
    </w:pPr>
    <w:rPr>
      <w:rFonts w:ascii="Calibri Light" w:eastAsia="Century Schoolbook" w:hAnsi="Calibri Light"/>
      <w:w w:val="112"/>
      <w:sz w:val="40"/>
      <w:szCs w:val="40"/>
      <w:lang w:eastAsia="ja-JP"/>
    </w:rPr>
  </w:style>
  <w:style w:type="character" w:customStyle="1" w:styleId="BodytextChar">
    <w:name w:val="Body text Char"/>
    <w:link w:val="BodyText1"/>
    <w:rsid w:val="001D3373"/>
    <w:rPr>
      <w:rFonts w:ascii="Calibri Light" w:eastAsia="Century Schoolbook" w:hAnsi="Calibri Light" w:cs="Times New Roman"/>
      <w:w w:val="112"/>
      <w:sz w:val="40"/>
      <w:szCs w:val="40"/>
      <w:lang w:eastAsia="ja-JP"/>
    </w:rPr>
  </w:style>
  <w:style w:type="character" w:customStyle="1" w:styleId="fontstyle21">
    <w:name w:val="fontstyle21"/>
    <w:rsid w:val="001D3373"/>
    <w:rPr>
      <w:rFonts w:ascii="SymbolMT" w:hAnsi="SymbolMT" w:hint="default"/>
      <w:b w:val="0"/>
      <w:bCs w:val="0"/>
      <w:i w:val="0"/>
      <w:iCs w:val="0"/>
      <w:color w:val="000000"/>
      <w:sz w:val="22"/>
      <w:szCs w:val="22"/>
    </w:rPr>
  </w:style>
  <w:style w:type="character" w:customStyle="1" w:styleId="fontstyle31">
    <w:name w:val="fontstyle31"/>
    <w:rsid w:val="001D3373"/>
    <w:rPr>
      <w:rFonts w:ascii="CourierNew" w:hAnsi="CourierNew" w:hint="default"/>
      <w:b w:val="0"/>
      <w:bCs w:val="0"/>
      <w:i w:val="0"/>
      <w:iCs w:val="0"/>
      <w:color w:val="262626"/>
      <w:sz w:val="22"/>
      <w:szCs w:val="22"/>
    </w:rPr>
  </w:style>
  <w:style w:type="paragraph" w:customStyle="1" w:styleId="default0">
    <w:name w:val="default"/>
    <w:basedOn w:val="Normal"/>
    <w:uiPriority w:val="99"/>
    <w:rsid w:val="001D3373"/>
    <w:pPr>
      <w:spacing w:before="100" w:beforeAutospacing="1" w:after="100" w:afterAutospacing="1"/>
    </w:pPr>
    <w:rPr>
      <w:rFonts w:eastAsia="Times New Roman"/>
    </w:rPr>
  </w:style>
  <w:style w:type="paragraph" w:styleId="Lista2">
    <w:name w:val="List 2"/>
    <w:basedOn w:val="Normal"/>
    <w:uiPriority w:val="99"/>
    <w:unhideWhenUsed/>
    <w:rsid w:val="001D3373"/>
    <w:pPr>
      <w:spacing w:after="120"/>
      <w:ind w:left="566" w:hanging="283"/>
      <w:contextualSpacing/>
      <w:jc w:val="both"/>
    </w:pPr>
    <w:rPr>
      <w:rFonts w:ascii="Calibri" w:eastAsia="Times New Roman" w:hAnsi="Calibri"/>
      <w:sz w:val="22"/>
      <w:szCs w:val="22"/>
    </w:rPr>
  </w:style>
  <w:style w:type="paragraph" w:styleId="Listacommarcas">
    <w:name w:val="List Bullet"/>
    <w:basedOn w:val="Normal"/>
    <w:uiPriority w:val="99"/>
    <w:unhideWhenUsed/>
    <w:rsid w:val="001D3373"/>
    <w:pPr>
      <w:numPr>
        <w:numId w:val="24"/>
      </w:numPr>
      <w:spacing w:after="120"/>
      <w:contextualSpacing/>
      <w:jc w:val="both"/>
    </w:pPr>
    <w:rPr>
      <w:rFonts w:ascii="Calibri" w:eastAsia="Times New Roman" w:hAnsi="Calibri"/>
      <w:sz w:val="22"/>
      <w:szCs w:val="22"/>
    </w:rPr>
  </w:style>
  <w:style w:type="paragraph" w:customStyle="1" w:styleId="Listecouleur-Accent12">
    <w:name w:val="Liste couleur - Accent 12"/>
    <w:aliases w:val="Akapit z listą BS"/>
    <w:basedOn w:val="Normal"/>
    <w:uiPriority w:val="34"/>
    <w:qFormat/>
    <w:rsid w:val="001D3373"/>
    <w:pPr>
      <w:ind w:left="720"/>
      <w:contextualSpacing/>
      <w:jc w:val="both"/>
    </w:pPr>
    <w:rPr>
      <w:rFonts w:eastAsia="Times New Roman"/>
      <w:szCs w:val="20"/>
      <w:lang w:val="en-US" w:eastAsia="en-US"/>
    </w:rPr>
  </w:style>
  <w:style w:type="paragraph" w:customStyle="1" w:styleId="Corpsdetexte31">
    <w:name w:val="Corps de texte 31"/>
    <w:basedOn w:val="Normal"/>
    <w:rsid w:val="001D3373"/>
    <w:pPr>
      <w:keepLines/>
      <w:widowControl w:val="0"/>
      <w:tabs>
        <w:tab w:val="left" w:pos="785"/>
        <w:tab w:val="left" w:pos="851"/>
        <w:tab w:val="left" w:pos="2491"/>
        <w:tab w:val="left" w:pos="3398"/>
        <w:tab w:val="left" w:pos="4368"/>
        <w:tab w:val="left" w:pos="5153"/>
        <w:tab w:val="left" w:pos="5938"/>
        <w:tab w:val="left" w:pos="7298"/>
        <w:tab w:val="left" w:pos="8083"/>
        <w:tab w:val="left" w:pos="8868"/>
        <w:tab w:val="left" w:pos="9653"/>
        <w:tab w:val="left" w:pos="10438"/>
      </w:tabs>
      <w:spacing w:before="120"/>
      <w:jc w:val="both"/>
    </w:pPr>
    <w:rPr>
      <w:rFonts w:eastAsia="Times New Roman"/>
      <w:b/>
      <w:snapToGrid w:val="0"/>
      <w:sz w:val="22"/>
      <w:szCs w:val="20"/>
      <w:lang w:eastAsia="it-IT"/>
    </w:rPr>
  </w:style>
  <w:style w:type="paragraph" w:customStyle="1" w:styleId="Corpsdetexte22">
    <w:name w:val="Corps de texte 22"/>
    <w:basedOn w:val="Normal"/>
    <w:rsid w:val="001D3373"/>
    <w:pPr>
      <w:ind w:left="1134" w:hanging="283"/>
      <w:jc w:val="both"/>
    </w:pPr>
    <w:rPr>
      <w:rFonts w:eastAsia="Times New Roman"/>
      <w:szCs w:val="20"/>
    </w:rPr>
  </w:style>
  <w:style w:type="paragraph" w:customStyle="1" w:styleId="xl65">
    <w:name w:val="xl65"/>
    <w:basedOn w:val="Normal"/>
    <w:rsid w:val="001D3373"/>
    <w:pPr>
      <w:spacing w:before="100" w:beforeAutospacing="1" w:after="100" w:afterAutospacing="1"/>
      <w:jc w:val="center"/>
    </w:pPr>
    <w:rPr>
      <w:rFonts w:eastAsia="Times New Roman"/>
    </w:rPr>
  </w:style>
  <w:style w:type="paragraph" w:customStyle="1" w:styleId="xl66">
    <w:name w:val="xl66"/>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8">
    <w:name w:val="xl68"/>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9">
    <w:name w:val="xl69"/>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0">
    <w:name w:val="xl70"/>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1">
    <w:name w:val="xl71"/>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eastAsia="Times New Roman"/>
      <w:b/>
      <w:bCs/>
    </w:rPr>
  </w:style>
  <w:style w:type="paragraph" w:customStyle="1" w:styleId="xl72">
    <w:name w:val="xl72"/>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3">
    <w:name w:val="xl73"/>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eastAsia="Times New Roman"/>
      <w:b/>
      <w:bCs/>
      <w:sz w:val="16"/>
      <w:szCs w:val="16"/>
    </w:rPr>
  </w:style>
  <w:style w:type="paragraph" w:customStyle="1" w:styleId="xl74">
    <w:name w:val="xl74"/>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eastAsia="Times New Roman"/>
      <w:b/>
      <w:bCs/>
      <w:sz w:val="16"/>
      <w:szCs w:val="16"/>
    </w:rPr>
  </w:style>
  <w:style w:type="paragraph" w:customStyle="1" w:styleId="xl75">
    <w:name w:val="xl75"/>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6">
    <w:name w:val="xl76"/>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7">
    <w:name w:val="xl77"/>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8">
    <w:name w:val="xl78"/>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9">
    <w:name w:val="xl79"/>
    <w:basedOn w:val="Normal"/>
    <w:rsid w:val="001D33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rPr>
  </w:style>
  <w:style w:type="paragraph" w:customStyle="1" w:styleId="xl80">
    <w:name w:val="xl80"/>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81">
    <w:name w:val="xl81"/>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rPr>
  </w:style>
  <w:style w:type="paragraph" w:customStyle="1" w:styleId="xl82">
    <w:name w:val="xl82"/>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3">
    <w:name w:val="xl83"/>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eastAsia="Times New Roman"/>
      <w:b/>
      <w:bCs/>
    </w:rPr>
  </w:style>
  <w:style w:type="paragraph" w:customStyle="1" w:styleId="xl84">
    <w:name w:val="xl84"/>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85">
    <w:name w:val="xl85"/>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6">
    <w:name w:val="xl86"/>
    <w:basedOn w:val="Normal"/>
    <w:rsid w:val="001D337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rPr>
  </w:style>
  <w:style w:type="paragraph" w:customStyle="1" w:styleId="xl87">
    <w:name w:val="xl87"/>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rPr>
  </w:style>
  <w:style w:type="paragraph" w:customStyle="1" w:styleId="xl88">
    <w:name w:val="xl88"/>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9">
    <w:name w:val="xl89"/>
    <w:basedOn w:val="Normal"/>
    <w:rsid w:val="001D337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Times New Roman"/>
      <w:b/>
      <w:bCs/>
    </w:rPr>
  </w:style>
  <w:style w:type="paragraph" w:customStyle="1" w:styleId="xl90">
    <w:name w:val="xl90"/>
    <w:basedOn w:val="Normal"/>
    <w:rsid w:val="001D337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textAlignment w:val="center"/>
    </w:pPr>
    <w:rPr>
      <w:rFonts w:eastAsia="Times New Roman"/>
      <w:sz w:val="18"/>
      <w:szCs w:val="18"/>
    </w:rPr>
  </w:style>
  <w:style w:type="paragraph" w:customStyle="1" w:styleId="xl91">
    <w:name w:val="xl91"/>
    <w:basedOn w:val="Normal"/>
    <w:rsid w:val="001D337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Times New Roman"/>
      <w:b/>
      <w:bCs/>
      <w:sz w:val="20"/>
      <w:szCs w:val="20"/>
    </w:rPr>
  </w:style>
  <w:style w:type="paragraph" w:customStyle="1" w:styleId="xl92">
    <w:name w:val="xl92"/>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20"/>
      <w:szCs w:val="20"/>
    </w:rPr>
  </w:style>
  <w:style w:type="paragraph" w:customStyle="1" w:styleId="xl93">
    <w:name w:val="xl93"/>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20"/>
      <w:szCs w:val="20"/>
    </w:rPr>
  </w:style>
  <w:style w:type="paragraph" w:customStyle="1" w:styleId="TableText0">
    <w:name w:val="Table_Text"/>
    <w:basedOn w:val="Default"/>
    <w:next w:val="Default"/>
    <w:uiPriority w:val="99"/>
    <w:rsid w:val="001D3373"/>
    <w:rPr>
      <w:rFonts w:ascii="Times New Roman" w:hAnsi="Times New Roman" w:cs="Times New Roman"/>
      <w:color w:val="auto"/>
    </w:rPr>
  </w:style>
  <w:style w:type="table" w:customStyle="1" w:styleId="Tableausimple21">
    <w:name w:val="Tableau simple 21"/>
    <w:basedOn w:val="Tabelanormal"/>
    <w:uiPriority w:val="42"/>
    <w:rsid w:val="001D33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7Couleur1">
    <w:name w:val="Tableau Grille 7 Couleur1"/>
    <w:basedOn w:val="Tabelanormal"/>
    <w:uiPriority w:val="52"/>
    <w:rsid w:val="001D3373"/>
    <w:pPr>
      <w:spacing w:after="0" w:line="240" w:lineRule="auto"/>
    </w:pPr>
    <w:rPr>
      <w:rFonts w:ascii="Calibri" w:eastAsia="Calibri" w:hAnsi="Calibri" w:cs="Times New Roman"/>
      <w:color w:val="000000"/>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annex1">
    <w:name w:val="annex1"/>
    <w:basedOn w:val="Normal"/>
    <w:next w:val="Normal"/>
    <w:unhideWhenUsed/>
    <w:qFormat/>
    <w:rsid w:val="001D3373"/>
    <w:pPr>
      <w:keepNext/>
      <w:keepLines/>
      <w:spacing w:before="200" w:line="276" w:lineRule="auto"/>
      <w:outlineLvl w:val="2"/>
    </w:pPr>
    <w:rPr>
      <w:rFonts w:ascii="Cambria" w:eastAsia="Times New Roman" w:hAnsi="Cambria"/>
      <w:b/>
      <w:bCs/>
      <w:color w:val="4F81BD"/>
      <w:sz w:val="22"/>
      <w:szCs w:val="22"/>
      <w:lang w:eastAsia="en-US"/>
    </w:rPr>
  </w:style>
  <w:style w:type="paragraph" w:customStyle="1" w:styleId="Titre41">
    <w:name w:val="Titre 41"/>
    <w:basedOn w:val="Normal"/>
    <w:next w:val="Normal"/>
    <w:uiPriority w:val="9"/>
    <w:semiHidden/>
    <w:unhideWhenUsed/>
    <w:qFormat/>
    <w:rsid w:val="001D3373"/>
    <w:pPr>
      <w:keepNext/>
      <w:keepLines/>
      <w:spacing w:before="200" w:line="276" w:lineRule="auto"/>
      <w:outlineLvl w:val="3"/>
    </w:pPr>
    <w:rPr>
      <w:rFonts w:ascii="Cambria" w:eastAsia="Times New Roman" w:hAnsi="Cambria"/>
      <w:b/>
      <w:bCs/>
      <w:i/>
      <w:iCs/>
      <w:color w:val="4F81BD"/>
      <w:sz w:val="22"/>
      <w:szCs w:val="22"/>
      <w:lang w:eastAsia="en-US"/>
    </w:rPr>
  </w:style>
  <w:style w:type="paragraph" w:customStyle="1" w:styleId="Titre51">
    <w:name w:val="Titre 51"/>
    <w:basedOn w:val="Normal"/>
    <w:next w:val="Normal"/>
    <w:uiPriority w:val="9"/>
    <w:semiHidden/>
    <w:unhideWhenUsed/>
    <w:qFormat/>
    <w:rsid w:val="001D3373"/>
    <w:pPr>
      <w:keepNext/>
      <w:keepLines/>
      <w:spacing w:before="200" w:line="276" w:lineRule="auto"/>
      <w:outlineLvl w:val="4"/>
    </w:pPr>
    <w:rPr>
      <w:rFonts w:ascii="Cambria" w:eastAsia="Times New Roman" w:hAnsi="Cambria"/>
      <w:color w:val="243F60"/>
      <w:sz w:val="22"/>
      <w:szCs w:val="22"/>
      <w:lang w:eastAsia="en-US"/>
    </w:rPr>
  </w:style>
  <w:style w:type="paragraph" w:customStyle="1" w:styleId="Titre61">
    <w:name w:val="Titre 61"/>
    <w:basedOn w:val="Normal"/>
    <w:next w:val="Normal"/>
    <w:uiPriority w:val="9"/>
    <w:semiHidden/>
    <w:unhideWhenUsed/>
    <w:qFormat/>
    <w:rsid w:val="001D3373"/>
    <w:pPr>
      <w:keepNext/>
      <w:keepLines/>
      <w:spacing w:before="200" w:line="276" w:lineRule="auto"/>
      <w:outlineLvl w:val="5"/>
    </w:pPr>
    <w:rPr>
      <w:rFonts w:ascii="Cambria" w:eastAsia="Times New Roman" w:hAnsi="Cambria"/>
      <w:i/>
      <w:iCs/>
      <w:color w:val="243F60"/>
      <w:sz w:val="22"/>
      <w:szCs w:val="22"/>
      <w:lang w:eastAsia="en-US"/>
    </w:rPr>
  </w:style>
  <w:style w:type="numbering" w:customStyle="1" w:styleId="Aucuneliste1">
    <w:name w:val="Aucune liste1"/>
    <w:next w:val="Semlista"/>
    <w:uiPriority w:val="99"/>
    <w:semiHidden/>
    <w:unhideWhenUsed/>
    <w:rsid w:val="001D3373"/>
  </w:style>
  <w:style w:type="character" w:customStyle="1" w:styleId="Lienhypertexte1">
    <w:name w:val="Lien hypertexte1"/>
    <w:uiPriority w:val="99"/>
    <w:unhideWhenUsed/>
    <w:rsid w:val="001D3373"/>
    <w:rPr>
      <w:color w:val="0000FF"/>
      <w:u w:val="single"/>
    </w:rPr>
  </w:style>
  <w:style w:type="character" w:customStyle="1" w:styleId="Lienhypertextesuivivisit1">
    <w:name w:val="Lien hypertexte suivi visité1"/>
    <w:uiPriority w:val="99"/>
    <w:semiHidden/>
    <w:unhideWhenUsed/>
    <w:rsid w:val="001D3373"/>
    <w:rPr>
      <w:color w:val="800080"/>
      <w:u w:val="single"/>
    </w:rPr>
  </w:style>
  <w:style w:type="paragraph" w:customStyle="1" w:styleId="TM91">
    <w:name w:val="TM 91"/>
    <w:basedOn w:val="Normal"/>
    <w:next w:val="Normal"/>
    <w:autoRedefine/>
    <w:uiPriority w:val="39"/>
    <w:unhideWhenUsed/>
    <w:rsid w:val="001D3373"/>
    <w:pPr>
      <w:spacing w:after="100" w:line="276" w:lineRule="auto"/>
      <w:ind w:left="1760"/>
    </w:pPr>
    <w:rPr>
      <w:rFonts w:ascii="Calibri" w:eastAsia="Times New Roman" w:hAnsi="Calibri"/>
      <w:sz w:val="22"/>
      <w:szCs w:val="22"/>
    </w:rPr>
  </w:style>
  <w:style w:type="character" w:customStyle="1" w:styleId="CommentaireCar1">
    <w:name w:val="Commentaire Car1"/>
    <w:uiPriority w:val="99"/>
    <w:locked/>
    <w:rsid w:val="001D3373"/>
    <w:rPr>
      <w:rFonts w:ascii="Arial" w:eastAsia="Times New Roman" w:hAnsi="Arial" w:cs="Times New Roman"/>
      <w:sz w:val="18"/>
      <w:szCs w:val="20"/>
    </w:rPr>
  </w:style>
  <w:style w:type="character" w:customStyle="1" w:styleId="RetraitcorpsdetexteCar1">
    <w:name w:val="Retrait corps de texte Car1"/>
    <w:basedOn w:val="Tipodeletrapredefinidodopargrafo"/>
    <w:uiPriority w:val="99"/>
    <w:semiHidden/>
    <w:rsid w:val="001D3373"/>
  </w:style>
  <w:style w:type="paragraph" w:customStyle="1" w:styleId="Sous-titre1">
    <w:name w:val="Sous-titre1"/>
    <w:basedOn w:val="Normal"/>
    <w:next w:val="Normal"/>
    <w:uiPriority w:val="11"/>
    <w:qFormat/>
    <w:rsid w:val="001D3373"/>
    <w:pPr>
      <w:spacing w:after="200" w:line="276" w:lineRule="auto"/>
    </w:pPr>
    <w:rPr>
      <w:rFonts w:ascii="Cambria" w:eastAsia="Times New Roman" w:hAnsi="Cambria"/>
      <w:i/>
      <w:iCs/>
      <w:color w:val="4F81BD"/>
      <w:spacing w:val="15"/>
    </w:rPr>
  </w:style>
  <w:style w:type="character" w:customStyle="1" w:styleId="Primeiroavanodecorpodetexto2Carcter">
    <w:name w:val="Primeiro avanço de corpo de texto 2 Carácter"/>
    <w:basedOn w:val="AvanodecorpodetextoCarcter"/>
    <w:link w:val="Primeiroavanodecorpodetexto2"/>
    <w:uiPriority w:val="99"/>
    <w:rsid w:val="001D3373"/>
    <w:rPr>
      <w:rFonts w:ascii="Calibri" w:eastAsia="Times New Roman" w:hAnsi="Calibri" w:cs="Times New Roman"/>
      <w:sz w:val="24"/>
      <w:szCs w:val="24"/>
      <w:lang w:eastAsia="fr-FR"/>
    </w:rPr>
  </w:style>
  <w:style w:type="paragraph" w:styleId="Primeiroavanodecorpodetexto2">
    <w:name w:val="Body Text First Indent 2"/>
    <w:basedOn w:val="Avanodecorpodetexto"/>
    <w:link w:val="Primeiroavanodecorpodetexto2Carcter"/>
    <w:uiPriority w:val="99"/>
    <w:unhideWhenUsed/>
    <w:rsid w:val="001D3373"/>
    <w:pPr>
      <w:spacing w:after="200" w:line="276" w:lineRule="auto"/>
      <w:ind w:firstLine="360"/>
    </w:pPr>
    <w:rPr>
      <w:rFonts w:ascii="Calibri" w:eastAsia="Times New Roman" w:hAnsi="Calibri"/>
      <w:sz w:val="22"/>
      <w:szCs w:val="22"/>
    </w:rPr>
  </w:style>
  <w:style w:type="character" w:customStyle="1" w:styleId="Retraitcorpset1religCar1">
    <w:name w:val="Retrait corps et 1re lig. Car1"/>
    <w:basedOn w:val="AvanodecorpodetextoCarcter"/>
    <w:uiPriority w:val="99"/>
    <w:semiHidden/>
    <w:rsid w:val="001D3373"/>
    <w:rPr>
      <w:rFonts w:ascii="Times New Roman" w:eastAsia="Times New Roman" w:hAnsi="Times New Roman" w:cs="Times New Roman"/>
      <w:sz w:val="24"/>
      <w:szCs w:val="24"/>
      <w:lang w:eastAsia="fr-FR"/>
    </w:rPr>
  </w:style>
  <w:style w:type="character" w:customStyle="1" w:styleId="ObjetducommentaireCar1">
    <w:name w:val="Objet du commentaire Car1"/>
    <w:basedOn w:val="TextodecomentrioCarcter"/>
    <w:uiPriority w:val="99"/>
    <w:semiHidden/>
    <w:rsid w:val="001D3373"/>
    <w:rPr>
      <w:rFonts w:ascii="Times New Roman" w:eastAsia="Times New Roman" w:hAnsi="Times New Roman" w:cs="Times New Roman"/>
      <w:b/>
      <w:bCs/>
      <w:sz w:val="20"/>
      <w:szCs w:val="20"/>
      <w:lang w:eastAsia="fr-FR"/>
    </w:rPr>
  </w:style>
  <w:style w:type="character" w:customStyle="1" w:styleId="Grillemoyenne2Car">
    <w:name w:val="Grille moyenne 2 Car"/>
    <w:link w:val="Grillemoyenne21"/>
    <w:uiPriority w:val="1"/>
    <w:locked/>
    <w:rsid w:val="001D3373"/>
    <w:rPr>
      <w:rFonts w:cs="Times New Roman"/>
    </w:rPr>
  </w:style>
  <w:style w:type="paragraph" w:customStyle="1" w:styleId="Grillemoyenne21">
    <w:name w:val="Grille moyenne 21"/>
    <w:basedOn w:val="Normal"/>
    <w:link w:val="Grillemoyenne2Car"/>
    <w:uiPriority w:val="1"/>
    <w:qFormat/>
    <w:rsid w:val="001D3373"/>
    <w:rPr>
      <w:rFonts w:asciiTheme="minorHAnsi" w:hAnsiTheme="minorHAnsi"/>
      <w:sz w:val="22"/>
      <w:szCs w:val="22"/>
      <w:lang w:eastAsia="en-US"/>
    </w:rPr>
  </w:style>
  <w:style w:type="paragraph" w:customStyle="1" w:styleId="GridTable31">
    <w:name w:val="Grid Table 31"/>
    <w:basedOn w:val="Cabealho1"/>
    <w:next w:val="Normal"/>
    <w:uiPriority w:val="39"/>
    <w:unhideWhenUsed/>
    <w:qFormat/>
    <w:rsid w:val="001D3373"/>
    <w:pPr>
      <w:keepLines/>
      <w:numPr>
        <w:numId w:val="0"/>
      </w:numPr>
      <w:spacing w:before="480" w:after="0" w:line="276" w:lineRule="auto"/>
      <w:ind w:left="787" w:hanging="360"/>
      <w:outlineLvl w:val="9"/>
    </w:pPr>
    <w:rPr>
      <w:rFonts w:ascii="Times New Roman" w:eastAsia="Calibri" w:hAnsi="Times New Roman"/>
      <w:b w:val="0"/>
      <w:bCs w:val="0"/>
      <w:kern w:val="0"/>
      <w:sz w:val="28"/>
      <w:szCs w:val="28"/>
      <w:u w:val="single"/>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PDG16">
    <w:name w:val="PDG16"/>
    <w:basedOn w:val="Normal"/>
    <w:uiPriority w:val="99"/>
    <w:rsid w:val="001D3373"/>
    <w:pPr>
      <w:spacing w:before="120" w:after="120" w:line="240" w:lineRule="atLeast"/>
      <w:jc w:val="both"/>
    </w:pPr>
    <w:rPr>
      <w:rFonts w:ascii="Arial Narrow" w:eastAsia="Times New Roman" w:hAnsi="Arial Narrow"/>
      <w:b/>
      <w:smallCaps/>
      <w:color w:val="003366"/>
      <w:sz w:val="32"/>
      <w:szCs w:val="32"/>
    </w:rPr>
  </w:style>
  <w:style w:type="paragraph" w:customStyle="1" w:styleId="Corpsdetexte21">
    <w:name w:val="Corps de texte 21"/>
    <w:basedOn w:val="Normal"/>
    <w:uiPriority w:val="99"/>
    <w:rsid w:val="001D3373"/>
    <w:pPr>
      <w:tabs>
        <w:tab w:val="left" w:pos="360"/>
      </w:tabs>
      <w:overflowPunct w:val="0"/>
      <w:autoSpaceDE w:val="0"/>
      <w:autoSpaceDN w:val="0"/>
      <w:adjustRightInd w:val="0"/>
      <w:spacing w:line="360" w:lineRule="auto"/>
      <w:ind w:right="203"/>
      <w:jc w:val="both"/>
    </w:pPr>
    <w:rPr>
      <w:rFonts w:ascii="Calibri" w:eastAsia="Calibri" w:hAnsi="Calibri"/>
      <w:szCs w:val="20"/>
    </w:rPr>
  </w:style>
  <w:style w:type="character" w:customStyle="1" w:styleId="psCar">
    <w:name w:val="ps Car"/>
    <w:link w:val="ps"/>
    <w:uiPriority w:val="99"/>
    <w:locked/>
    <w:rsid w:val="001D3373"/>
    <w:rPr>
      <w:rFonts w:ascii="Times New Roman" w:hAnsi="Times New Roman" w:cs="Times New Roman"/>
    </w:rPr>
  </w:style>
  <w:style w:type="paragraph" w:customStyle="1" w:styleId="ps">
    <w:name w:val="ps"/>
    <w:basedOn w:val="Normal"/>
    <w:link w:val="psCar"/>
    <w:uiPriority w:val="99"/>
    <w:rsid w:val="001D3373"/>
    <w:pPr>
      <w:keepLines/>
      <w:spacing w:before="240"/>
      <w:jc w:val="both"/>
    </w:pPr>
    <w:rPr>
      <w:sz w:val="22"/>
      <w:szCs w:val="22"/>
      <w:lang w:eastAsia="en-US"/>
    </w:rPr>
  </w:style>
  <w:style w:type="paragraph" w:customStyle="1" w:styleId="PARA">
    <w:name w:val="PARA"/>
    <w:basedOn w:val="Normal"/>
    <w:rsid w:val="001D3373"/>
    <w:pPr>
      <w:keepLines/>
      <w:spacing w:before="120"/>
      <w:jc w:val="both"/>
    </w:pPr>
    <w:rPr>
      <w:rFonts w:ascii="Arial" w:eastAsia="Times New Roman" w:hAnsi="Arial"/>
      <w:sz w:val="20"/>
      <w:szCs w:val="20"/>
    </w:rPr>
  </w:style>
  <w:style w:type="paragraph" w:customStyle="1" w:styleId="Retrait2">
    <w:name w:val="Retrait2"/>
    <w:basedOn w:val="Corpodetexto"/>
    <w:uiPriority w:val="99"/>
    <w:rsid w:val="001D3373"/>
    <w:pPr>
      <w:tabs>
        <w:tab w:val="num" w:pos="360"/>
      </w:tabs>
      <w:spacing w:before="0" w:after="0"/>
      <w:ind w:left="340" w:hanging="340"/>
      <w:jc w:val="both"/>
    </w:pPr>
    <w:rPr>
      <w:rFonts w:ascii="Times New Roman" w:eastAsia="Times New Roman" w:hAnsi="Times New Roman"/>
      <w:bCs/>
      <w:spacing w:val="0"/>
      <w:sz w:val="22"/>
    </w:rPr>
  </w:style>
  <w:style w:type="paragraph" w:customStyle="1" w:styleId="Retraittexte">
    <w:name w:val="Retrait texte"/>
    <w:basedOn w:val="Corpodetexto"/>
    <w:uiPriority w:val="99"/>
    <w:rsid w:val="001D3373"/>
    <w:pPr>
      <w:spacing w:before="0" w:after="0"/>
      <w:ind w:left="360" w:hanging="360"/>
      <w:jc w:val="both"/>
    </w:pPr>
    <w:rPr>
      <w:rFonts w:ascii="Times New Roman" w:eastAsia="Times New Roman" w:hAnsi="Times New Roman"/>
      <w:spacing w:val="0"/>
      <w:sz w:val="22"/>
    </w:rPr>
  </w:style>
  <w:style w:type="character" w:customStyle="1" w:styleId="st">
    <w:name w:val="st"/>
    <w:basedOn w:val="Tipodeletrapredefinidodopargrafo"/>
    <w:rsid w:val="001D3373"/>
  </w:style>
  <w:style w:type="character" w:customStyle="1" w:styleId="mw-headline">
    <w:name w:val="mw-headline"/>
    <w:basedOn w:val="Tipodeletrapredefinidodopargrafo"/>
    <w:rsid w:val="001D3373"/>
  </w:style>
  <w:style w:type="character" w:customStyle="1" w:styleId="nowrap">
    <w:name w:val="nowrap"/>
    <w:basedOn w:val="Tipodeletrapredefinidodopargrafo"/>
    <w:rsid w:val="001D3373"/>
  </w:style>
  <w:style w:type="character" w:customStyle="1" w:styleId="article-fulllettrine">
    <w:name w:val="article-full__lettrine"/>
    <w:basedOn w:val="Tipodeletrapredefinidodopargrafo"/>
    <w:rsid w:val="001D3373"/>
  </w:style>
  <w:style w:type="character" w:customStyle="1" w:styleId="reference-text">
    <w:name w:val="reference-text"/>
    <w:basedOn w:val="Tipodeletrapredefinidodopargrafo"/>
    <w:rsid w:val="001D3373"/>
  </w:style>
  <w:style w:type="character" w:customStyle="1" w:styleId="bodyinterna1">
    <w:name w:val="bodyinterna1"/>
    <w:rsid w:val="001D3373"/>
    <w:rPr>
      <w:rFonts w:ascii="Arial" w:hAnsi="Arial" w:cs="Arial" w:hint="default"/>
      <w:sz w:val="20"/>
      <w:szCs w:val="20"/>
    </w:rPr>
  </w:style>
  <w:style w:type="table" w:customStyle="1" w:styleId="Listeclaire-Accent31">
    <w:name w:val="Liste claire - Accent 31"/>
    <w:basedOn w:val="Tabelanormal"/>
    <w:next w:val="ListaEscura-Cor3"/>
    <w:uiPriority w:val="61"/>
    <w:rsid w:val="001D3373"/>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M41">
    <w:name w:val="TM 41"/>
    <w:basedOn w:val="Normal"/>
    <w:next w:val="Normal"/>
    <w:autoRedefine/>
    <w:uiPriority w:val="1"/>
    <w:unhideWhenUsed/>
    <w:qFormat/>
    <w:rsid w:val="001D3373"/>
    <w:pPr>
      <w:spacing w:after="100" w:line="259" w:lineRule="auto"/>
      <w:ind w:left="660"/>
    </w:pPr>
    <w:rPr>
      <w:rFonts w:ascii="Calibri" w:eastAsia="Times New Roman" w:hAnsi="Calibri"/>
      <w:sz w:val="22"/>
      <w:szCs w:val="22"/>
    </w:rPr>
  </w:style>
  <w:style w:type="paragraph" w:customStyle="1" w:styleId="TM51">
    <w:name w:val="TM 51"/>
    <w:basedOn w:val="Normal"/>
    <w:next w:val="Normal"/>
    <w:autoRedefine/>
    <w:uiPriority w:val="39"/>
    <w:unhideWhenUsed/>
    <w:rsid w:val="001D3373"/>
    <w:pPr>
      <w:spacing w:after="100" w:line="259" w:lineRule="auto"/>
      <w:ind w:left="880"/>
    </w:pPr>
    <w:rPr>
      <w:rFonts w:ascii="Calibri" w:eastAsia="Times New Roman" w:hAnsi="Calibri"/>
      <w:sz w:val="22"/>
      <w:szCs w:val="22"/>
    </w:rPr>
  </w:style>
  <w:style w:type="paragraph" w:customStyle="1" w:styleId="TM61">
    <w:name w:val="TM 61"/>
    <w:basedOn w:val="Normal"/>
    <w:next w:val="Normal"/>
    <w:autoRedefine/>
    <w:uiPriority w:val="39"/>
    <w:unhideWhenUsed/>
    <w:rsid w:val="001D3373"/>
    <w:pPr>
      <w:spacing w:after="100" w:line="259" w:lineRule="auto"/>
      <w:ind w:left="1100"/>
    </w:pPr>
    <w:rPr>
      <w:rFonts w:ascii="Calibri" w:eastAsia="Times New Roman" w:hAnsi="Calibri"/>
      <w:sz w:val="22"/>
      <w:szCs w:val="22"/>
    </w:rPr>
  </w:style>
  <w:style w:type="paragraph" w:customStyle="1" w:styleId="TM71">
    <w:name w:val="TM 71"/>
    <w:basedOn w:val="Normal"/>
    <w:next w:val="Normal"/>
    <w:autoRedefine/>
    <w:uiPriority w:val="39"/>
    <w:unhideWhenUsed/>
    <w:rsid w:val="001D3373"/>
    <w:pPr>
      <w:spacing w:after="100" w:line="259" w:lineRule="auto"/>
      <w:ind w:left="1320"/>
    </w:pPr>
    <w:rPr>
      <w:rFonts w:ascii="Calibri" w:eastAsia="Times New Roman" w:hAnsi="Calibri"/>
      <w:sz w:val="22"/>
      <w:szCs w:val="22"/>
    </w:rPr>
  </w:style>
  <w:style w:type="paragraph" w:customStyle="1" w:styleId="TM81">
    <w:name w:val="TM 81"/>
    <w:basedOn w:val="Normal"/>
    <w:next w:val="Normal"/>
    <w:autoRedefine/>
    <w:uiPriority w:val="39"/>
    <w:unhideWhenUsed/>
    <w:rsid w:val="001D3373"/>
    <w:pPr>
      <w:spacing w:after="100" w:line="259" w:lineRule="auto"/>
      <w:ind w:left="1540"/>
    </w:pPr>
    <w:rPr>
      <w:rFonts w:ascii="Calibri" w:eastAsia="Times New Roman" w:hAnsi="Calibri"/>
      <w:sz w:val="22"/>
      <w:szCs w:val="22"/>
    </w:rPr>
  </w:style>
  <w:style w:type="paragraph" w:customStyle="1" w:styleId="Rvision1">
    <w:name w:val="Révision1"/>
    <w:next w:val="Tramecouleur-Accent11"/>
    <w:hidden/>
    <w:uiPriority w:val="99"/>
    <w:semiHidden/>
    <w:rsid w:val="001D3373"/>
    <w:pPr>
      <w:spacing w:after="0" w:line="240" w:lineRule="auto"/>
    </w:pPr>
    <w:rPr>
      <w:rFonts w:ascii="Calibri" w:eastAsia="Calibri" w:hAnsi="Calibri" w:cs="Times New Roman"/>
    </w:rPr>
  </w:style>
  <w:style w:type="character" w:customStyle="1" w:styleId="Titre3Car2">
    <w:name w:val="Titre 3 Car2"/>
    <w:uiPriority w:val="9"/>
    <w:semiHidden/>
    <w:rsid w:val="001D3373"/>
    <w:rPr>
      <w:rFonts w:ascii="Calibri Light" w:eastAsia="Yu Gothic Light" w:hAnsi="Calibri Light" w:cs="Times New Roman"/>
      <w:color w:val="1F4D78"/>
      <w:sz w:val="24"/>
      <w:szCs w:val="24"/>
    </w:rPr>
  </w:style>
  <w:style w:type="character" w:customStyle="1" w:styleId="Titre4Car1">
    <w:name w:val="Titre 4 Car1"/>
    <w:uiPriority w:val="9"/>
    <w:semiHidden/>
    <w:rsid w:val="001D3373"/>
    <w:rPr>
      <w:rFonts w:ascii="Calibri Light" w:eastAsia="Yu Gothic Light" w:hAnsi="Calibri Light" w:cs="Times New Roman"/>
      <w:i/>
      <w:iCs/>
      <w:color w:val="2E74B5"/>
    </w:rPr>
  </w:style>
  <w:style w:type="character" w:customStyle="1" w:styleId="Titre5Car1">
    <w:name w:val="Titre 5 Car1"/>
    <w:uiPriority w:val="9"/>
    <w:semiHidden/>
    <w:rsid w:val="001D3373"/>
    <w:rPr>
      <w:rFonts w:ascii="Calibri Light" w:eastAsia="Yu Gothic Light" w:hAnsi="Calibri Light" w:cs="Times New Roman"/>
      <w:color w:val="2E74B5"/>
    </w:rPr>
  </w:style>
  <w:style w:type="table" w:styleId="ListaEscura-Cor3">
    <w:name w:val="Dark List Accent 3"/>
    <w:basedOn w:val="Tabelanormal"/>
    <w:uiPriority w:val="61"/>
    <w:unhideWhenUsed/>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ramecouleur-Accent11">
    <w:name w:val="Trame couleur - Accent 11"/>
    <w:hidden/>
    <w:uiPriority w:val="99"/>
    <w:semiHidden/>
    <w:rsid w:val="001D3373"/>
    <w:pPr>
      <w:spacing w:after="0" w:line="240" w:lineRule="auto"/>
    </w:pPr>
    <w:rPr>
      <w:rFonts w:ascii="Calibri" w:eastAsia="Calibri" w:hAnsi="Calibri" w:cs="Times New Roman"/>
    </w:rPr>
  </w:style>
  <w:style w:type="paragraph" w:customStyle="1" w:styleId="Grillecouleur-Accent11">
    <w:name w:val="Grille couleur - Accent 11"/>
    <w:basedOn w:val="Normal"/>
    <w:next w:val="Normal"/>
    <w:link w:val="Grillecouleur-Accent1Car"/>
    <w:uiPriority w:val="29"/>
    <w:qFormat/>
    <w:rsid w:val="001D3373"/>
    <w:pPr>
      <w:spacing w:after="200" w:line="276" w:lineRule="auto"/>
    </w:pPr>
    <w:rPr>
      <w:rFonts w:ascii="Calibri" w:eastAsia="Times New Roman" w:hAnsi="Calibri"/>
      <w:i/>
      <w:iCs/>
      <w:color w:val="000000"/>
      <w:sz w:val="22"/>
      <w:szCs w:val="22"/>
    </w:rPr>
  </w:style>
  <w:style w:type="character" w:customStyle="1" w:styleId="Grillecouleur-Accent1Car">
    <w:name w:val="Grille couleur - Accent 1 Car"/>
    <w:link w:val="Grillecouleur-Accent11"/>
    <w:uiPriority w:val="29"/>
    <w:rsid w:val="001D3373"/>
    <w:rPr>
      <w:rFonts w:ascii="Calibri" w:eastAsia="Times New Roman" w:hAnsi="Calibri" w:cs="Times New Roman"/>
      <w:i/>
      <w:iCs/>
      <w:color w:val="000000"/>
      <w:lang w:eastAsia="fr-FR"/>
    </w:rPr>
  </w:style>
  <w:style w:type="paragraph" w:customStyle="1" w:styleId="088095CB421E4E02BDC9682AFEE1723A">
    <w:name w:val="088095CB421E4E02BDC9682AFEE1723A"/>
    <w:rsid w:val="001D3373"/>
    <w:pPr>
      <w:spacing w:after="200" w:line="276" w:lineRule="auto"/>
    </w:pPr>
    <w:rPr>
      <w:rFonts w:ascii="Calibri" w:eastAsia="Yu Mincho" w:hAnsi="Calibri" w:cs="Times New Roman"/>
      <w:lang w:eastAsia="fr-FR"/>
    </w:rPr>
  </w:style>
  <w:style w:type="numbering" w:customStyle="1" w:styleId="Style17">
    <w:name w:val="Style17"/>
    <w:uiPriority w:val="99"/>
    <w:rsid w:val="001D3373"/>
    <w:pPr>
      <w:numPr>
        <w:numId w:val="25"/>
      </w:numPr>
    </w:pPr>
  </w:style>
  <w:style w:type="paragraph" w:customStyle="1" w:styleId="Body1">
    <w:name w:val="Body1"/>
    <w:basedOn w:val="Normal"/>
    <w:rsid w:val="001D3373"/>
    <w:pPr>
      <w:spacing w:before="60" w:after="120" w:line="240" w:lineRule="exact"/>
      <w:ind w:left="709"/>
      <w:jc w:val="both"/>
    </w:pPr>
    <w:rPr>
      <w:rFonts w:ascii="Arial" w:eastAsia="Times New Roman" w:hAnsi="Arial" w:cs="Arial"/>
      <w:sz w:val="20"/>
      <w:szCs w:val="20"/>
    </w:rPr>
  </w:style>
  <w:style w:type="paragraph" w:styleId="HTMLpr-formatado">
    <w:name w:val="HTML Preformatted"/>
    <w:basedOn w:val="Normal"/>
    <w:link w:val="HTMLpr-formatadoCarcter"/>
    <w:uiPriority w:val="99"/>
    <w:unhideWhenUsed/>
    <w:rsid w:val="001D3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formatadoCarcter">
    <w:name w:val="HTML pré-formatado Carácter"/>
    <w:basedOn w:val="Tipodeletrapredefinidodopargrafo"/>
    <w:link w:val="HTMLpr-formatado"/>
    <w:uiPriority w:val="99"/>
    <w:rsid w:val="001D3373"/>
    <w:rPr>
      <w:rFonts w:ascii="Courier New" w:eastAsia="Times New Roman" w:hAnsi="Courier New" w:cs="Courier New"/>
      <w:sz w:val="20"/>
      <w:szCs w:val="20"/>
      <w:lang w:eastAsia="fr-FR"/>
    </w:rPr>
  </w:style>
  <w:style w:type="paragraph" w:customStyle="1" w:styleId="Normal10">
    <w:name w:val="Normal1"/>
    <w:basedOn w:val="Normal"/>
    <w:link w:val="normalCar"/>
    <w:rsid w:val="001D3373"/>
    <w:pPr>
      <w:spacing w:before="120"/>
      <w:ind w:left="737"/>
      <w:jc w:val="both"/>
    </w:pPr>
    <w:rPr>
      <w:rFonts w:ascii="Century Gothic" w:eastAsia="Calibri" w:hAnsi="Century Gothic"/>
      <w:sz w:val="20"/>
      <w:szCs w:val="20"/>
      <w:lang w:val="en-GB"/>
    </w:rPr>
  </w:style>
  <w:style w:type="character" w:customStyle="1" w:styleId="normalCar">
    <w:name w:val="normal Car"/>
    <w:link w:val="Normal10"/>
    <w:locked/>
    <w:rsid w:val="001D3373"/>
    <w:rPr>
      <w:rFonts w:ascii="Century Gothic" w:eastAsia="Calibri" w:hAnsi="Century Gothic" w:cs="Times New Roman"/>
      <w:sz w:val="20"/>
      <w:szCs w:val="20"/>
      <w:lang w:val="en-GB" w:eastAsia="fr-FR"/>
    </w:rPr>
  </w:style>
  <w:style w:type="paragraph" w:customStyle="1" w:styleId="Arial">
    <w:name w:val="Arial"/>
    <w:basedOn w:val="Normal"/>
    <w:uiPriority w:val="99"/>
    <w:rsid w:val="001D3373"/>
    <w:rPr>
      <w:rFonts w:eastAsia="Times New Roman"/>
      <w:sz w:val="21"/>
      <w:szCs w:val="21"/>
    </w:rPr>
  </w:style>
  <w:style w:type="table" w:customStyle="1" w:styleId="TableauGrille31">
    <w:name w:val="Tableau Grille 31"/>
    <w:basedOn w:val="Tabelanormal"/>
    <w:uiPriority w:val="48"/>
    <w:rsid w:val="001D3373"/>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Grille3-Accentuation41">
    <w:name w:val="Tableau Grille 3 - Accentuation 41"/>
    <w:basedOn w:val="Tabelanormal"/>
    <w:uiPriority w:val="48"/>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3-Accentuation61">
    <w:name w:val="Tableau Grille 3 - Accentuation 61"/>
    <w:basedOn w:val="Tabelanormal"/>
    <w:uiPriority w:val="48"/>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auGrille41">
    <w:name w:val="Tableau Grille 41"/>
    <w:basedOn w:val="Tabelanormal"/>
    <w:uiPriority w:val="49"/>
    <w:rsid w:val="001D3373"/>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rameclaire-Accent21">
    <w:name w:val="Trame claire - Accent 21"/>
    <w:basedOn w:val="Normal"/>
    <w:next w:val="Normal"/>
    <w:link w:val="Trameclaire-Accent2Car"/>
    <w:uiPriority w:val="30"/>
    <w:qFormat/>
    <w:rsid w:val="001D3373"/>
    <w:pPr>
      <w:pBdr>
        <w:top w:val="single" w:sz="4" w:space="10" w:color="5B9BD5"/>
        <w:bottom w:val="single" w:sz="4" w:space="10" w:color="5B9BD5"/>
      </w:pBdr>
      <w:spacing w:before="360" w:after="360" w:line="276" w:lineRule="auto"/>
      <w:ind w:left="864" w:right="864"/>
      <w:jc w:val="center"/>
    </w:pPr>
    <w:rPr>
      <w:rFonts w:eastAsia="Times New Roman"/>
      <w:b/>
      <w:bCs/>
      <w:i/>
      <w:iCs/>
      <w:color w:val="4F81BD"/>
      <w:lang w:eastAsia="en-US"/>
    </w:rPr>
  </w:style>
  <w:style w:type="table" w:customStyle="1" w:styleId="Tableausimple211">
    <w:name w:val="Tableau simple 211"/>
    <w:basedOn w:val="Tabelanormal"/>
    <w:uiPriority w:val="42"/>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rtetext-column">
    <w:name w:val="rtetext-column"/>
    <w:basedOn w:val="Normal"/>
    <w:rsid w:val="001D3373"/>
    <w:pPr>
      <w:spacing w:before="100" w:beforeAutospacing="1" w:after="100" w:afterAutospacing="1"/>
    </w:pPr>
    <w:rPr>
      <w:rFonts w:eastAsia="Times New Roman"/>
    </w:rPr>
  </w:style>
  <w:style w:type="character" w:customStyle="1" w:styleId="BodyTextIndentChar">
    <w:name w:val="Body Text Indent Char"/>
    <w:uiPriority w:val="99"/>
    <w:semiHidden/>
    <w:rsid w:val="001D3373"/>
    <w:rPr>
      <w:rFonts w:ascii="Times New Roman" w:hAnsi="Times New Roman"/>
      <w:sz w:val="24"/>
      <w:szCs w:val="24"/>
    </w:rPr>
  </w:style>
  <w:style w:type="character" w:customStyle="1" w:styleId="BodyTextChar0">
    <w:name w:val="Body Text Char"/>
    <w:uiPriority w:val="99"/>
    <w:semiHidden/>
    <w:rsid w:val="001D3373"/>
    <w:rPr>
      <w:rFonts w:ascii="Times New Roman" w:hAnsi="Times New Roman"/>
      <w:sz w:val="24"/>
      <w:szCs w:val="24"/>
    </w:rPr>
  </w:style>
  <w:style w:type="character" w:customStyle="1" w:styleId="FootnoteTextChar">
    <w:name w:val="Footnote Text Char"/>
    <w:uiPriority w:val="99"/>
    <w:semiHidden/>
    <w:rsid w:val="001D3373"/>
    <w:rPr>
      <w:rFonts w:ascii="Times New Roman" w:hAnsi="Times New Roman"/>
      <w:sz w:val="20"/>
      <w:szCs w:val="20"/>
    </w:rPr>
  </w:style>
  <w:style w:type="character" w:customStyle="1" w:styleId="HeaderChar">
    <w:name w:val="Header Char"/>
    <w:uiPriority w:val="99"/>
    <w:semiHidden/>
    <w:rsid w:val="001D3373"/>
    <w:rPr>
      <w:rFonts w:ascii="Times New Roman" w:hAnsi="Times New Roman"/>
      <w:sz w:val="24"/>
      <w:szCs w:val="24"/>
    </w:rPr>
  </w:style>
  <w:style w:type="character" w:customStyle="1" w:styleId="FooterChar">
    <w:name w:val="Footer Char"/>
    <w:uiPriority w:val="99"/>
    <w:semiHidden/>
    <w:rsid w:val="001D3373"/>
    <w:rPr>
      <w:rFonts w:ascii="Times New Roman" w:hAnsi="Times New Roman"/>
      <w:sz w:val="24"/>
      <w:szCs w:val="24"/>
    </w:rPr>
  </w:style>
  <w:style w:type="character" w:customStyle="1" w:styleId="shorttext">
    <w:name w:val="short_text"/>
    <w:basedOn w:val="Tipodeletrapredefinidodopargrafo"/>
    <w:rsid w:val="001D3373"/>
  </w:style>
  <w:style w:type="character" w:customStyle="1" w:styleId="DefaultCar">
    <w:name w:val="Default Car"/>
    <w:link w:val="Default"/>
    <w:rsid w:val="001D3373"/>
    <w:rPr>
      <w:rFonts w:ascii="Arial" w:eastAsia="Calibri" w:hAnsi="Arial" w:cs="Arial"/>
      <w:color w:val="000000"/>
      <w:sz w:val="24"/>
      <w:szCs w:val="24"/>
      <w:lang w:eastAsia="fr-FR"/>
    </w:rPr>
  </w:style>
  <w:style w:type="table" w:customStyle="1" w:styleId="TableGrid">
    <w:name w:val="TableGrid"/>
    <w:rsid w:val="001D3373"/>
    <w:pPr>
      <w:spacing w:after="0" w:line="240" w:lineRule="auto"/>
    </w:pPr>
    <w:rPr>
      <w:rFonts w:ascii="Calibri" w:eastAsia="Yu Mincho" w:hAnsi="Calibri" w:cs="Times New Roman"/>
      <w:lang w:eastAsia="fr-FR"/>
    </w:rPr>
    <w:tblPr>
      <w:tblCellMar>
        <w:top w:w="0" w:type="dxa"/>
        <w:left w:w="0" w:type="dxa"/>
        <w:bottom w:w="0" w:type="dxa"/>
        <w:right w:w="0" w:type="dxa"/>
      </w:tblCellMar>
    </w:tblPr>
  </w:style>
  <w:style w:type="paragraph" w:customStyle="1" w:styleId="Alinea">
    <w:name w:val="Alinea"/>
    <w:basedOn w:val="Normal"/>
    <w:rsid w:val="001D3373"/>
    <w:pPr>
      <w:tabs>
        <w:tab w:val="right" w:leader="dot" w:pos="7088"/>
      </w:tabs>
      <w:autoSpaceDE w:val="0"/>
      <w:autoSpaceDN w:val="0"/>
      <w:adjustRightInd w:val="0"/>
      <w:spacing w:before="150"/>
      <w:jc w:val="both"/>
    </w:pPr>
    <w:rPr>
      <w:rFonts w:ascii="Helvetica" w:eastAsia="Times New Roman" w:hAnsi="Helvetica" w:cs="Helvetica"/>
      <w:sz w:val="20"/>
      <w:szCs w:val="20"/>
    </w:rPr>
  </w:style>
  <w:style w:type="paragraph" w:customStyle="1" w:styleId="Tartq">
    <w:name w:val="Tartq"/>
    <w:basedOn w:val="Normal"/>
    <w:rsid w:val="001D3373"/>
    <w:pPr>
      <w:autoSpaceDE w:val="0"/>
      <w:autoSpaceDN w:val="0"/>
      <w:adjustRightInd w:val="0"/>
      <w:spacing w:before="470" w:after="50"/>
      <w:jc w:val="both"/>
    </w:pPr>
    <w:rPr>
      <w:rFonts w:ascii="Helvetica" w:eastAsia="Times New Roman" w:hAnsi="Helvetica" w:cs="Helvetica"/>
      <w:b/>
      <w:bCs/>
    </w:rPr>
  </w:style>
  <w:style w:type="table" w:styleId="ListaClara-Cor3">
    <w:name w:val="Light List Accent 3"/>
    <w:basedOn w:val="Tabelanormal"/>
    <w:uiPriority w:val="61"/>
    <w:unhideWhenUsed/>
    <w:rsid w:val="001D337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itao">
    <w:name w:val="Quote"/>
    <w:basedOn w:val="Normal"/>
    <w:next w:val="Normal"/>
    <w:link w:val="CitaoCarcter"/>
    <w:uiPriority w:val="29"/>
    <w:qFormat/>
    <w:rsid w:val="001D3373"/>
    <w:pPr>
      <w:spacing w:after="200" w:line="276" w:lineRule="auto"/>
    </w:pPr>
    <w:rPr>
      <w:rFonts w:ascii="Calibri" w:eastAsia="Times New Roman" w:hAnsi="Calibri"/>
      <w:i/>
      <w:iCs/>
      <w:color w:val="000000"/>
      <w:sz w:val="22"/>
      <w:szCs w:val="22"/>
    </w:rPr>
  </w:style>
  <w:style w:type="character" w:customStyle="1" w:styleId="CitaoCarcter">
    <w:name w:val="Citação Carácter"/>
    <w:basedOn w:val="Tipodeletrapredefinidodopargrafo"/>
    <w:link w:val="Citao"/>
    <w:uiPriority w:val="29"/>
    <w:rsid w:val="001D3373"/>
    <w:rPr>
      <w:rFonts w:ascii="Calibri" w:eastAsia="Times New Roman" w:hAnsi="Calibri" w:cs="Times New Roman"/>
      <w:i/>
      <w:iCs/>
      <w:color w:val="000000"/>
      <w:lang w:eastAsia="fr-FR"/>
    </w:rPr>
  </w:style>
  <w:style w:type="paragraph" w:styleId="CitaoIntensa">
    <w:name w:val="Intense Quote"/>
    <w:basedOn w:val="Normal"/>
    <w:next w:val="Normal"/>
    <w:link w:val="CitaoIntensaCarcter"/>
    <w:uiPriority w:val="30"/>
    <w:qFormat/>
    <w:rsid w:val="001D3373"/>
    <w:pPr>
      <w:pBdr>
        <w:top w:val="single" w:sz="4" w:space="10" w:color="5B9BD5" w:themeColor="accent1"/>
        <w:bottom w:val="single" w:sz="4" w:space="10" w:color="5B9BD5" w:themeColor="accent1"/>
      </w:pBdr>
      <w:spacing w:before="360" w:after="360" w:line="276" w:lineRule="auto"/>
      <w:ind w:left="864" w:right="864"/>
      <w:jc w:val="center"/>
    </w:pPr>
    <w:rPr>
      <w:rFonts w:eastAsia="Calibri"/>
      <w:i/>
      <w:iCs/>
      <w:color w:val="5B9BD5" w:themeColor="accent1"/>
      <w:szCs w:val="22"/>
      <w:lang w:eastAsia="en-US"/>
    </w:rPr>
  </w:style>
  <w:style w:type="character" w:customStyle="1" w:styleId="CitaoIntensaCarcter">
    <w:name w:val="Citação Intensa Carácter"/>
    <w:basedOn w:val="Tipodeletrapredefinidodopargrafo"/>
    <w:link w:val="CitaoIntensa"/>
    <w:uiPriority w:val="30"/>
    <w:rsid w:val="001D3373"/>
    <w:rPr>
      <w:rFonts w:ascii="Times New Roman" w:eastAsia="Calibri" w:hAnsi="Times New Roman" w:cs="Times New Roman"/>
      <w:i/>
      <w:iCs/>
      <w:color w:val="5B9BD5" w:themeColor="accent1"/>
      <w:sz w:val="24"/>
    </w:rPr>
  </w:style>
  <w:style w:type="paragraph" w:customStyle="1" w:styleId="m8205132091282087500msolistparagraph">
    <w:name w:val="m_8205132091282087500msolistparagraph"/>
    <w:basedOn w:val="Normal"/>
    <w:rsid w:val="001D3373"/>
    <w:pPr>
      <w:spacing w:before="100" w:beforeAutospacing="1" w:after="100" w:afterAutospacing="1"/>
    </w:pPr>
    <w:rPr>
      <w:rFonts w:eastAsia="Times New Roman"/>
    </w:rPr>
  </w:style>
  <w:style w:type="character" w:customStyle="1" w:styleId="goohl4">
    <w:name w:val="goohl4"/>
    <w:basedOn w:val="Tipodeletrapredefinidodopargrafo"/>
    <w:rsid w:val="001D3373"/>
  </w:style>
  <w:style w:type="character" w:customStyle="1" w:styleId="Mentionnonrsolue1">
    <w:name w:val="Mention non résolue1"/>
    <w:basedOn w:val="Tipodeletrapredefinidodopargrafo"/>
    <w:uiPriority w:val="99"/>
    <w:semiHidden/>
    <w:unhideWhenUsed/>
    <w:rsid w:val="001D3373"/>
    <w:rPr>
      <w:color w:val="605E5C"/>
      <w:shd w:val="clear" w:color="auto" w:fill="E1DFDD"/>
    </w:rPr>
  </w:style>
  <w:style w:type="character" w:customStyle="1" w:styleId="lang-en">
    <w:name w:val="lang-en"/>
    <w:basedOn w:val="Tipodeletrapredefinidodopargrafo"/>
    <w:rsid w:val="001D3373"/>
  </w:style>
  <w:style w:type="paragraph" w:customStyle="1" w:styleId="classic">
    <w:name w:val="classic"/>
    <w:basedOn w:val="Normal"/>
    <w:rsid w:val="001D3373"/>
    <w:pPr>
      <w:spacing w:before="100" w:beforeAutospacing="1" w:after="100" w:afterAutospacing="1"/>
    </w:pPr>
  </w:style>
  <w:style w:type="paragraph" w:customStyle="1" w:styleId="Basdepage">
    <w:name w:val="Basdepage"/>
    <w:link w:val="BasdepageCar"/>
    <w:qFormat/>
    <w:rsid w:val="00B15CA5"/>
    <w:pPr>
      <w:pBdr>
        <w:top w:val="single" w:sz="4" w:space="1" w:color="auto"/>
      </w:pBdr>
      <w:spacing w:after="200" w:line="276" w:lineRule="auto"/>
    </w:pPr>
    <w:rPr>
      <w:rFonts w:ascii="Times New Roman" w:eastAsia="Times New Roman" w:hAnsi="Times New Roman" w:cstheme="minorHAnsi"/>
      <w:sz w:val="20"/>
      <w:szCs w:val="20"/>
      <w:lang w:eastAsia="fr-FR"/>
    </w:rPr>
  </w:style>
  <w:style w:type="character" w:customStyle="1" w:styleId="BasdepageCar">
    <w:name w:val="Basdepage Car"/>
    <w:basedOn w:val="RodapCarcter"/>
    <w:link w:val="Basdepage"/>
    <w:rsid w:val="00B15CA5"/>
    <w:rPr>
      <w:rFonts w:ascii="Times New Roman" w:eastAsia="Times New Roman" w:hAnsi="Times New Roman" w:cstheme="minorHAnsi"/>
      <w:sz w:val="20"/>
      <w:szCs w:val="20"/>
      <w:lang w:eastAsia="fr-FR"/>
    </w:rPr>
  </w:style>
  <w:style w:type="character" w:customStyle="1" w:styleId="Mentionnonrsolue11">
    <w:name w:val="Mention non résolue11"/>
    <w:basedOn w:val="Tipodeletrapredefinidodopargrafo"/>
    <w:uiPriority w:val="99"/>
    <w:semiHidden/>
    <w:unhideWhenUsed/>
    <w:rsid w:val="003C6DA9"/>
    <w:rPr>
      <w:color w:val="605E5C"/>
      <w:shd w:val="clear" w:color="auto" w:fill="E1DFDD"/>
    </w:rPr>
  </w:style>
  <w:style w:type="paragraph" w:customStyle="1" w:styleId="SolbaseNormal">
    <w:name w:val="Solbase_Normal"/>
    <w:basedOn w:val="Normal"/>
    <w:qFormat/>
    <w:rsid w:val="00A007E9"/>
    <w:pPr>
      <w:spacing w:after="120"/>
      <w:ind w:left="1134"/>
      <w:jc w:val="both"/>
    </w:pPr>
    <w:rPr>
      <w:rFonts w:ascii="Century Gothic" w:eastAsia="Times New Roman" w:hAnsi="Century Gothic"/>
      <w:sz w:val="20"/>
      <w:szCs w:val="20"/>
    </w:rPr>
  </w:style>
  <w:style w:type="paragraph" w:customStyle="1" w:styleId="BVIfnrCarattereCharCharCharCarattereCharCharCharCharCharChar1CharCharChar">
    <w:name w:val="BVI fnr Carattere Char Char Char Carattere Char Char Char Char Char Char1 Char Char Char"/>
    <w:basedOn w:val="Normal"/>
    <w:link w:val="Refdenotaderodap"/>
    <w:uiPriority w:val="99"/>
    <w:rsid w:val="000C30E3"/>
    <w:pPr>
      <w:spacing w:after="160" w:line="240" w:lineRule="exact"/>
    </w:pPr>
    <w:rPr>
      <w:rFonts w:asciiTheme="minorHAnsi" w:hAnsiTheme="minorHAnsi"/>
      <w:szCs w:val="22"/>
      <w:vertAlign w:val="superscript"/>
      <w:lang w:eastAsia="en-US"/>
    </w:rPr>
  </w:style>
  <w:style w:type="character" w:customStyle="1" w:styleId="NormalWebCarcter">
    <w:name w:val="Normal (Web) Carácter"/>
    <w:link w:val="NormalWeb"/>
    <w:uiPriority w:val="99"/>
    <w:rsid w:val="008B5BDA"/>
    <w:rPr>
      <w:rFonts w:ascii="Times New Roman" w:hAnsi="Times New Roman" w:cs="Times New Roman"/>
      <w:sz w:val="24"/>
      <w:szCs w:val="24"/>
      <w:lang w:eastAsia="fr-FR"/>
    </w:rPr>
  </w:style>
  <w:style w:type="paragraph" w:customStyle="1" w:styleId="Ttulo1">
    <w:name w:val="Título1"/>
    <w:basedOn w:val="Normal"/>
    <w:rsid w:val="00F641A3"/>
    <w:pPr>
      <w:spacing w:before="240" w:line="360" w:lineRule="atLeast"/>
      <w:jc w:val="center"/>
    </w:pPr>
    <w:rPr>
      <w:rFonts w:ascii="Arial" w:eastAsia="Times New Roman" w:hAnsi="Arial"/>
      <w:b/>
      <w:sz w:val="26"/>
      <w:szCs w:val="26"/>
      <w:lang w:eastAsia="en-US"/>
    </w:rPr>
  </w:style>
  <w:style w:type="paragraph" w:customStyle="1" w:styleId="texte0">
    <w:name w:val="texte"/>
    <w:basedOn w:val="Normal"/>
    <w:rsid w:val="007C0EBB"/>
    <w:pPr>
      <w:spacing w:after="200" w:line="276" w:lineRule="auto"/>
      <w:jc w:val="both"/>
    </w:pPr>
    <w:rPr>
      <w:rFonts w:ascii="Arial" w:eastAsia="Calibri" w:hAnsi="Arial" w:cs="Arial"/>
      <w:sz w:val="20"/>
      <w:szCs w:val="20"/>
      <w:lang w:eastAsia="en-US"/>
    </w:rPr>
  </w:style>
  <w:style w:type="paragraph" w:styleId="Lista3">
    <w:name w:val="List 3"/>
    <w:basedOn w:val="Normal"/>
    <w:uiPriority w:val="99"/>
    <w:unhideWhenUsed/>
    <w:rsid w:val="00A05714"/>
    <w:pPr>
      <w:ind w:left="849" w:hanging="283"/>
      <w:contextualSpacing/>
    </w:pPr>
  </w:style>
  <w:style w:type="paragraph" w:styleId="Listadecont">
    <w:name w:val="List Continue"/>
    <w:basedOn w:val="Normal"/>
    <w:uiPriority w:val="99"/>
    <w:unhideWhenUsed/>
    <w:rsid w:val="00A05714"/>
    <w:pPr>
      <w:spacing w:after="120"/>
      <w:ind w:left="283"/>
      <w:contextualSpacing/>
    </w:pPr>
  </w:style>
  <w:style w:type="paragraph" w:styleId="Listadecont2">
    <w:name w:val="List Continue 2"/>
    <w:basedOn w:val="Normal"/>
    <w:uiPriority w:val="99"/>
    <w:unhideWhenUsed/>
    <w:rsid w:val="00A05714"/>
    <w:pPr>
      <w:spacing w:after="120"/>
      <w:ind w:left="566"/>
      <w:contextualSpacing/>
    </w:pPr>
  </w:style>
  <w:style w:type="paragraph" w:styleId="Listadecont4">
    <w:name w:val="List Continue 4"/>
    <w:basedOn w:val="Normal"/>
    <w:uiPriority w:val="99"/>
    <w:unhideWhenUsed/>
    <w:rsid w:val="00A05714"/>
    <w:pPr>
      <w:spacing w:after="120"/>
      <w:ind w:left="1132"/>
      <w:contextualSpacing/>
    </w:pPr>
  </w:style>
  <w:style w:type="paragraph" w:customStyle="1" w:styleId="Grillemoyenne1-Accent21">
    <w:name w:val="Grille moyenne 1 - Accent 21"/>
    <w:aliases w:val="List Paragraph1,Medium Grid 1 - Accent 21,List_Paragraph,Multilevel para_II"/>
    <w:basedOn w:val="Normal"/>
    <w:link w:val="Grillemoyenne1-Accent2Car"/>
    <w:uiPriority w:val="34"/>
    <w:qFormat/>
    <w:rsid w:val="00CE5C45"/>
    <w:pPr>
      <w:ind w:left="720"/>
      <w:contextualSpacing/>
      <w:jc w:val="both"/>
    </w:pPr>
    <w:rPr>
      <w:rFonts w:eastAsia="Times New Roman"/>
      <w:lang w:eastAsia="en-US"/>
    </w:rPr>
  </w:style>
  <w:style w:type="table" w:customStyle="1" w:styleId="TableauGrille3-Accentuation31">
    <w:name w:val="Tableau Grille 3 - Accentuation 31"/>
    <w:basedOn w:val="Tabelanormal"/>
    <w:uiPriority w:val="48"/>
    <w:rsid w:val="001D352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auGrille3-Accentuation62">
    <w:name w:val="Tableau Grille 3 - Accentuation 62"/>
    <w:basedOn w:val="Tabelanormal"/>
    <w:uiPriority w:val="48"/>
    <w:rsid w:val="001D352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lledutableau2">
    <w:name w:val="Grille du tableau2"/>
    <w:basedOn w:val="Tabelanormal"/>
    <w:next w:val="Tabelacomgrelha"/>
    <w:uiPriority w:val="39"/>
    <w:rsid w:val="00681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3">
    <w:name w:val="Tableau Grille 1 Clair3"/>
    <w:basedOn w:val="Tabelanormal"/>
    <w:next w:val="TableauGrille1Clair4"/>
    <w:uiPriority w:val="46"/>
    <w:rsid w:val="00681EC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4">
    <w:name w:val="Tableau Grille 1 Clair4"/>
    <w:basedOn w:val="Tabelanormal"/>
    <w:uiPriority w:val="99"/>
    <w:rsid w:val="00681E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8">
    <w:name w:val="A8"/>
    <w:uiPriority w:val="99"/>
    <w:rsid w:val="002B6283"/>
    <w:rPr>
      <w:color w:val="000000"/>
      <w:sz w:val="20"/>
      <w:szCs w:val="20"/>
    </w:rPr>
  </w:style>
  <w:style w:type="character" w:customStyle="1" w:styleId="UnresolvedMention1">
    <w:name w:val="Unresolved Mention1"/>
    <w:basedOn w:val="Tipodeletrapredefinidodopargrafo"/>
    <w:uiPriority w:val="99"/>
    <w:rsid w:val="00441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5462">
      <w:bodyDiv w:val="1"/>
      <w:marLeft w:val="0"/>
      <w:marRight w:val="0"/>
      <w:marTop w:val="0"/>
      <w:marBottom w:val="0"/>
      <w:divBdr>
        <w:top w:val="none" w:sz="0" w:space="0" w:color="auto"/>
        <w:left w:val="none" w:sz="0" w:space="0" w:color="auto"/>
        <w:bottom w:val="none" w:sz="0" w:space="0" w:color="auto"/>
        <w:right w:val="none" w:sz="0" w:space="0" w:color="auto"/>
      </w:divBdr>
    </w:div>
    <w:div w:id="49305177">
      <w:bodyDiv w:val="1"/>
      <w:marLeft w:val="0"/>
      <w:marRight w:val="0"/>
      <w:marTop w:val="0"/>
      <w:marBottom w:val="0"/>
      <w:divBdr>
        <w:top w:val="none" w:sz="0" w:space="0" w:color="auto"/>
        <w:left w:val="none" w:sz="0" w:space="0" w:color="auto"/>
        <w:bottom w:val="none" w:sz="0" w:space="0" w:color="auto"/>
        <w:right w:val="none" w:sz="0" w:space="0" w:color="auto"/>
      </w:divBdr>
      <w:divsChild>
        <w:div w:id="2034182367">
          <w:marLeft w:val="0"/>
          <w:marRight w:val="0"/>
          <w:marTop w:val="0"/>
          <w:marBottom w:val="0"/>
          <w:divBdr>
            <w:top w:val="none" w:sz="0" w:space="0" w:color="auto"/>
            <w:left w:val="none" w:sz="0" w:space="0" w:color="auto"/>
            <w:bottom w:val="none" w:sz="0" w:space="0" w:color="auto"/>
            <w:right w:val="none" w:sz="0" w:space="0" w:color="auto"/>
          </w:divBdr>
          <w:divsChild>
            <w:div w:id="1188563365">
              <w:marLeft w:val="0"/>
              <w:marRight w:val="0"/>
              <w:marTop w:val="0"/>
              <w:marBottom w:val="0"/>
              <w:divBdr>
                <w:top w:val="none" w:sz="0" w:space="0" w:color="auto"/>
                <w:left w:val="none" w:sz="0" w:space="0" w:color="auto"/>
                <w:bottom w:val="none" w:sz="0" w:space="0" w:color="auto"/>
                <w:right w:val="none" w:sz="0" w:space="0" w:color="auto"/>
              </w:divBdr>
              <w:divsChild>
                <w:div w:id="50921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9138">
      <w:bodyDiv w:val="1"/>
      <w:marLeft w:val="0"/>
      <w:marRight w:val="0"/>
      <w:marTop w:val="0"/>
      <w:marBottom w:val="0"/>
      <w:divBdr>
        <w:top w:val="none" w:sz="0" w:space="0" w:color="auto"/>
        <w:left w:val="none" w:sz="0" w:space="0" w:color="auto"/>
        <w:bottom w:val="none" w:sz="0" w:space="0" w:color="auto"/>
        <w:right w:val="none" w:sz="0" w:space="0" w:color="auto"/>
      </w:divBdr>
    </w:div>
    <w:div w:id="118037805">
      <w:bodyDiv w:val="1"/>
      <w:marLeft w:val="0"/>
      <w:marRight w:val="0"/>
      <w:marTop w:val="0"/>
      <w:marBottom w:val="0"/>
      <w:divBdr>
        <w:top w:val="none" w:sz="0" w:space="0" w:color="auto"/>
        <w:left w:val="none" w:sz="0" w:space="0" w:color="auto"/>
        <w:bottom w:val="none" w:sz="0" w:space="0" w:color="auto"/>
        <w:right w:val="none" w:sz="0" w:space="0" w:color="auto"/>
      </w:divBdr>
    </w:div>
    <w:div w:id="158235032">
      <w:bodyDiv w:val="1"/>
      <w:marLeft w:val="0"/>
      <w:marRight w:val="0"/>
      <w:marTop w:val="0"/>
      <w:marBottom w:val="0"/>
      <w:divBdr>
        <w:top w:val="none" w:sz="0" w:space="0" w:color="auto"/>
        <w:left w:val="none" w:sz="0" w:space="0" w:color="auto"/>
        <w:bottom w:val="none" w:sz="0" w:space="0" w:color="auto"/>
        <w:right w:val="none" w:sz="0" w:space="0" w:color="auto"/>
      </w:divBdr>
    </w:div>
    <w:div w:id="181164123">
      <w:bodyDiv w:val="1"/>
      <w:marLeft w:val="0"/>
      <w:marRight w:val="0"/>
      <w:marTop w:val="0"/>
      <w:marBottom w:val="0"/>
      <w:divBdr>
        <w:top w:val="none" w:sz="0" w:space="0" w:color="auto"/>
        <w:left w:val="none" w:sz="0" w:space="0" w:color="auto"/>
        <w:bottom w:val="none" w:sz="0" w:space="0" w:color="auto"/>
        <w:right w:val="none" w:sz="0" w:space="0" w:color="auto"/>
      </w:divBdr>
    </w:div>
    <w:div w:id="188639600">
      <w:bodyDiv w:val="1"/>
      <w:marLeft w:val="0"/>
      <w:marRight w:val="0"/>
      <w:marTop w:val="0"/>
      <w:marBottom w:val="0"/>
      <w:divBdr>
        <w:top w:val="none" w:sz="0" w:space="0" w:color="auto"/>
        <w:left w:val="none" w:sz="0" w:space="0" w:color="auto"/>
        <w:bottom w:val="none" w:sz="0" w:space="0" w:color="auto"/>
        <w:right w:val="none" w:sz="0" w:space="0" w:color="auto"/>
      </w:divBdr>
    </w:div>
    <w:div w:id="189415407">
      <w:bodyDiv w:val="1"/>
      <w:marLeft w:val="0"/>
      <w:marRight w:val="0"/>
      <w:marTop w:val="0"/>
      <w:marBottom w:val="0"/>
      <w:divBdr>
        <w:top w:val="none" w:sz="0" w:space="0" w:color="auto"/>
        <w:left w:val="none" w:sz="0" w:space="0" w:color="auto"/>
        <w:bottom w:val="none" w:sz="0" w:space="0" w:color="auto"/>
        <w:right w:val="none" w:sz="0" w:space="0" w:color="auto"/>
      </w:divBdr>
    </w:div>
    <w:div w:id="233930229">
      <w:bodyDiv w:val="1"/>
      <w:marLeft w:val="0"/>
      <w:marRight w:val="0"/>
      <w:marTop w:val="0"/>
      <w:marBottom w:val="0"/>
      <w:divBdr>
        <w:top w:val="none" w:sz="0" w:space="0" w:color="auto"/>
        <w:left w:val="none" w:sz="0" w:space="0" w:color="auto"/>
        <w:bottom w:val="none" w:sz="0" w:space="0" w:color="auto"/>
        <w:right w:val="none" w:sz="0" w:space="0" w:color="auto"/>
      </w:divBdr>
    </w:div>
    <w:div w:id="253980743">
      <w:bodyDiv w:val="1"/>
      <w:marLeft w:val="0"/>
      <w:marRight w:val="0"/>
      <w:marTop w:val="0"/>
      <w:marBottom w:val="0"/>
      <w:divBdr>
        <w:top w:val="none" w:sz="0" w:space="0" w:color="auto"/>
        <w:left w:val="none" w:sz="0" w:space="0" w:color="auto"/>
        <w:bottom w:val="none" w:sz="0" w:space="0" w:color="auto"/>
        <w:right w:val="none" w:sz="0" w:space="0" w:color="auto"/>
      </w:divBdr>
    </w:div>
    <w:div w:id="284164980">
      <w:bodyDiv w:val="1"/>
      <w:marLeft w:val="0"/>
      <w:marRight w:val="0"/>
      <w:marTop w:val="0"/>
      <w:marBottom w:val="0"/>
      <w:divBdr>
        <w:top w:val="none" w:sz="0" w:space="0" w:color="auto"/>
        <w:left w:val="none" w:sz="0" w:space="0" w:color="auto"/>
        <w:bottom w:val="none" w:sz="0" w:space="0" w:color="auto"/>
        <w:right w:val="none" w:sz="0" w:space="0" w:color="auto"/>
      </w:divBdr>
    </w:div>
    <w:div w:id="313533751">
      <w:bodyDiv w:val="1"/>
      <w:marLeft w:val="0"/>
      <w:marRight w:val="0"/>
      <w:marTop w:val="0"/>
      <w:marBottom w:val="0"/>
      <w:divBdr>
        <w:top w:val="none" w:sz="0" w:space="0" w:color="auto"/>
        <w:left w:val="none" w:sz="0" w:space="0" w:color="auto"/>
        <w:bottom w:val="none" w:sz="0" w:space="0" w:color="auto"/>
        <w:right w:val="none" w:sz="0" w:space="0" w:color="auto"/>
      </w:divBdr>
    </w:div>
    <w:div w:id="345793119">
      <w:bodyDiv w:val="1"/>
      <w:marLeft w:val="0"/>
      <w:marRight w:val="0"/>
      <w:marTop w:val="0"/>
      <w:marBottom w:val="0"/>
      <w:divBdr>
        <w:top w:val="none" w:sz="0" w:space="0" w:color="auto"/>
        <w:left w:val="none" w:sz="0" w:space="0" w:color="auto"/>
        <w:bottom w:val="none" w:sz="0" w:space="0" w:color="auto"/>
        <w:right w:val="none" w:sz="0" w:space="0" w:color="auto"/>
      </w:divBdr>
    </w:div>
    <w:div w:id="364214955">
      <w:bodyDiv w:val="1"/>
      <w:marLeft w:val="0"/>
      <w:marRight w:val="0"/>
      <w:marTop w:val="0"/>
      <w:marBottom w:val="0"/>
      <w:divBdr>
        <w:top w:val="none" w:sz="0" w:space="0" w:color="auto"/>
        <w:left w:val="none" w:sz="0" w:space="0" w:color="auto"/>
        <w:bottom w:val="none" w:sz="0" w:space="0" w:color="auto"/>
        <w:right w:val="none" w:sz="0" w:space="0" w:color="auto"/>
      </w:divBdr>
    </w:div>
    <w:div w:id="379860078">
      <w:bodyDiv w:val="1"/>
      <w:marLeft w:val="0"/>
      <w:marRight w:val="0"/>
      <w:marTop w:val="0"/>
      <w:marBottom w:val="0"/>
      <w:divBdr>
        <w:top w:val="none" w:sz="0" w:space="0" w:color="auto"/>
        <w:left w:val="none" w:sz="0" w:space="0" w:color="auto"/>
        <w:bottom w:val="none" w:sz="0" w:space="0" w:color="auto"/>
        <w:right w:val="none" w:sz="0" w:space="0" w:color="auto"/>
      </w:divBdr>
    </w:div>
    <w:div w:id="391319309">
      <w:bodyDiv w:val="1"/>
      <w:marLeft w:val="0"/>
      <w:marRight w:val="0"/>
      <w:marTop w:val="0"/>
      <w:marBottom w:val="0"/>
      <w:divBdr>
        <w:top w:val="none" w:sz="0" w:space="0" w:color="auto"/>
        <w:left w:val="none" w:sz="0" w:space="0" w:color="auto"/>
        <w:bottom w:val="none" w:sz="0" w:space="0" w:color="auto"/>
        <w:right w:val="none" w:sz="0" w:space="0" w:color="auto"/>
      </w:divBdr>
    </w:div>
    <w:div w:id="396510230">
      <w:bodyDiv w:val="1"/>
      <w:marLeft w:val="0"/>
      <w:marRight w:val="0"/>
      <w:marTop w:val="0"/>
      <w:marBottom w:val="0"/>
      <w:divBdr>
        <w:top w:val="none" w:sz="0" w:space="0" w:color="auto"/>
        <w:left w:val="none" w:sz="0" w:space="0" w:color="auto"/>
        <w:bottom w:val="none" w:sz="0" w:space="0" w:color="auto"/>
        <w:right w:val="none" w:sz="0" w:space="0" w:color="auto"/>
      </w:divBdr>
    </w:div>
    <w:div w:id="424810451">
      <w:bodyDiv w:val="1"/>
      <w:marLeft w:val="0"/>
      <w:marRight w:val="0"/>
      <w:marTop w:val="0"/>
      <w:marBottom w:val="0"/>
      <w:divBdr>
        <w:top w:val="none" w:sz="0" w:space="0" w:color="auto"/>
        <w:left w:val="none" w:sz="0" w:space="0" w:color="auto"/>
        <w:bottom w:val="none" w:sz="0" w:space="0" w:color="auto"/>
        <w:right w:val="none" w:sz="0" w:space="0" w:color="auto"/>
      </w:divBdr>
    </w:div>
    <w:div w:id="428160804">
      <w:bodyDiv w:val="1"/>
      <w:marLeft w:val="0"/>
      <w:marRight w:val="0"/>
      <w:marTop w:val="0"/>
      <w:marBottom w:val="0"/>
      <w:divBdr>
        <w:top w:val="none" w:sz="0" w:space="0" w:color="auto"/>
        <w:left w:val="none" w:sz="0" w:space="0" w:color="auto"/>
        <w:bottom w:val="none" w:sz="0" w:space="0" w:color="auto"/>
        <w:right w:val="none" w:sz="0" w:space="0" w:color="auto"/>
      </w:divBdr>
    </w:div>
    <w:div w:id="429936797">
      <w:bodyDiv w:val="1"/>
      <w:marLeft w:val="0"/>
      <w:marRight w:val="0"/>
      <w:marTop w:val="0"/>
      <w:marBottom w:val="0"/>
      <w:divBdr>
        <w:top w:val="none" w:sz="0" w:space="0" w:color="auto"/>
        <w:left w:val="none" w:sz="0" w:space="0" w:color="auto"/>
        <w:bottom w:val="none" w:sz="0" w:space="0" w:color="auto"/>
        <w:right w:val="none" w:sz="0" w:space="0" w:color="auto"/>
      </w:divBdr>
    </w:div>
    <w:div w:id="484400277">
      <w:bodyDiv w:val="1"/>
      <w:marLeft w:val="0"/>
      <w:marRight w:val="0"/>
      <w:marTop w:val="0"/>
      <w:marBottom w:val="0"/>
      <w:divBdr>
        <w:top w:val="none" w:sz="0" w:space="0" w:color="auto"/>
        <w:left w:val="none" w:sz="0" w:space="0" w:color="auto"/>
        <w:bottom w:val="none" w:sz="0" w:space="0" w:color="auto"/>
        <w:right w:val="none" w:sz="0" w:space="0" w:color="auto"/>
      </w:divBdr>
    </w:div>
    <w:div w:id="507210353">
      <w:bodyDiv w:val="1"/>
      <w:marLeft w:val="0"/>
      <w:marRight w:val="0"/>
      <w:marTop w:val="0"/>
      <w:marBottom w:val="0"/>
      <w:divBdr>
        <w:top w:val="none" w:sz="0" w:space="0" w:color="auto"/>
        <w:left w:val="none" w:sz="0" w:space="0" w:color="auto"/>
        <w:bottom w:val="none" w:sz="0" w:space="0" w:color="auto"/>
        <w:right w:val="none" w:sz="0" w:space="0" w:color="auto"/>
      </w:divBdr>
    </w:div>
    <w:div w:id="516503523">
      <w:bodyDiv w:val="1"/>
      <w:marLeft w:val="0"/>
      <w:marRight w:val="0"/>
      <w:marTop w:val="0"/>
      <w:marBottom w:val="0"/>
      <w:divBdr>
        <w:top w:val="none" w:sz="0" w:space="0" w:color="auto"/>
        <w:left w:val="none" w:sz="0" w:space="0" w:color="auto"/>
        <w:bottom w:val="none" w:sz="0" w:space="0" w:color="auto"/>
        <w:right w:val="none" w:sz="0" w:space="0" w:color="auto"/>
      </w:divBdr>
    </w:div>
    <w:div w:id="524976043">
      <w:bodyDiv w:val="1"/>
      <w:marLeft w:val="0"/>
      <w:marRight w:val="0"/>
      <w:marTop w:val="0"/>
      <w:marBottom w:val="0"/>
      <w:divBdr>
        <w:top w:val="none" w:sz="0" w:space="0" w:color="auto"/>
        <w:left w:val="none" w:sz="0" w:space="0" w:color="auto"/>
        <w:bottom w:val="none" w:sz="0" w:space="0" w:color="auto"/>
        <w:right w:val="none" w:sz="0" w:space="0" w:color="auto"/>
      </w:divBdr>
    </w:div>
    <w:div w:id="546840744">
      <w:bodyDiv w:val="1"/>
      <w:marLeft w:val="0"/>
      <w:marRight w:val="0"/>
      <w:marTop w:val="0"/>
      <w:marBottom w:val="0"/>
      <w:divBdr>
        <w:top w:val="none" w:sz="0" w:space="0" w:color="auto"/>
        <w:left w:val="none" w:sz="0" w:space="0" w:color="auto"/>
        <w:bottom w:val="none" w:sz="0" w:space="0" w:color="auto"/>
        <w:right w:val="none" w:sz="0" w:space="0" w:color="auto"/>
      </w:divBdr>
    </w:div>
    <w:div w:id="553083529">
      <w:bodyDiv w:val="1"/>
      <w:marLeft w:val="0"/>
      <w:marRight w:val="0"/>
      <w:marTop w:val="0"/>
      <w:marBottom w:val="0"/>
      <w:divBdr>
        <w:top w:val="none" w:sz="0" w:space="0" w:color="auto"/>
        <w:left w:val="none" w:sz="0" w:space="0" w:color="auto"/>
        <w:bottom w:val="none" w:sz="0" w:space="0" w:color="auto"/>
        <w:right w:val="none" w:sz="0" w:space="0" w:color="auto"/>
      </w:divBdr>
    </w:div>
    <w:div w:id="573783660">
      <w:bodyDiv w:val="1"/>
      <w:marLeft w:val="0"/>
      <w:marRight w:val="0"/>
      <w:marTop w:val="0"/>
      <w:marBottom w:val="0"/>
      <w:divBdr>
        <w:top w:val="none" w:sz="0" w:space="0" w:color="auto"/>
        <w:left w:val="none" w:sz="0" w:space="0" w:color="auto"/>
        <w:bottom w:val="none" w:sz="0" w:space="0" w:color="auto"/>
        <w:right w:val="none" w:sz="0" w:space="0" w:color="auto"/>
      </w:divBdr>
    </w:div>
    <w:div w:id="585071675">
      <w:bodyDiv w:val="1"/>
      <w:marLeft w:val="0"/>
      <w:marRight w:val="0"/>
      <w:marTop w:val="0"/>
      <w:marBottom w:val="0"/>
      <w:divBdr>
        <w:top w:val="none" w:sz="0" w:space="0" w:color="auto"/>
        <w:left w:val="none" w:sz="0" w:space="0" w:color="auto"/>
        <w:bottom w:val="none" w:sz="0" w:space="0" w:color="auto"/>
        <w:right w:val="none" w:sz="0" w:space="0" w:color="auto"/>
      </w:divBdr>
    </w:div>
    <w:div w:id="589242753">
      <w:bodyDiv w:val="1"/>
      <w:marLeft w:val="0"/>
      <w:marRight w:val="0"/>
      <w:marTop w:val="0"/>
      <w:marBottom w:val="0"/>
      <w:divBdr>
        <w:top w:val="none" w:sz="0" w:space="0" w:color="auto"/>
        <w:left w:val="none" w:sz="0" w:space="0" w:color="auto"/>
        <w:bottom w:val="none" w:sz="0" w:space="0" w:color="auto"/>
        <w:right w:val="none" w:sz="0" w:space="0" w:color="auto"/>
      </w:divBdr>
    </w:div>
    <w:div w:id="590625638">
      <w:bodyDiv w:val="1"/>
      <w:marLeft w:val="0"/>
      <w:marRight w:val="0"/>
      <w:marTop w:val="0"/>
      <w:marBottom w:val="0"/>
      <w:divBdr>
        <w:top w:val="none" w:sz="0" w:space="0" w:color="auto"/>
        <w:left w:val="none" w:sz="0" w:space="0" w:color="auto"/>
        <w:bottom w:val="none" w:sz="0" w:space="0" w:color="auto"/>
        <w:right w:val="none" w:sz="0" w:space="0" w:color="auto"/>
      </w:divBdr>
    </w:div>
    <w:div w:id="634990652">
      <w:bodyDiv w:val="1"/>
      <w:marLeft w:val="0"/>
      <w:marRight w:val="0"/>
      <w:marTop w:val="0"/>
      <w:marBottom w:val="0"/>
      <w:divBdr>
        <w:top w:val="none" w:sz="0" w:space="0" w:color="auto"/>
        <w:left w:val="none" w:sz="0" w:space="0" w:color="auto"/>
        <w:bottom w:val="none" w:sz="0" w:space="0" w:color="auto"/>
        <w:right w:val="none" w:sz="0" w:space="0" w:color="auto"/>
      </w:divBdr>
    </w:div>
    <w:div w:id="637297239">
      <w:bodyDiv w:val="1"/>
      <w:marLeft w:val="0"/>
      <w:marRight w:val="0"/>
      <w:marTop w:val="0"/>
      <w:marBottom w:val="0"/>
      <w:divBdr>
        <w:top w:val="none" w:sz="0" w:space="0" w:color="auto"/>
        <w:left w:val="none" w:sz="0" w:space="0" w:color="auto"/>
        <w:bottom w:val="none" w:sz="0" w:space="0" w:color="auto"/>
        <w:right w:val="none" w:sz="0" w:space="0" w:color="auto"/>
      </w:divBdr>
    </w:div>
    <w:div w:id="661202080">
      <w:bodyDiv w:val="1"/>
      <w:marLeft w:val="0"/>
      <w:marRight w:val="0"/>
      <w:marTop w:val="0"/>
      <w:marBottom w:val="0"/>
      <w:divBdr>
        <w:top w:val="none" w:sz="0" w:space="0" w:color="auto"/>
        <w:left w:val="none" w:sz="0" w:space="0" w:color="auto"/>
        <w:bottom w:val="none" w:sz="0" w:space="0" w:color="auto"/>
        <w:right w:val="none" w:sz="0" w:space="0" w:color="auto"/>
      </w:divBdr>
    </w:div>
    <w:div w:id="679432406">
      <w:bodyDiv w:val="1"/>
      <w:marLeft w:val="0"/>
      <w:marRight w:val="0"/>
      <w:marTop w:val="0"/>
      <w:marBottom w:val="0"/>
      <w:divBdr>
        <w:top w:val="none" w:sz="0" w:space="0" w:color="auto"/>
        <w:left w:val="none" w:sz="0" w:space="0" w:color="auto"/>
        <w:bottom w:val="none" w:sz="0" w:space="0" w:color="auto"/>
        <w:right w:val="none" w:sz="0" w:space="0" w:color="auto"/>
      </w:divBdr>
    </w:div>
    <w:div w:id="702831985">
      <w:bodyDiv w:val="1"/>
      <w:marLeft w:val="0"/>
      <w:marRight w:val="0"/>
      <w:marTop w:val="0"/>
      <w:marBottom w:val="0"/>
      <w:divBdr>
        <w:top w:val="none" w:sz="0" w:space="0" w:color="auto"/>
        <w:left w:val="none" w:sz="0" w:space="0" w:color="auto"/>
        <w:bottom w:val="none" w:sz="0" w:space="0" w:color="auto"/>
        <w:right w:val="none" w:sz="0" w:space="0" w:color="auto"/>
      </w:divBdr>
    </w:div>
    <w:div w:id="705644022">
      <w:bodyDiv w:val="1"/>
      <w:marLeft w:val="0"/>
      <w:marRight w:val="0"/>
      <w:marTop w:val="0"/>
      <w:marBottom w:val="0"/>
      <w:divBdr>
        <w:top w:val="none" w:sz="0" w:space="0" w:color="auto"/>
        <w:left w:val="none" w:sz="0" w:space="0" w:color="auto"/>
        <w:bottom w:val="none" w:sz="0" w:space="0" w:color="auto"/>
        <w:right w:val="none" w:sz="0" w:space="0" w:color="auto"/>
      </w:divBdr>
    </w:div>
    <w:div w:id="707411376">
      <w:bodyDiv w:val="1"/>
      <w:marLeft w:val="0"/>
      <w:marRight w:val="0"/>
      <w:marTop w:val="0"/>
      <w:marBottom w:val="0"/>
      <w:divBdr>
        <w:top w:val="none" w:sz="0" w:space="0" w:color="auto"/>
        <w:left w:val="none" w:sz="0" w:space="0" w:color="auto"/>
        <w:bottom w:val="none" w:sz="0" w:space="0" w:color="auto"/>
        <w:right w:val="none" w:sz="0" w:space="0" w:color="auto"/>
      </w:divBdr>
    </w:div>
    <w:div w:id="712389843">
      <w:bodyDiv w:val="1"/>
      <w:marLeft w:val="0"/>
      <w:marRight w:val="0"/>
      <w:marTop w:val="0"/>
      <w:marBottom w:val="0"/>
      <w:divBdr>
        <w:top w:val="none" w:sz="0" w:space="0" w:color="auto"/>
        <w:left w:val="none" w:sz="0" w:space="0" w:color="auto"/>
        <w:bottom w:val="none" w:sz="0" w:space="0" w:color="auto"/>
        <w:right w:val="none" w:sz="0" w:space="0" w:color="auto"/>
      </w:divBdr>
    </w:div>
    <w:div w:id="713237922">
      <w:bodyDiv w:val="1"/>
      <w:marLeft w:val="0"/>
      <w:marRight w:val="0"/>
      <w:marTop w:val="0"/>
      <w:marBottom w:val="0"/>
      <w:divBdr>
        <w:top w:val="none" w:sz="0" w:space="0" w:color="auto"/>
        <w:left w:val="none" w:sz="0" w:space="0" w:color="auto"/>
        <w:bottom w:val="none" w:sz="0" w:space="0" w:color="auto"/>
        <w:right w:val="none" w:sz="0" w:space="0" w:color="auto"/>
      </w:divBdr>
    </w:div>
    <w:div w:id="715003940">
      <w:bodyDiv w:val="1"/>
      <w:marLeft w:val="0"/>
      <w:marRight w:val="0"/>
      <w:marTop w:val="0"/>
      <w:marBottom w:val="0"/>
      <w:divBdr>
        <w:top w:val="none" w:sz="0" w:space="0" w:color="auto"/>
        <w:left w:val="none" w:sz="0" w:space="0" w:color="auto"/>
        <w:bottom w:val="none" w:sz="0" w:space="0" w:color="auto"/>
        <w:right w:val="none" w:sz="0" w:space="0" w:color="auto"/>
      </w:divBdr>
    </w:div>
    <w:div w:id="731779125">
      <w:bodyDiv w:val="1"/>
      <w:marLeft w:val="0"/>
      <w:marRight w:val="0"/>
      <w:marTop w:val="0"/>
      <w:marBottom w:val="0"/>
      <w:divBdr>
        <w:top w:val="none" w:sz="0" w:space="0" w:color="auto"/>
        <w:left w:val="none" w:sz="0" w:space="0" w:color="auto"/>
        <w:bottom w:val="none" w:sz="0" w:space="0" w:color="auto"/>
        <w:right w:val="none" w:sz="0" w:space="0" w:color="auto"/>
      </w:divBdr>
    </w:div>
    <w:div w:id="755789530">
      <w:bodyDiv w:val="1"/>
      <w:marLeft w:val="0"/>
      <w:marRight w:val="0"/>
      <w:marTop w:val="0"/>
      <w:marBottom w:val="0"/>
      <w:divBdr>
        <w:top w:val="none" w:sz="0" w:space="0" w:color="auto"/>
        <w:left w:val="none" w:sz="0" w:space="0" w:color="auto"/>
        <w:bottom w:val="none" w:sz="0" w:space="0" w:color="auto"/>
        <w:right w:val="none" w:sz="0" w:space="0" w:color="auto"/>
      </w:divBdr>
    </w:div>
    <w:div w:id="777338411">
      <w:bodyDiv w:val="1"/>
      <w:marLeft w:val="0"/>
      <w:marRight w:val="0"/>
      <w:marTop w:val="0"/>
      <w:marBottom w:val="0"/>
      <w:divBdr>
        <w:top w:val="none" w:sz="0" w:space="0" w:color="auto"/>
        <w:left w:val="none" w:sz="0" w:space="0" w:color="auto"/>
        <w:bottom w:val="none" w:sz="0" w:space="0" w:color="auto"/>
        <w:right w:val="none" w:sz="0" w:space="0" w:color="auto"/>
      </w:divBdr>
    </w:div>
    <w:div w:id="824736174">
      <w:bodyDiv w:val="1"/>
      <w:marLeft w:val="0"/>
      <w:marRight w:val="0"/>
      <w:marTop w:val="0"/>
      <w:marBottom w:val="0"/>
      <w:divBdr>
        <w:top w:val="none" w:sz="0" w:space="0" w:color="auto"/>
        <w:left w:val="none" w:sz="0" w:space="0" w:color="auto"/>
        <w:bottom w:val="none" w:sz="0" w:space="0" w:color="auto"/>
        <w:right w:val="none" w:sz="0" w:space="0" w:color="auto"/>
      </w:divBdr>
    </w:div>
    <w:div w:id="825130774">
      <w:bodyDiv w:val="1"/>
      <w:marLeft w:val="0"/>
      <w:marRight w:val="0"/>
      <w:marTop w:val="0"/>
      <w:marBottom w:val="0"/>
      <w:divBdr>
        <w:top w:val="none" w:sz="0" w:space="0" w:color="auto"/>
        <w:left w:val="none" w:sz="0" w:space="0" w:color="auto"/>
        <w:bottom w:val="none" w:sz="0" w:space="0" w:color="auto"/>
        <w:right w:val="none" w:sz="0" w:space="0" w:color="auto"/>
      </w:divBdr>
    </w:div>
    <w:div w:id="851991083">
      <w:bodyDiv w:val="1"/>
      <w:marLeft w:val="0"/>
      <w:marRight w:val="0"/>
      <w:marTop w:val="0"/>
      <w:marBottom w:val="0"/>
      <w:divBdr>
        <w:top w:val="none" w:sz="0" w:space="0" w:color="auto"/>
        <w:left w:val="none" w:sz="0" w:space="0" w:color="auto"/>
        <w:bottom w:val="none" w:sz="0" w:space="0" w:color="auto"/>
        <w:right w:val="none" w:sz="0" w:space="0" w:color="auto"/>
      </w:divBdr>
    </w:div>
    <w:div w:id="854421533">
      <w:bodyDiv w:val="1"/>
      <w:marLeft w:val="0"/>
      <w:marRight w:val="0"/>
      <w:marTop w:val="0"/>
      <w:marBottom w:val="0"/>
      <w:divBdr>
        <w:top w:val="none" w:sz="0" w:space="0" w:color="auto"/>
        <w:left w:val="none" w:sz="0" w:space="0" w:color="auto"/>
        <w:bottom w:val="none" w:sz="0" w:space="0" w:color="auto"/>
        <w:right w:val="none" w:sz="0" w:space="0" w:color="auto"/>
      </w:divBdr>
    </w:div>
    <w:div w:id="858080828">
      <w:bodyDiv w:val="1"/>
      <w:marLeft w:val="0"/>
      <w:marRight w:val="0"/>
      <w:marTop w:val="0"/>
      <w:marBottom w:val="0"/>
      <w:divBdr>
        <w:top w:val="none" w:sz="0" w:space="0" w:color="auto"/>
        <w:left w:val="none" w:sz="0" w:space="0" w:color="auto"/>
        <w:bottom w:val="none" w:sz="0" w:space="0" w:color="auto"/>
        <w:right w:val="none" w:sz="0" w:space="0" w:color="auto"/>
      </w:divBdr>
    </w:div>
    <w:div w:id="867258977">
      <w:bodyDiv w:val="1"/>
      <w:marLeft w:val="0"/>
      <w:marRight w:val="0"/>
      <w:marTop w:val="0"/>
      <w:marBottom w:val="0"/>
      <w:divBdr>
        <w:top w:val="none" w:sz="0" w:space="0" w:color="auto"/>
        <w:left w:val="none" w:sz="0" w:space="0" w:color="auto"/>
        <w:bottom w:val="none" w:sz="0" w:space="0" w:color="auto"/>
        <w:right w:val="none" w:sz="0" w:space="0" w:color="auto"/>
      </w:divBdr>
    </w:div>
    <w:div w:id="899093593">
      <w:bodyDiv w:val="1"/>
      <w:marLeft w:val="0"/>
      <w:marRight w:val="0"/>
      <w:marTop w:val="0"/>
      <w:marBottom w:val="0"/>
      <w:divBdr>
        <w:top w:val="none" w:sz="0" w:space="0" w:color="auto"/>
        <w:left w:val="none" w:sz="0" w:space="0" w:color="auto"/>
        <w:bottom w:val="none" w:sz="0" w:space="0" w:color="auto"/>
        <w:right w:val="none" w:sz="0" w:space="0" w:color="auto"/>
      </w:divBdr>
    </w:div>
    <w:div w:id="970984103">
      <w:bodyDiv w:val="1"/>
      <w:marLeft w:val="0"/>
      <w:marRight w:val="0"/>
      <w:marTop w:val="0"/>
      <w:marBottom w:val="0"/>
      <w:divBdr>
        <w:top w:val="none" w:sz="0" w:space="0" w:color="auto"/>
        <w:left w:val="none" w:sz="0" w:space="0" w:color="auto"/>
        <w:bottom w:val="none" w:sz="0" w:space="0" w:color="auto"/>
        <w:right w:val="none" w:sz="0" w:space="0" w:color="auto"/>
      </w:divBdr>
    </w:div>
    <w:div w:id="1005405553">
      <w:bodyDiv w:val="1"/>
      <w:marLeft w:val="0"/>
      <w:marRight w:val="0"/>
      <w:marTop w:val="0"/>
      <w:marBottom w:val="0"/>
      <w:divBdr>
        <w:top w:val="none" w:sz="0" w:space="0" w:color="auto"/>
        <w:left w:val="none" w:sz="0" w:space="0" w:color="auto"/>
        <w:bottom w:val="none" w:sz="0" w:space="0" w:color="auto"/>
        <w:right w:val="none" w:sz="0" w:space="0" w:color="auto"/>
      </w:divBdr>
    </w:div>
    <w:div w:id="1028288260">
      <w:bodyDiv w:val="1"/>
      <w:marLeft w:val="0"/>
      <w:marRight w:val="0"/>
      <w:marTop w:val="0"/>
      <w:marBottom w:val="0"/>
      <w:divBdr>
        <w:top w:val="none" w:sz="0" w:space="0" w:color="auto"/>
        <w:left w:val="none" w:sz="0" w:space="0" w:color="auto"/>
        <w:bottom w:val="none" w:sz="0" w:space="0" w:color="auto"/>
        <w:right w:val="none" w:sz="0" w:space="0" w:color="auto"/>
      </w:divBdr>
    </w:div>
    <w:div w:id="1079789579">
      <w:bodyDiv w:val="1"/>
      <w:marLeft w:val="0"/>
      <w:marRight w:val="0"/>
      <w:marTop w:val="0"/>
      <w:marBottom w:val="0"/>
      <w:divBdr>
        <w:top w:val="none" w:sz="0" w:space="0" w:color="auto"/>
        <w:left w:val="none" w:sz="0" w:space="0" w:color="auto"/>
        <w:bottom w:val="none" w:sz="0" w:space="0" w:color="auto"/>
        <w:right w:val="none" w:sz="0" w:space="0" w:color="auto"/>
      </w:divBdr>
    </w:div>
    <w:div w:id="1091269424">
      <w:bodyDiv w:val="1"/>
      <w:marLeft w:val="0"/>
      <w:marRight w:val="0"/>
      <w:marTop w:val="0"/>
      <w:marBottom w:val="0"/>
      <w:divBdr>
        <w:top w:val="none" w:sz="0" w:space="0" w:color="auto"/>
        <w:left w:val="none" w:sz="0" w:space="0" w:color="auto"/>
        <w:bottom w:val="none" w:sz="0" w:space="0" w:color="auto"/>
        <w:right w:val="none" w:sz="0" w:space="0" w:color="auto"/>
      </w:divBdr>
    </w:div>
    <w:div w:id="1099638606">
      <w:bodyDiv w:val="1"/>
      <w:marLeft w:val="0"/>
      <w:marRight w:val="0"/>
      <w:marTop w:val="0"/>
      <w:marBottom w:val="0"/>
      <w:divBdr>
        <w:top w:val="none" w:sz="0" w:space="0" w:color="auto"/>
        <w:left w:val="none" w:sz="0" w:space="0" w:color="auto"/>
        <w:bottom w:val="none" w:sz="0" w:space="0" w:color="auto"/>
        <w:right w:val="none" w:sz="0" w:space="0" w:color="auto"/>
      </w:divBdr>
    </w:div>
    <w:div w:id="1138835493">
      <w:bodyDiv w:val="1"/>
      <w:marLeft w:val="0"/>
      <w:marRight w:val="0"/>
      <w:marTop w:val="0"/>
      <w:marBottom w:val="0"/>
      <w:divBdr>
        <w:top w:val="none" w:sz="0" w:space="0" w:color="auto"/>
        <w:left w:val="none" w:sz="0" w:space="0" w:color="auto"/>
        <w:bottom w:val="none" w:sz="0" w:space="0" w:color="auto"/>
        <w:right w:val="none" w:sz="0" w:space="0" w:color="auto"/>
      </w:divBdr>
    </w:div>
    <w:div w:id="1182623757">
      <w:bodyDiv w:val="1"/>
      <w:marLeft w:val="0"/>
      <w:marRight w:val="0"/>
      <w:marTop w:val="0"/>
      <w:marBottom w:val="0"/>
      <w:divBdr>
        <w:top w:val="none" w:sz="0" w:space="0" w:color="auto"/>
        <w:left w:val="none" w:sz="0" w:space="0" w:color="auto"/>
        <w:bottom w:val="none" w:sz="0" w:space="0" w:color="auto"/>
        <w:right w:val="none" w:sz="0" w:space="0" w:color="auto"/>
      </w:divBdr>
    </w:div>
    <w:div w:id="1201013664">
      <w:bodyDiv w:val="1"/>
      <w:marLeft w:val="0"/>
      <w:marRight w:val="0"/>
      <w:marTop w:val="0"/>
      <w:marBottom w:val="0"/>
      <w:divBdr>
        <w:top w:val="none" w:sz="0" w:space="0" w:color="auto"/>
        <w:left w:val="none" w:sz="0" w:space="0" w:color="auto"/>
        <w:bottom w:val="none" w:sz="0" w:space="0" w:color="auto"/>
        <w:right w:val="none" w:sz="0" w:space="0" w:color="auto"/>
      </w:divBdr>
    </w:div>
    <w:div w:id="1204901037">
      <w:bodyDiv w:val="1"/>
      <w:marLeft w:val="0"/>
      <w:marRight w:val="0"/>
      <w:marTop w:val="0"/>
      <w:marBottom w:val="0"/>
      <w:divBdr>
        <w:top w:val="none" w:sz="0" w:space="0" w:color="auto"/>
        <w:left w:val="none" w:sz="0" w:space="0" w:color="auto"/>
        <w:bottom w:val="none" w:sz="0" w:space="0" w:color="auto"/>
        <w:right w:val="none" w:sz="0" w:space="0" w:color="auto"/>
      </w:divBdr>
    </w:div>
    <w:div w:id="1367634199">
      <w:bodyDiv w:val="1"/>
      <w:marLeft w:val="0"/>
      <w:marRight w:val="0"/>
      <w:marTop w:val="0"/>
      <w:marBottom w:val="0"/>
      <w:divBdr>
        <w:top w:val="none" w:sz="0" w:space="0" w:color="auto"/>
        <w:left w:val="none" w:sz="0" w:space="0" w:color="auto"/>
        <w:bottom w:val="none" w:sz="0" w:space="0" w:color="auto"/>
        <w:right w:val="none" w:sz="0" w:space="0" w:color="auto"/>
      </w:divBdr>
    </w:div>
    <w:div w:id="1369187167">
      <w:bodyDiv w:val="1"/>
      <w:marLeft w:val="0"/>
      <w:marRight w:val="0"/>
      <w:marTop w:val="0"/>
      <w:marBottom w:val="0"/>
      <w:divBdr>
        <w:top w:val="none" w:sz="0" w:space="0" w:color="auto"/>
        <w:left w:val="none" w:sz="0" w:space="0" w:color="auto"/>
        <w:bottom w:val="none" w:sz="0" w:space="0" w:color="auto"/>
        <w:right w:val="none" w:sz="0" w:space="0" w:color="auto"/>
      </w:divBdr>
    </w:div>
    <w:div w:id="1387988481">
      <w:bodyDiv w:val="1"/>
      <w:marLeft w:val="0"/>
      <w:marRight w:val="0"/>
      <w:marTop w:val="0"/>
      <w:marBottom w:val="0"/>
      <w:divBdr>
        <w:top w:val="none" w:sz="0" w:space="0" w:color="auto"/>
        <w:left w:val="none" w:sz="0" w:space="0" w:color="auto"/>
        <w:bottom w:val="none" w:sz="0" w:space="0" w:color="auto"/>
        <w:right w:val="none" w:sz="0" w:space="0" w:color="auto"/>
      </w:divBdr>
    </w:div>
    <w:div w:id="1404451867">
      <w:bodyDiv w:val="1"/>
      <w:marLeft w:val="0"/>
      <w:marRight w:val="0"/>
      <w:marTop w:val="0"/>
      <w:marBottom w:val="0"/>
      <w:divBdr>
        <w:top w:val="none" w:sz="0" w:space="0" w:color="auto"/>
        <w:left w:val="none" w:sz="0" w:space="0" w:color="auto"/>
        <w:bottom w:val="none" w:sz="0" w:space="0" w:color="auto"/>
        <w:right w:val="none" w:sz="0" w:space="0" w:color="auto"/>
      </w:divBdr>
    </w:div>
    <w:div w:id="1429423544">
      <w:bodyDiv w:val="1"/>
      <w:marLeft w:val="0"/>
      <w:marRight w:val="0"/>
      <w:marTop w:val="0"/>
      <w:marBottom w:val="0"/>
      <w:divBdr>
        <w:top w:val="none" w:sz="0" w:space="0" w:color="auto"/>
        <w:left w:val="none" w:sz="0" w:space="0" w:color="auto"/>
        <w:bottom w:val="none" w:sz="0" w:space="0" w:color="auto"/>
        <w:right w:val="none" w:sz="0" w:space="0" w:color="auto"/>
      </w:divBdr>
    </w:div>
    <w:div w:id="1432120473">
      <w:bodyDiv w:val="1"/>
      <w:marLeft w:val="0"/>
      <w:marRight w:val="0"/>
      <w:marTop w:val="0"/>
      <w:marBottom w:val="0"/>
      <w:divBdr>
        <w:top w:val="none" w:sz="0" w:space="0" w:color="auto"/>
        <w:left w:val="none" w:sz="0" w:space="0" w:color="auto"/>
        <w:bottom w:val="none" w:sz="0" w:space="0" w:color="auto"/>
        <w:right w:val="none" w:sz="0" w:space="0" w:color="auto"/>
      </w:divBdr>
    </w:div>
    <w:div w:id="1436435933">
      <w:bodyDiv w:val="1"/>
      <w:marLeft w:val="0"/>
      <w:marRight w:val="0"/>
      <w:marTop w:val="0"/>
      <w:marBottom w:val="0"/>
      <w:divBdr>
        <w:top w:val="none" w:sz="0" w:space="0" w:color="auto"/>
        <w:left w:val="none" w:sz="0" w:space="0" w:color="auto"/>
        <w:bottom w:val="none" w:sz="0" w:space="0" w:color="auto"/>
        <w:right w:val="none" w:sz="0" w:space="0" w:color="auto"/>
      </w:divBdr>
    </w:div>
    <w:div w:id="1447508832">
      <w:bodyDiv w:val="1"/>
      <w:marLeft w:val="0"/>
      <w:marRight w:val="0"/>
      <w:marTop w:val="0"/>
      <w:marBottom w:val="0"/>
      <w:divBdr>
        <w:top w:val="none" w:sz="0" w:space="0" w:color="auto"/>
        <w:left w:val="none" w:sz="0" w:space="0" w:color="auto"/>
        <w:bottom w:val="none" w:sz="0" w:space="0" w:color="auto"/>
        <w:right w:val="none" w:sz="0" w:space="0" w:color="auto"/>
      </w:divBdr>
    </w:div>
    <w:div w:id="1470591611">
      <w:bodyDiv w:val="1"/>
      <w:marLeft w:val="0"/>
      <w:marRight w:val="0"/>
      <w:marTop w:val="0"/>
      <w:marBottom w:val="0"/>
      <w:divBdr>
        <w:top w:val="none" w:sz="0" w:space="0" w:color="auto"/>
        <w:left w:val="none" w:sz="0" w:space="0" w:color="auto"/>
        <w:bottom w:val="none" w:sz="0" w:space="0" w:color="auto"/>
        <w:right w:val="none" w:sz="0" w:space="0" w:color="auto"/>
      </w:divBdr>
    </w:div>
    <w:div w:id="1479569300">
      <w:bodyDiv w:val="1"/>
      <w:marLeft w:val="0"/>
      <w:marRight w:val="0"/>
      <w:marTop w:val="0"/>
      <w:marBottom w:val="0"/>
      <w:divBdr>
        <w:top w:val="none" w:sz="0" w:space="0" w:color="auto"/>
        <w:left w:val="none" w:sz="0" w:space="0" w:color="auto"/>
        <w:bottom w:val="none" w:sz="0" w:space="0" w:color="auto"/>
        <w:right w:val="none" w:sz="0" w:space="0" w:color="auto"/>
      </w:divBdr>
    </w:div>
    <w:div w:id="1483623353">
      <w:bodyDiv w:val="1"/>
      <w:marLeft w:val="0"/>
      <w:marRight w:val="0"/>
      <w:marTop w:val="0"/>
      <w:marBottom w:val="0"/>
      <w:divBdr>
        <w:top w:val="none" w:sz="0" w:space="0" w:color="auto"/>
        <w:left w:val="none" w:sz="0" w:space="0" w:color="auto"/>
        <w:bottom w:val="none" w:sz="0" w:space="0" w:color="auto"/>
        <w:right w:val="none" w:sz="0" w:space="0" w:color="auto"/>
      </w:divBdr>
    </w:div>
    <w:div w:id="1488591785">
      <w:bodyDiv w:val="1"/>
      <w:marLeft w:val="0"/>
      <w:marRight w:val="0"/>
      <w:marTop w:val="0"/>
      <w:marBottom w:val="0"/>
      <w:divBdr>
        <w:top w:val="none" w:sz="0" w:space="0" w:color="auto"/>
        <w:left w:val="none" w:sz="0" w:space="0" w:color="auto"/>
        <w:bottom w:val="none" w:sz="0" w:space="0" w:color="auto"/>
        <w:right w:val="none" w:sz="0" w:space="0" w:color="auto"/>
      </w:divBdr>
    </w:div>
    <w:div w:id="1505631767">
      <w:bodyDiv w:val="1"/>
      <w:marLeft w:val="0"/>
      <w:marRight w:val="0"/>
      <w:marTop w:val="0"/>
      <w:marBottom w:val="0"/>
      <w:divBdr>
        <w:top w:val="none" w:sz="0" w:space="0" w:color="auto"/>
        <w:left w:val="none" w:sz="0" w:space="0" w:color="auto"/>
        <w:bottom w:val="none" w:sz="0" w:space="0" w:color="auto"/>
        <w:right w:val="none" w:sz="0" w:space="0" w:color="auto"/>
      </w:divBdr>
    </w:div>
    <w:div w:id="1547177462">
      <w:bodyDiv w:val="1"/>
      <w:marLeft w:val="0"/>
      <w:marRight w:val="0"/>
      <w:marTop w:val="0"/>
      <w:marBottom w:val="0"/>
      <w:divBdr>
        <w:top w:val="none" w:sz="0" w:space="0" w:color="auto"/>
        <w:left w:val="none" w:sz="0" w:space="0" w:color="auto"/>
        <w:bottom w:val="none" w:sz="0" w:space="0" w:color="auto"/>
        <w:right w:val="none" w:sz="0" w:space="0" w:color="auto"/>
      </w:divBdr>
    </w:div>
    <w:div w:id="1559515659">
      <w:bodyDiv w:val="1"/>
      <w:marLeft w:val="0"/>
      <w:marRight w:val="0"/>
      <w:marTop w:val="0"/>
      <w:marBottom w:val="0"/>
      <w:divBdr>
        <w:top w:val="none" w:sz="0" w:space="0" w:color="auto"/>
        <w:left w:val="none" w:sz="0" w:space="0" w:color="auto"/>
        <w:bottom w:val="none" w:sz="0" w:space="0" w:color="auto"/>
        <w:right w:val="none" w:sz="0" w:space="0" w:color="auto"/>
      </w:divBdr>
    </w:div>
    <w:div w:id="1596473610">
      <w:bodyDiv w:val="1"/>
      <w:marLeft w:val="0"/>
      <w:marRight w:val="0"/>
      <w:marTop w:val="0"/>
      <w:marBottom w:val="0"/>
      <w:divBdr>
        <w:top w:val="none" w:sz="0" w:space="0" w:color="auto"/>
        <w:left w:val="none" w:sz="0" w:space="0" w:color="auto"/>
        <w:bottom w:val="none" w:sz="0" w:space="0" w:color="auto"/>
        <w:right w:val="none" w:sz="0" w:space="0" w:color="auto"/>
      </w:divBdr>
    </w:div>
    <w:div w:id="1622882996">
      <w:bodyDiv w:val="1"/>
      <w:marLeft w:val="0"/>
      <w:marRight w:val="0"/>
      <w:marTop w:val="0"/>
      <w:marBottom w:val="0"/>
      <w:divBdr>
        <w:top w:val="none" w:sz="0" w:space="0" w:color="auto"/>
        <w:left w:val="none" w:sz="0" w:space="0" w:color="auto"/>
        <w:bottom w:val="none" w:sz="0" w:space="0" w:color="auto"/>
        <w:right w:val="none" w:sz="0" w:space="0" w:color="auto"/>
      </w:divBdr>
    </w:div>
    <w:div w:id="1624536744">
      <w:bodyDiv w:val="1"/>
      <w:marLeft w:val="0"/>
      <w:marRight w:val="0"/>
      <w:marTop w:val="0"/>
      <w:marBottom w:val="0"/>
      <w:divBdr>
        <w:top w:val="none" w:sz="0" w:space="0" w:color="auto"/>
        <w:left w:val="none" w:sz="0" w:space="0" w:color="auto"/>
        <w:bottom w:val="none" w:sz="0" w:space="0" w:color="auto"/>
        <w:right w:val="none" w:sz="0" w:space="0" w:color="auto"/>
      </w:divBdr>
    </w:div>
    <w:div w:id="1630820317">
      <w:bodyDiv w:val="1"/>
      <w:marLeft w:val="0"/>
      <w:marRight w:val="0"/>
      <w:marTop w:val="0"/>
      <w:marBottom w:val="0"/>
      <w:divBdr>
        <w:top w:val="none" w:sz="0" w:space="0" w:color="auto"/>
        <w:left w:val="none" w:sz="0" w:space="0" w:color="auto"/>
        <w:bottom w:val="none" w:sz="0" w:space="0" w:color="auto"/>
        <w:right w:val="none" w:sz="0" w:space="0" w:color="auto"/>
      </w:divBdr>
    </w:div>
    <w:div w:id="1651328644">
      <w:bodyDiv w:val="1"/>
      <w:marLeft w:val="0"/>
      <w:marRight w:val="0"/>
      <w:marTop w:val="0"/>
      <w:marBottom w:val="0"/>
      <w:divBdr>
        <w:top w:val="none" w:sz="0" w:space="0" w:color="auto"/>
        <w:left w:val="none" w:sz="0" w:space="0" w:color="auto"/>
        <w:bottom w:val="none" w:sz="0" w:space="0" w:color="auto"/>
        <w:right w:val="none" w:sz="0" w:space="0" w:color="auto"/>
      </w:divBdr>
    </w:div>
    <w:div w:id="1669748764">
      <w:bodyDiv w:val="1"/>
      <w:marLeft w:val="0"/>
      <w:marRight w:val="0"/>
      <w:marTop w:val="0"/>
      <w:marBottom w:val="0"/>
      <w:divBdr>
        <w:top w:val="none" w:sz="0" w:space="0" w:color="auto"/>
        <w:left w:val="none" w:sz="0" w:space="0" w:color="auto"/>
        <w:bottom w:val="none" w:sz="0" w:space="0" w:color="auto"/>
        <w:right w:val="none" w:sz="0" w:space="0" w:color="auto"/>
      </w:divBdr>
    </w:div>
    <w:div w:id="1683505873">
      <w:bodyDiv w:val="1"/>
      <w:marLeft w:val="0"/>
      <w:marRight w:val="0"/>
      <w:marTop w:val="0"/>
      <w:marBottom w:val="0"/>
      <w:divBdr>
        <w:top w:val="none" w:sz="0" w:space="0" w:color="auto"/>
        <w:left w:val="none" w:sz="0" w:space="0" w:color="auto"/>
        <w:bottom w:val="none" w:sz="0" w:space="0" w:color="auto"/>
        <w:right w:val="none" w:sz="0" w:space="0" w:color="auto"/>
      </w:divBdr>
    </w:div>
    <w:div w:id="1684428467">
      <w:bodyDiv w:val="1"/>
      <w:marLeft w:val="0"/>
      <w:marRight w:val="0"/>
      <w:marTop w:val="0"/>
      <w:marBottom w:val="0"/>
      <w:divBdr>
        <w:top w:val="none" w:sz="0" w:space="0" w:color="auto"/>
        <w:left w:val="none" w:sz="0" w:space="0" w:color="auto"/>
        <w:bottom w:val="none" w:sz="0" w:space="0" w:color="auto"/>
        <w:right w:val="none" w:sz="0" w:space="0" w:color="auto"/>
      </w:divBdr>
    </w:div>
    <w:div w:id="1695040139">
      <w:bodyDiv w:val="1"/>
      <w:marLeft w:val="0"/>
      <w:marRight w:val="0"/>
      <w:marTop w:val="0"/>
      <w:marBottom w:val="0"/>
      <w:divBdr>
        <w:top w:val="none" w:sz="0" w:space="0" w:color="auto"/>
        <w:left w:val="none" w:sz="0" w:space="0" w:color="auto"/>
        <w:bottom w:val="none" w:sz="0" w:space="0" w:color="auto"/>
        <w:right w:val="none" w:sz="0" w:space="0" w:color="auto"/>
      </w:divBdr>
    </w:div>
    <w:div w:id="1724866248">
      <w:bodyDiv w:val="1"/>
      <w:marLeft w:val="0"/>
      <w:marRight w:val="0"/>
      <w:marTop w:val="0"/>
      <w:marBottom w:val="0"/>
      <w:divBdr>
        <w:top w:val="none" w:sz="0" w:space="0" w:color="auto"/>
        <w:left w:val="none" w:sz="0" w:space="0" w:color="auto"/>
        <w:bottom w:val="none" w:sz="0" w:space="0" w:color="auto"/>
        <w:right w:val="none" w:sz="0" w:space="0" w:color="auto"/>
      </w:divBdr>
    </w:div>
    <w:div w:id="1731732062">
      <w:bodyDiv w:val="1"/>
      <w:marLeft w:val="0"/>
      <w:marRight w:val="0"/>
      <w:marTop w:val="0"/>
      <w:marBottom w:val="0"/>
      <w:divBdr>
        <w:top w:val="none" w:sz="0" w:space="0" w:color="auto"/>
        <w:left w:val="none" w:sz="0" w:space="0" w:color="auto"/>
        <w:bottom w:val="none" w:sz="0" w:space="0" w:color="auto"/>
        <w:right w:val="none" w:sz="0" w:space="0" w:color="auto"/>
      </w:divBdr>
    </w:div>
    <w:div w:id="1772625559">
      <w:bodyDiv w:val="1"/>
      <w:marLeft w:val="0"/>
      <w:marRight w:val="0"/>
      <w:marTop w:val="0"/>
      <w:marBottom w:val="0"/>
      <w:divBdr>
        <w:top w:val="none" w:sz="0" w:space="0" w:color="auto"/>
        <w:left w:val="none" w:sz="0" w:space="0" w:color="auto"/>
        <w:bottom w:val="none" w:sz="0" w:space="0" w:color="auto"/>
        <w:right w:val="none" w:sz="0" w:space="0" w:color="auto"/>
      </w:divBdr>
    </w:div>
    <w:div w:id="1790926893">
      <w:bodyDiv w:val="1"/>
      <w:marLeft w:val="0"/>
      <w:marRight w:val="0"/>
      <w:marTop w:val="0"/>
      <w:marBottom w:val="0"/>
      <w:divBdr>
        <w:top w:val="none" w:sz="0" w:space="0" w:color="auto"/>
        <w:left w:val="none" w:sz="0" w:space="0" w:color="auto"/>
        <w:bottom w:val="none" w:sz="0" w:space="0" w:color="auto"/>
        <w:right w:val="none" w:sz="0" w:space="0" w:color="auto"/>
      </w:divBdr>
    </w:div>
    <w:div w:id="1808820723">
      <w:bodyDiv w:val="1"/>
      <w:marLeft w:val="0"/>
      <w:marRight w:val="0"/>
      <w:marTop w:val="0"/>
      <w:marBottom w:val="0"/>
      <w:divBdr>
        <w:top w:val="none" w:sz="0" w:space="0" w:color="auto"/>
        <w:left w:val="none" w:sz="0" w:space="0" w:color="auto"/>
        <w:bottom w:val="none" w:sz="0" w:space="0" w:color="auto"/>
        <w:right w:val="none" w:sz="0" w:space="0" w:color="auto"/>
      </w:divBdr>
    </w:div>
    <w:div w:id="1861048080">
      <w:bodyDiv w:val="1"/>
      <w:marLeft w:val="0"/>
      <w:marRight w:val="0"/>
      <w:marTop w:val="0"/>
      <w:marBottom w:val="0"/>
      <w:divBdr>
        <w:top w:val="none" w:sz="0" w:space="0" w:color="auto"/>
        <w:left w:val="none" w:sz="0" w:space="0" w:color="auto"/>
        <w:bottom w:val="none" w:sz="0" w:space="0" w:color="auto"/>
        <w:right w:val="none" w:sz="0" w:space="0" w:color="auto"/>
      </w:divBdr>
    </w:div>
    <w:div w:id="1930773641">
      <w:bodyDiv w:val="1"/>
      <w:marLeft w:val="0"/>
      <w:marRight w:val="0"/>
      <w:marTop w:val="0"/>
      <w:marBottom w:val="0"/>
      <w:divBdr>
        <w:top w:val="none" w:sz="0" w:space="0" w:color="auto"/>
        <w:left w:val="none" w:sz="0" w:space="0" w:color="auto"/>
        <w:bottom w:val="none" w:sz="0" w:space="0" w:color="auto"/>
        <w:right w:val="none" w:sz="0" w:space="0" w:color="auto"/>
      </w:divBdr>
    </w:div>
    <w:div w:id="1948656642">
      <w:bodyDiv w:val="1"/>
      <w:marLeft w:val="0"/>
      <w:marRight w:val="0"/>
      <w:marTop w:val="0"/>
      <w:marBottom w:val="0"/>
      <w:divBdr>
        <w:top w:val="none" w:sz="0" w:space="0" w:color="auto"/>
        <w:left w:val="none" w:sz="0" w:space="0" w:color="auto"/>
        <w:bottom w:val="none" w:sz="0" w:space="0" w:color="auto"/>
        <w:right w:val="none" w:sz="0" w:space="0" w:color="auto"/>
      </w:divBdr>
    </w:div>
    <w:div w:id="1952737756">
      <w:bodyDiv w:val="1"/>
      <w:marLeft w:val="0"/>
      <w:marRight w:val="0"/>
      <w:marTop w:val="0"/>
      <w:marBottom w:val="0"/>
      <w:divBdr>
        <w:top w:val="none" w:sz="0" w:space="0" w:color="auto"/>
        <w:left w:val="none" w:sz="0" w:space="0" w:color="auto"/>
        <w:bottom w:val="none" w:sz="0" w:space="0" w:color="auto"/>
        <w:right w:val="none" w:sz="0" w:space="0" w:color="auto"/>
      </w:divBdr>
    </w:div>
    <w:div w:id="1968774111">
      <w:bodyDiv w:val="1"/>
      <w:marLeft w:val="0"/>
      <w:marRight w:val="0"/>
      <w:marTop w:val="0"/>
      <w:marBottom w:val="0"/>
      <w:divBdr>
        <w:top w:val="none" w:sz="0" w:space="0" w:color="auto"/>
        <w:left w:val="none" w:sz="0" w:space="0" w:color="auto"/>
        <w:bottom w:val="none" w:sz="0" w:space="0" w:color="auto"/>
        <w:right w:val="none" w:sz="0" w:space="0" w:color="auto"/>
      </w:divBdr>
    </w:div>
    <w:div w:id="1980961488">
      <w:bodyDiv w:val="1"/>
      <w:marLeft w:val="0"/>
      <w:marRight w:val="0"/>
      <w:marTop w:val="0"/>
      <w:marBottom w:val="0"/>
      <w:divBdr>
        <w:top w:val="none" w:sz="0" w:space="0" w:color="auto"/>
        <w:left w:val="none" w:sz="0" w:space="0" w:color="auto"/>
        <w:bottom w:val="none" w:sz="0" w:space="0" w:color="auto"/>
        <w:right w:val="none" w:sz="0" w:space="0" w:color="auto"/>
      </w:divBdr>
    </w:div>
    <w:div w:id="2005356124">
      <w:bodyDiv w:val="1"/>
      <w:marLeft w:val="0"/>
      <w:marRight w:val="0"/>
      <w:marTop w:val="0"/>
      <w:marBottom w:val="0"/>
      <w:divBdr>
        <w:top w:val="none" w:sz="0" w:space="0" w:color="auto"/>
        <w:left w:val="none" w:sz="0" w:space="0" w:color="auto"/>
        <w:bottom w:val="none" w:sz="0" w:space="0" w:color="auto"/>
        <w:right w:val="none" w:sz="0" w:space="0" w:color="auto"/>
      </w:divBdr>
    </w:div>
    <w:div w:id="2007048967">
      <w:bodyDiv w:val="1"/>
      <w:marLeft w:val="0"/>
      <w:marRight w:val="0"/>
      <w:marTop w:val="0"/>
      <w:marBottom w:val="0"/>
      <w:divBdr>
        <w:top w:val="none" w:sz="0" w:space="0" w:color="auto"/>
        <w:left w:val="none" w:sz="0" w:space="0" w:color="auto"/>
        <w:bottom w:val="none" w:sz="0" w:space="0" w:color="auto"/>
        <w:right w:val="none" w:sz="0" w:space="0" w:color="auto"/>
      </w:divBdr>
    </w:div>
    <w:div w:id="2009945470">
      <w:bodyDiv w:val="1"/>
      <w:marLeft w:val="0"/>
      <w:marRight w:val="0"/>
      <w:marTop w:val="0"/>
      <w:marBottom w:val="0"/>
      <w:divBdr>
        <w:top w:val="none" w:sz="0" w:space="0" w:color="auto"/>
        <w:left w:val="none" w:sz="0" w:space="0" w:color="auto"/>
        <w:bottom w:val="none" w:sz="0" w:space="0" w:color="auto"/>
        <w:right w:val="none" w:sz="0" w:space="0" w:color="auto"/>
      </w:divBdr>
    </w:div>
    <w:div w:id="2023362419">
      <w:bodyDiv w:val="1"/>
      <w:marLeft w:val="0"/>
      <w:marRight w:val="0"/>
      <w:marTop w:val="0"/>
      <w:marBottom w:val="0"/>
      <w:divBdr>
        <w:top w:val="none" w:sz="0" w:space="0" w:color="auto"/>
        <w:left w:val="none" w:sz="0" w:space="0" w:color="auto"/>
        <w:bottom w:val="none" w:sz="0" w:space="0" w:color="auto"/>
        <w:right w:val="none" w:sz="0" w:space="0" w:color="auto"/>
      </w:divBdr>
    </w:div>
    <w:div w:id="2029914335">
      <w:bodyDiv w:val="1"/>
      <w:marLeft w:val="0"/>
      <w:marRight w:val="0"/>
      <w:marTop w:val="0"/>
      <w:marBottom w:val="0"/>
      <w:divBdr>
        <w:top w:val="none" w:sz="0" w:space="0" w:color="auto"/>
        <w:left w:val="none" w:sz="0" w:space="0" w:color="auto"/>
        <w:bottom w:val="none" w:sz="0" w:space="0" w:color="auto"/>
        <w:right w:val="none" w:sz="0" w:space="0" w:color="auto"/>
      </w:divBdr>
    </w:div>
    <w:div w:id="2043482765">
      <w:bodyDiv w:val="1"/>
      <w:marLeft w:val="0"/>
      <w:marRight w:val="0"/>
      <w:marTop w:val="0"/>
      <w:marBottom w:val="0"/>
      <w:divBdr>
        <w:top w:val="none" w:sz="0" w:space="0" w:color="auto"/>
        <w:left w:val="none" w:sz="0" w:space="0" w:color="auto"/>
        <w:bottom w:val="none" w:sz="0" w:space="0" w:color="auto"/>
        <w:right w:val="none" w:sz="0" w:space="0" w:color="auto"/>
      </w:divBdr>
    </w:div>
    <w:div w:id="2050494561">
      <w:bodyDiv w:val="1"/>
      <w:marLeft w:val="0"/>
      <w:marRight w:val="0"/>
      <w:marTop w:val="0"/>
      <w:marBottom w:val="0"/>
      <w:divBdr>
        <w:top w:val="none" w:sz="0" w:space="0" w:color="auto"/>
        <w:left w:val="none" w:sz="0" w:space="0" w:color="auto"/>
        <w:bottom w:val="none" w:sz="0" w:space="0" w:color="auto"/>
        <w:right w:val="none" w:sz="0" w:space="0" w:color="auto"/>
      </w:divBdr>
    </w:div>
    <w:div w:id="2067951464">
      <w:bodyDiv w:val="1"/>
      <w:marLeft w:val="0"/>
      <w:marRight w:val="0"/>
      <w:marTop w:val="0"/>
      <w:marBottom w:val="0"/>
      <w:divBdr>
        <w:top w:val="none" w:sz="0" w:space="0" w:color="auto"/>
        <w:left w:val="none" w:sz="0" w:space="0" w:color="auto"/>
        <w:bottom w:val="none" w:sz="0" w:space="0" w:color="auto"/>
        <w:right w:val="none" w:sz="0" w:space="0" w:color="auto"/>
      </w:divBdr>
    </w:div>
    <w:div w:id="2074888998">
      <w:bodyDiv w:val="1"/>
      <w:marLeft w:val="0"/>
      <w:marRight w:val="0"/>
      <w:marTop w:val="0"/>
      <w:marBottom w:val="0"/>
      <w:divBdr>
        <w:top w:val="none" w:sz="0" w:space="0" w:color="auto"/>
        <w:left w:val="none" w:sz="0" w:space="0" w:color="auto"/>
        <w:bottom w:val="none" w:sz="0" w:space="0" w:color="auto"/>
        <w:right w:val="none" w:sz="0" w:space="0" w:color="auto"/>
      </w:divBdr>
    </w:div>
    <w:div w:id="2080252155">
      <w:bodyDiv w:val="1"/>
      <w:marLeft w:val="0"/>
      <w:marRight w:val="0"/>
      <w:marTop w:val="0"/>
      <w:marBottom w:val="0"/>
      <w:divBdr>
        <w:top w:val="none" w:sz="0" w:space="0" w:color="auto"/>
        <w:left w:val="none" w:sz="0" w:space="0" w:color="auto"/>
        <w:bottom w:val="none" w:sz="0" w:space="0" w:color="auto"/>
        <w:right w:val="none" w:sz="0" w:space="0" w:color="auto"/>
      </w:divBdr>
    </w:div>
    <w:div w:id="2085685842">
      <w:bodyDiv w:val="1"/>
      <w:marLeft w:val="0"/>
      <w:marRight w:val="0"/>
      <w:marTop w:val="0"/>
      <w:marBottom w:val="0"/>
      <w:divBdr>
        <w:top w:val="none" w:sz="0" w:space="0" w:color="auto"/>
        <w:left w:val="none" w:sz="0" w:space="0" w:color="auto"/>
        <w:bottom w:val="none" w:sz="0" w:space="0" w:color="auto"/>
        <w:right w:val="none" w:sz="0" w:space="0" w:color="auto"/>
      </w:divBdr>
    </w:div>
    <w:div w:id="2104564002">
      <w:bodyDiv w:val="1"/>
      <w:marLeft w:val="0"/>
      <w:marRight w:val="0"/>
      <w:marTop w:val="0"/>
      <w:marBottom w:val="0"/>
      <w:divBdr>
        <w:top w:val="none" w:sz="0" w:space="0" w:color="auto"/>
        <w:left w:val="none" w:sz="0" w:space="0" w:color="auto"/>
        <w:bottom w:val="none" w:sz="0" w:space="0" w:color="auto"/>
        <w:right w:val="none" w:sz="0" w:space="0" w:color="auto"/>
      </w:divBdr>
    </w:div>
    <w:div w:id="2128087763">
      <w:bodyDiv w:val="1"/>
      <w:marLeft w:val="0"/>
      <w:marRight w:val="0"/>
      <w:marTop w:val="0"/>
      <w:marBottom w:val="0"/>
      <w:divBdr>
        <w:top w:val="none" w:sz="0" w:space="0" w:color="auto"/>
        <w:left w:val="none" w:sz="0" w:space="0" w:color="auto"/>
        <w:bottom w:val="none" w:sz="0" w:space="0" w:color="auto"/>
        <w:right w:val="none" w:sz="0" w:space="0" w:color="auto"/>
      </w:divBdr>
    </w:div>
    <w:div w:id="2129350681">
      <w:bodyDiv w:val="1"/>
      <w:marLeft w:val="0"/>
      <w:marRight w:val="0"/>
      <w:marTop w:val="0"/>
      <w:marBottom w:val="0"/>
      <w:divBdr>
        <w:top w:val="none" w:sz="0" w:space="0" w:color="auto"/>
        <w:left w:val="none" w:sz="0" w:space="0" w:color="auto"/>
        <w:bottom w:val="none" w:sz="0" w:space="0" w:color="auto"/>
        <w:right w:val="none" w:sz="0" w:space="0" w:color="auto"/>
      </w:divBdr>
    </w:div>
    <w:div w:id="213971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beroubaguisse@yahoo.fr" TargetMode="External"/><Relationship Id="rId39" Type="http://schemas.openxmlformats.org/officeDocument/2006/relationships/hyperlink" Target="https://www.guinee-bissau.net/bissau.php" TargetMode="External"/><Relationship Id="rId21" Type="http://schemas.openxmlformats.org/officeDocument/2006/relationships/image" Target="media/image6.png"/><Relationship Id="rId34" Type="http://schemas.openxmlformats.org/officeDocument/2006/relationships/hyperlink" Target="http://www.meteoblue.com/fr/meteo/prevision/modelclimate/bissau_guin&#233;e-bissau" TargetMode="External"/><Relationship Id="rId42" Type="http://schemas.openxmlformats.org/officeDocument/2006/relationships/hyperlink" Target="https://www.guinee-bissau.net/manjaques.php" TargetMode="External"/><Relationship Id="rId47" Type="http://schemas.openxmlformats.org/officeDocument/2006/relationships/hyperlink" Target="https://www.guinee-bissau.net/papels.php" TargetMode="External"/><Relationship Id="rId50" Type="http://schemas.openxmlformats.org/officeDocument/2006/relationships/image" Target="media/image16.gif"/><Relationship Id="rId55" Type="http://schemas.openxmlformats.org/officeDocument/2006/relationships/header" Target="header3.xml"/><Relationship Id="rId63" Type="http://schemas.openxmlformats.org/officeDocument/2006/relationships/hyperlink" Target="https://undocs.org/fr/ST/SGB/2003/13" TargetMode="External"/><Relationship Id="rId68" Type="http://schemas.openxmlformats.org/officeDocument/2006/relationships/image" Target="media/image26.jpeg"/><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beroubaguisse@yahoo.f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hyperlink" Target="https://www.guinee-bissau.net/guerre_guinee_bissau.php" TargetMode="External"/><Relationship Id="rId45" Type="http://schemas.openxmlformats.org/officeDocument/2006/relationships/hyperlink" Target="https://www.guinee-bissau.net/ethnie_peul.php" TargetMode="External"/><Relationship Id="rId53" Type="http://schemas.openxmlformats.org/officeDocument/2006/relationships/image" Target="media/image19.jpeg"/><Relationship Id="rId58" Type="http://schemas.openxmlformats.org/officeDocument/2006/relationships/image" Target="media/image21.png"/><Relationship Id="rId66"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yperlink" Target="mailto:ecienvironnement@gmail.com" TargetMode="External"/><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14.png"/><Relationship Id="rId49" Type="http://schemas.openxmlformats.org/officeDocument/2006/relationships/hyperlink" Target="https://www.guinee-bissau.net/bijogos.php" TargetMode="External"/><Relationship Id="rId57" Type="http://schemas.openxmlformats.org/officeDocument/2006/relationships/image" Target="media/image20.png"/><Relationship Id="rId61"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file:///C:\Users\AMADOU\Desktop\RAPPORT%20PUSA%20CGES%20Final%20MAI%202021-%20VER.%20OK.docx" TargetMode="External"/><Relationship Id="rId31" Type="http://schemas.openxmlformats.org/officeDocument/2006/relationships/header" Target="header2.xml"/><Relationship Id="rId44" Type="http://schemas.openxmlformats.org/officeDocument/2006/relationships/hyperlink" Target="https://www.guinee-bissau.net/balantes.php" TargetMode="External"/><Relationship Id="rId52" Type="http://schemas.openxmlformats.org/officeDocument/2006/relationships/image" Target="media/image18.jpeg"/><Relationship Id="rId60" Type="http://schemas.openxmlformats.org/officeDocument/2006/relationships/footer" Target="footer3.xml"/><Relationship Id="rId65"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tiff"/><Relationship Id="rId22"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image" Target="media/image13.png"/><Relationship Id="rId43" Type="http://schemas.openxmlformats.org/officeDocument/2006/relationships/hyperlink" Target="https://www.guinee-bissau.net/ethnies_guinee_bissau.php" TargetMode="External"/><Relationship Id="rId48" Type="http://schemas.openxmlformats.org/officeDocument/2006/relationships/hyperlink" Target="https://www.guinee-bissau.net/ethnie_mancagne.php" TargetMode="External"/><Relationship Id="rId56" Type="http://schemas.openxmlformats.org/officeDocument/2006/relationships/footer" Target="footer2.xml"/><Relationship Id="rId64" Type="http://schemas.openxmlformats.org/officeDocument/2006/relationships/image" Target="media/image22.png"/><Relationship Id="rId69" Type="http://schemas.openxmlformats.org/officeDocument/2006/relationships/image" Target="media/image27.jpeg"/><Relationship Id="rId8" Type="http://schemas.openxmlformats.org/officeDocument/2006/relationships/settings" Target="settings.xml"/><Relationship Id="rId51" Type="http://schemas.openxmlformats.org/officeDocument/2006/relationships/image" Target="media/image17.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mailto:ecienvironnement@gmail.com" TargetMode="External"/><Relationship Id="rId33" Type="http://schemas.openxmlformats.org/officeDocument/2006/relationships/image" Target="media/image12.PNG"/><Relationship Id="rId38" Type="http://schemas.openxmlformats.org/officeDocument/2006/relationships/hyperlink" Target="https://www.guinee-bissau.net/ethnies_guinee_bissau.php" TargetMode="External"/><Relationship Id="rId46" Type="http://schemas.openxmlformats.org/officeDocument/2006/relationships/hyperlink" Target="https://www.guinee-bissau.net/manjaques.php" TargetMode="External"/><Relationship Id="rId59" Type="http://schemas.openxmlformats.org/officeDocument/2006/relationships/header" Target="header4.xml"/><Relationship Id="rId67" Type="http://schemas.openxmlformats.org/officeDocument/2006/relationships/image" Target="media/image25.jpeg"/><Relationship Id="rId20" Type="http://schemas.openxmlformats.org/officeDocument/2006/relationships/hyperlink" Target="file:///C:\Users\AMADOU\Desktop\RAPPORT%20PUSA%20CGES%20Final%20MAI%202021-%20VER.%20OK.docx" TargetMode="External"/><Relationship Id="rId41" Type="http://schemas.openxmlformats.org/officeDocument/2006/relationships/hyperlink" Target="https://www.guinee-bissau.net/balantes.php" TargetMode="External"/><Relationship Id="rId54" Type="http://schemas.openxmlformats.org/officeDocument/2006/relationships/hyperlink" Target="http://hdr.undp.org/en/composite/HDI" TargetMode="External"/><Relationship Id="rId62" Type="http://schemas.openxmlformats.org/officeDocument/2006/relationships/footer" Target="footer4.xml"/><Relationship Id="rId70"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10.tiff"/></Relationships>
</file>

<file path=word/_rels/footer2.xml.rels><?xml version="1.0" encoding="UTF-8" standalone="yes"?>
<Relationships xmlns="http://schemas.openxmlformats.org/package/2006/relationships"><Relationship Id="rId1" Type="http://schemas.openxmlformats.org/officeDocument/2006/relationships/image" Target="media/image10.tiff"/></Relationships>
</file>

<file path=word/_rels/footer3.xml.rels><?xml version="1.0" encoding="UTF-8" standalone="yes"?>
<Relationships xmlns="http://schemas.openxmlformats.org/package/2006/relationships"><Relationship Id="rId1" Type="http://schemas.openxmlformats.org/officeDocument/2006/relationships/image" Target="media/image10.tiff"/></Relationships>
</file>

<file path=word/_rels/footer4.xml.rels><?xml version="1.0" encoding="UTF-8" standalone="yes"?>
<Relationships xmlns="http://schemas.openxmlformats.org/package/2006/relationships"><Relationship Id="rId1" Type="http://schemas.openxmlformats.org/officeDocument/2006/relationships/image" Target="media/image10.tiff"/></Relationships>
</file>

<file path=word/_rels/footnotes.xml.rels><?xml version="1.0" encoding="UTF-8" standalone="yes"?>
<Relationships xmlns="http://schemas.openxmlformats.org/package/2006/relationships"><Relationship Id="rId1" Type="http://schemas.openxmlformats.org/officeDocument/2006/relationships/hyperlink" Target="http://documents1.worldbank.org/curated/en/509041468321553133/pdf/929700WP0Box380Soc0Protection0Brief.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BD3B723F434AB28B02DE2F3358A2" ma:contentTypeVersion="10" ma:contentTypeDescription="Create a new document." ma:contentTypeScope="" ma:versionID="f3f54c8262f25503994b5381af339797">
  <xsd:schema xmlns:xsd="http://www.w3.org/2001/XMLSchema" xmlns:xs="http://www.w3.org/2001/XMLSchema" xmlns:p="http://schemas.microsoft.com/office/2006/metadata/properties" xmlns:ns2="59a85267-15a0-43b4-9f06-ede7b0124ab9" xmlns:ns3="0fc9aa52-5816-43a6-a200-522c6587b04e" targetNamespace="http://schemas.microsoft.com/office/2006/metadata/properties" ma:root="true" ma:fieldsID="1269ba7f197f7cd4b9136ec02e7fd5c3" ns2:_="" ns3:_="">
    <xsd:import namespace="59a85267-15a0-43b4-9f06-ede7b0124ab9"/>
    <xsd:import namespace="0fc9aa52-5816-43a6-a200-522c6587b0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85267-15a0-43b4-9f06-ede7b0124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c9aa52-5816-43a6-a200-522c6587b0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A61EC8-8AF0-4F0F-9267-02ABC8F2C6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053F99-EB5F-4BAB-AE35-342713DA0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85267-15a0-43b4-9f06-ede7b0124ab9"/>
    <ds:schemaRef ds:uri="0fc9aa52-5816-43a6-a200-522c6587b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1E7013-17A0-4BDB-AB8E-7513E947DD6F}">
  <ds:schemaRefs>
    <ds:schemaRef ds:uri="http://schemas.microsoft.com/sharepoint/v3/contenttype/forms"/>
  </ds:schemaRefs>
</ds:datastoreItem>
</file>

<file path=customXml/itemProps4.xml><?xml version="1.0" encoding="utf-8"?>
<ds:datastoreItem xmlns:ds="http://schemas.openxmlformats.org/officeDocument/2006/customXml" ds:itemID="{0A3E5533-EFB6-4ABC-83B0-4754FECA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78148</Words>
  <Characters>422003</Characters>
  <Application>Microsoft Office Word</Application>
  <DocSecurity>0</DocSecurity>
  <Lines>3516</Lines>
  <Paragraphs>998</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499153</CharactersWithSpaces>
  <SharedDoc>false</SharedDoc>
  <HLinks>
    <vt:vector size="1008" baseType="variant">
      <vt:variant>
        <vt:i4>5832725</vt:i4>
      </vt:variant>
      <vt:variant>
        <vt:i4>1050</vt:i4>
      </vt:variant>
      <vt:variant>
        <vt:i4>0</vt:i4>
      </vt:variant>
      <vt:variant>
        <vt:i4>5</vt:i4>
      </vt:variant>
      <vt:variant>
        <vt:lpwstr>https://undocs.org/fr/ST/SGB/2003/13</vt:lpwstr>
      </vt:variant>
      <vt:variant>
        <vt:lpwstr/>
      </vt:variant>
      <vt:variant>
        <vt:i4>5308492</vt:i4>
      </vt:variant>
      <vt:variant>
        <vt:i4>1005</vt:i4>
      </vt:variant>
      <vt:variant>
        <vt:i4>0</vt:i4>
      </vt:variant>
      <vt:variant>
        <vt:i4>5</vt:i4>
      </vt:variant>
      <vt:variant>
        <vt:lpwstr>http://hdr.undp.org/en/composite/HDI</vt:lpwstr>
      </vt:variant>
      <vt:variant>
        <vt:lpwstr/>
      </vt:variant>
      <vt:variant>
        <vt:i4>851999</vt:i4>
      </vt:variant>
      <vt:variant>
        <vt:i4>987</vt:i4>
      </vt:variant>
      <vt:variant>
        <vt:i4>0</vt:i4>
      </vt:variant>
      <vt:variant>
        <vt:i4>5</vt:i4>
      </vt:variant>
      <vt:variant>
        <vt:lpwstr>https://www.guinee-bissau.net/bijogos.php</vt:lpwstr>
      </vt:variant>
      <vt:variant>
        <vt:lpwstr/>
      </vt:variant>
      <vt:variant>
        <vt:i4>1507384</vt:i4>
      </vt:variant>
      <vt:variant>
        <vt:i4>984</vt:i4>
      </vt:variant>
      <vt:variant>
        <vt:i4>0</vt:i4>
      </vt:variant>
      <vt:variant>
        <vt:i4>5</vt:i4>
      </vt:variant>
      <vt:variant>
        <vt:lpwstr>https://www.guinee-bissau.net/ethnie_mancagne.php</vt:lpwstr>
      </vt:variant>
      <vt:variant>
        <vt:lpwstr/>
      </vt:variant>
      <vt:variant>
        <vt:i4>5570649</vt:i4>
      </vt:variant>
      <vt:variant>
        <vt:i4>981</vt:i4>
      </vt:variant>
      <vt:variant>
        <vt:i4>0</vt:i4>
      </vt:variant>
      <vt:variant>
        <vt:i4>5</vt:i4>
      </vt:variant>
      <vt:variant>
        <vt:lpwstr>https://www.guinee-bissau.net/papels.php</vt:lpwstr>
      </vt:variant>
      <vt:variant>
        <vt:lpwstr/>
      </vt:variant>
      <vt:variant>
        <vt:i4>8061031</vt:i4>
      </vt:variant>
      <vt:variant>
        <vt:i4>978</vt:i4>
      </vt:variant>
      <vt:variant>
        <vt:i4>0</vt:i4>
      </vt:variant>
      <vt:variant>
        <vt:i4>5</vt:i4>
      </vt:variant>
      <vt:variant>
        <vt:lpwstr>https://www.guinee-bissau.net/manjaques.php</vt:lpwstr>
      </vt:variant>
      <vt:variant>
        <vt:lpwstr/>
      </vt:variant>
      <vt:variant>
        <vt:i4>1966129</vt:i4>
      </vt:variant>
      <vt:variant>
        <vt:i4>975</vt:i4>
      </vt:variant>
      <vt:variant>
        <vt:i4>0</vt:i4>
      </vt:variant>
      <vt:variant>
        <vt:i4>5</vt:i4>
      </vt:variant>
      <vt:variant>
        <vt:lpwstr>https://www.guinee-bissau.net/ethnie_peul.php</vt:lpwstr>
      </vt:variant>
      <vt:variant>
        <vt:lpwstr/>
      </vt:variant>
      <vt:variant>
        <vt:i4>2424880</vt:i4>
      </vt:variant>
      <vt:variant>
        <vt:i4>972</vt:i4>
      </vt:variant>
      <vt:variant>
        <vt:i4>0</vt:i4>
      </vt:variant>
      <vt:variant>
        <vt:i4>5</vt:i4>
      </vt:variant>
      <vt:variant>
        <vt:lpwstr>https://www.guinee-bissau.net/balantes.php</vt:lpwstr>
      </vt:variant>
      <vt:variant>
        <vt:lpwstr/>
      </vt:variant>
      <vt:variant>
        <vt:i4>4849743</vt:i4>
      </vt:variant>
      <vt:variant>
        <vt:i4>969</vt:i4>
      </vt:variant>
      <vt:variant>
        <vt:i4>0</vt:i4>
      </vt:variant>
      <vt:variant>
        <vt:i4>5</vt:i4>
      </vt:variant>
      <vt:variant>
        <vt:lpwstr>https://www.guinee-bissau.net/ethnies_guinee_bissau.php</vt:lpwstr>
      </vt:variant>
      <vt:variant>
        <vt:lpwstr/>
      </vt:variant>
      <vt:variant>
        <vt:i4>8061031</vt:i4>
      </vt:variant>
      <vt:variant>
        <vt:i4>966</vt:i4>
      </vt:variant>
      <vt:variant>
        <vt:i4>0</vt:i4>
      </vt:variant>
      <vt:variant>
        <vt:i4>5</vt:i4>
      </vt:variant>
      <vt:variant>
        <vt:lpwstr>https://www.guinee-bissau.net/manjaques.php</vt:lpwstr>
      </vt:variant>
      <vt:variant>
        <vt:lpwstr/>
      </vt:variant>
      <vt:variant>
        <vt:i4>2424880</vt:i4>
      </vt:variant>
      <vt:variant>
        <vt:i4>963</vt:i4>
      </vt:variant>
      <vt:variant>
        <vt:i4>0</vt:i4>
      </vt:variant>
      <vt:variant>
        <vt:i4>5</vt:i4>
      </vt:variant>
      <vt:variant>
        <vt:lpwstr>https://www.guinee-bissau.net/balantes.php</vt:lpwstr>
      </vt:variant>
      <vt:variant>
        <vt:lpwstr/>
      </vt:variant>
      <vt:variant>
        <vt:i4>1769492</vt:i4>
      </vt:variant>
      <vt:variant>
        <vt:i4>960</vt:i4>
      </vt:variant>
      <vt:variant>
        <vt:i4>0</vt:i4>
      </vt:variant>
      <vt:variant>
        <vt:i4>5</vt:i4>
      </vt:variant>
      <vt:variant>
        <vt:lpwstr>https://www.guinee-bissau.net/guerre_guinee_bissau.php</vt:lpwstr>
      </vt:variant>
      <vt:variant>
        <vt:lpwstr/>
      </vt:variant>
      <vt:variant>
        <vt:i4>5046341</vt:i4>
      </vt:variant>
      <vt:variant>
        <vt:i4>957</vt:i4>
      </vt:variant>
      <vt:variant>
        <vt:i4>0</vt:i4>
      </vt:variant>
      <vt:variant>
        <vt:i4>5</vt:i4>
      </vt:variant>
      <vt:variant>
        <vt:lpwstr>https://www.guinee-bissau.net/bissau.php</vt:lpwstr>
      </vt:variant>
      <vt:variant>
        <vt:lpwstr/>
      </vt:variant>
      <vt:variant>
        <vt:i4>4849743</vt:i4>
      </vt:variant>
      <vt:variant>
        <vt:i4>954</vt:i4>
      </vt:variant>
      <vt:variant>
        <vt:i4>0</vt:i4>
      </vt:variant>
      <vt:variant>
        <vt:i4>5</vt:i4>
      </vt:variant>
      <vt:variant>
        <vt:lpwstr>https://www.guinee-bissau.net/ethnies_guinee_bissau.php</vt:lpwstr>
      </vt:variant>
      <vt:variant>
        <vt:lpwstr/>
      </vt:variant>
      <vt:variant>
        <vt:i4>3014870</vt:i4>
      </vt:variant>
      <vt:variant>
        <vt:i4>936</vt:i4>
      </vt:variant>
      <vt:variant>
        <vt:i4>0</vt:i4>
      </vt:variant>
      <vt:variant>
        <vt:i4>5</vt:i4>
      </vt:variant>
      <vt:variant>
        <vt:lpwstr>http://www.meteoblue.com/fr/meteo/prevision/modelclimate/bissau_guinée-bissau</vt:lpwstr>
      </vt:variant>
      <vt:variant>
        <vt:lpwstr/>
      </vt:variant>
      <vt:variant>
        <vt:i4>1900592</vt:i4>
      </vt:variant>
      <vt:variant>
        <vt:i4>899</vt:i4>
      </vt:variant>
      <vt:variant>
        <vt:i4>0</vt:i4>
      </vt:variant>
      <vt:variant>
        <vt:i4>5</vt:i4>
      </vt:variant>
      <vt:variant>
        <vt:lpwstr/>
      </vt:variant>
      <vt:variant>
        <vt:lpwstr>_Toc67510438</vt:lpwstr>
      </vt:variant>
      <vt:variant>
        <vt:i4>1769523</vt:i4>
      </vt:variant>
      <vt:variant>
        <vt:i4>890</vt:i4>
      </vt:variant>
      <vt:variant>
        <vt:i4>0</vt:i4>
      </vt:variant>
      <vt:variant>
        <vt:i4>5</vt:i4>
      </vt:variant>
      <vt:variant>
        <vt:lpwstr/>
      </vt:variant>
      <vt:variant>
        <vt:lpwstr>_Toc69919054</vt:lpwstr>
      </vt:variant>
      <vt:variant>
        <vt:i4>1835059</vt:i4>
      </vt:variant>
      <vt:variant>
        <vt:i4>884</vt:i4>
      </vt:variant>
      <vt:variant>
        <vt:i4>0</vt:i4>
      </vt:variant>
      <vt:variant>
        <vt:i4>5</vt:i4>
      </vt:variant>
      <vt:variant>
        <vt:lpwstr/>
      </vt:variant>
      <vt:variant>
        <vt:lpwstr>_Toc69919053</vt:lpwstr>
      </vt:variant>
      <vt:variant>
        <vt:i4>1900595</vt:i4>
      </vt:variant>
      <vt:variant>
        <vt:i4>878</vt:i4>
      </vt:variant>
      <vt:variant>
        <vt:i4>0</vt:i4>
      </vt:variant>
      <vt:variant>
        <vt:i4>5</vt:i4>
      </vt:variant>
      <vt:variant>
        <vt:lpwstr/>
      </vt:variant>
      <vt:variant>
        <vt:lpwstr>_Toc69919052</vt:lpwstr>
      </vt:variant>
      <vt:variant>
        <vt:i4>1966131</vt:i4>
      </vt:variant>
      <vt:variant>
        <vt:i4>872</vt:i4>
      </vt:variant>
      <vt:variant>
        <vt:i4>0</vt:i4>
      </vt:variant>
      <vt:variant>
        <vt:i4>5</vt:i4>
      </vt:variant>
      <vt:variant>
        <vt:lpwstr/>
      </vt:variant>
      <vt:variant>
        <vt:lpwstr>_Toc69919051</vt:lpwstr>
      </vt:variant>
      <vt:variant>
        <vt:i4>56426573</vt:i4>
      </vt:variant>
      <vt:variant>
        <vt:i4>866</vt:i4>
      </vt:variant>
      <vt:variant>
        <vt:i4>0</vt:i4>
      </vt:variant>
      <vt:variant>
        <vt:i4>5</vt:i4>
      </vt:variant>
      <vt:variant>
        <vt:lpwstr>\\Users\pape\Documents\RAPPORT PUSA CGES PROVISOIRE V.02  CORRIGE-mrs_YSM (Enregistré automatiquement).docx</vt:lpwstr>
      </vt:variant>
      <vt:variant>
        <vt:lpwstr>_Toc69919050</vt:lpwstr>
      </vt:variant>
      <vt:variant>
        <vt:i4>1441842</vt:i4>
      </vt:variant>
      <vt:variant>
        <vt:i4>860</vt:i4>
      </vt:variant>
      <vt:variant>
        <vt:i4>0</vt:i4>
      </vt:variant>
      <vt:variant>
        <vt:i4>5</vt:i4>
      </vt:variant>
      <vt:variant>
        <vt:lpwstr/>
      </vt:variant>
      <vt:variant>
        <vt:lpwstr>_Toc69919049</vt:lpwstr>
      </vt:variant>
      <vt:variant>
        <vt:i4>1507378</vt:i4>
      </vt:variant>
      <vt:variant>
        <vt:i4>854</vt:i4>
      </vt:variant>
      <vt:variant>
        <vt:i4>0</vt:i4>
      </vt:variant>
      <vt:variant>
        <vt:i4>5</vt:i4>
      </vt:variant>
      <vt:variant>
        <vt:lpwstr/>
      </vt:variant>
      <vt:variant>
        <vt:lpwstr>_Toc69919048</vt:lpwstr>
      </vt:variant>
      <vt:variant>
        <vt:i4>1572914</vt:i4>
      </vt:variant>
      <vt:variant>
        <vt:i4>848</vt:i4>
      </vt:variant>
      <vt:variant>
        <vt:i4>0</vt:i4>
      </vt:variant>
      <vt:variant>
        <vt:i4>5</vt:i4>
      </vt:variant>
      <vt:variant>
        <vt:lpwstr/>
      </vt:variant>
      <vt:variant>
        <vt:lpwstr>_Toc69919047</vt:lpwstr>
      </vt:variant>
      <vt:variant>
        <vt:i4>1769522</vt:i4>
      </vt:variant>
      <vt:variant>
        <vt:i4>839</vt:i4>
      </vt:variant>
      <vt:variant>
        <vt:i4>0</vt:i4>
      </vt:variant>
      <vt:variant>
        <vt:i4>5</vt:i4>
      </vt:variant>
      <vt:variant>
        <vt:lpwstr/>
      </vt:variant>
      <vt:variant>
        <vt:lpwstr>_Toc69919044</vt:lpwstr>
      </vt:variant>
      <vt:variant>
        <vt:i4>1835058</vt:i4>
      </vt:variant>
      <vt:variant>
        <vt:i4>833</vt:i4>
      </vt:variant>
      <vt:variant>
        <vt:i4>0</vt:i4>
      </vt:variant>
      <vt:variant>
        <vt:i4>5</vt:i4>
      </vt:variant>
      <vt:variant>
        <vt:lpwstr/>
      </vt:variant>
      <vt:variant>
        <vt:lpwstr>_Toc69919043</vt:lpwstr>
      </vt:variant>
      <vt:variant>
        <vt:i4>1900594</vt:i4>
      </vt:variant>
      <vt:variant>
        <vt:i4>827</vt:i4>
      </vt:variant>
      <vt:variant>
        <vt:i4>0</vt:i4>
      </vt:variant>
      <vt:variant>
        <vt:i4>5</vt:i4>
      </vt:variant>
      <vt:variant>
        <vt:lpwstr/>
      </vt:variant>
      <vt:variant>
        <vt:lpwstr>_Toc69919042</vt:lpwstr>
      </vt:variant>
      <vt:variant>
        <vt:i4>1966130</vt:i4>
      </vt:variant>
      <vt:variant>
        <vt:i4>821</vt:i4>
      </vt:variant>
      <vt:variant>
        <vt:i4>0</vt:i4>
      </vt:variant>
      <vt:variant>
        <vt:i4>5</vt:i4>
      </vt:variant>
      <vt:variant>
        <vt:lpwstr/>
      </vt:variant>
      <vt:variant>
        <vt:lpwstr>_Toc69919041</vt:lpwstr>
      </vt:variant>
      <vt:variant>
        <vt:i4>2031666</vt:i4>
      </vt:variant>
      <vt:variant>
        <vt:i4>815</vt:i4>
      </vt:variant>
      <vt:variant>
        <vt:i4>0</vt:i4>
      </vt:variant>
      <vt:variant>
        <vt:i4>5</vt:i4>
      </vt:variant>
      <vt:variant>
        <vt:lpwstr/>
      </vt:variant>
      <vt:variant>
        <vt:lpwstr>_Toc69919040</vt:lpwstr>
      </vt:variant>
      <vt:variant>
        <vt:i4>1441845</vt:i4>
      </vt:variant>
      <vt:variant>
        <vt:i4>809</vt:i4>
      </vt:variant>
      <vt:variant>
        <vt:i4>0</vt:i4>
      </vt:variant>
      <vt:variant>
        <vt:i4>5</vt:i4>
      </vt:variant>
      <vt:variant>
        <vt:lpwstr/>
      </vt:variant>
      <vt:variant>
        <vt:lpwstr>_Toc69919039</vt:lpwstr>
      </vt:variant>
      <vt:variant>
        <vt:i4>1507381</vt:i4>
      </vt:variant>
      <vt:variant>
        <vt:i4>803</vt:i4>
      </vt:variant>
      <vt:variant>
        <vt:i4>0</vt:i4>
      </vt:variant>
      <vt:variant>
        <vt:i4>5</vt:i4>
      </vt:variant>
      <vt:variant>
        <vt:lpwstr/>
      </vt:variant>
      <vt:variant>
        <vt:lpwstr>_Toc69919038</vt:lpwstr>
      </vt:variant>
      <vt:variant>
        <vt:i4>1572917</vt:i4>
      </vt:variant>
      <vt:variant>
        <vt:i4>797</vt:i4>
      </vt:variant>
      <vt:variant>
        <vt:i4>0</vt:i4>
      </vt:variant>
      <vt:variant>
        <vt:i4>5</vt:i4>
      </vt:variant>
      <vt:variant>
        <vt:lpwstr/>
      </vt:variant>
      <vt:variant>
        <vt:lpwstr>_Toc69919037</vt:lpwstr>
      </vt:variant>
      <vt:variant>
        <vt:i4>1638453</vt:i4>
      </vt:variant>
      <vt:variant>
        <vt:i4>791</vt:i4>
      </vt:variant>
      <vt:variant>
        <vt:i4>0</vt:i4>
      </vt:variant>
      <vt:variant>
        <vt:i4>5</vt:i4>
      </vt:variant>
      <vt:variant>
        <vt:lpwstr/>
      </vt:variant>
      <vt:variant>
        <vt:lpwstr>_Toc69919036</vt:lpwstr>
      </vt:variant>
      <vt:variant>
        <vt:i4>1703989</vt:i4>
      </vt:variant>
      <vt:variant>
        <vt:i4>785</vt:i4>
      </vt:variant>
      <vt:variant>
        <vt:i4>0</vt:i4>
      </vt:variant>
      <vt:variant>
        <vt:i4>5</vt:i4>
      </vt:variant>
      <vt:variant>
        <vt:lpwstr/>
      </vt:variant>
      <vt:variant>
        <vt:lpwstr>_Toc69919035</vt:lpwstr>
      </vt:variant>
      <vt:variant>
        <vt:i4>1769525</vt:i4>
      </vt:variant>
      <vt:variant>
        <vt:i4>779</vt:i4>
      </vt:variant>
      <vt:variant>
        <vt:i4>0</vt:i4>
      </vt:variant>
      <vt:variant>
        <vt:i4>5</vt:i4>
      </vt:variant>
      <vt:variant>
        <vt:lpwstr/>
      </vt:variant>
      <vt:variant>
        <vt:lpwstr>_Toc69919034</vt:lpwstr>
      </vt:variant>
      <vt:variant>
        <vt:i4>1835061</vt:i4>
      </vt:variant>
      <vt:variant>
        <vt:i4>773</vt:i4>
      </vt:variant>
      <vt:variant>
        <vt:i4>0</vt:i4>
      </vt:variant>
      <vt:variant>
        <vt:i4>5</vt:i4>
      </vt:variant>
      <vt:variant>
        <vt:lpwstr/>
      </vt:variant>
      <vt:variant>
        <vt:lpwstr>_Toc69919033</vt:lpwstr>
      </vt:variant>
      <vt:variant>
        <vt:i4>1900597</vt:i4>
      </vt:variant>
      <vt:variant>
        <vt:i4>767</vt:i4>
      </vt:variant>
      <vt:variant>
        <vt:i4>0</vt:i4>
      </vt:variant>
      <vt:variant>
        <vt:i4>5</vt:i4>
      </vt:variant>
      <vt:variant>
        <vt:lpwstr/>
      </vt:variant>
      <vt:variant>
        <vt:lpwstr>_Toc69919032</vt:lpwstr>
      </vt:variant>
      <vt:variant>
        <vt:i4>1966133</vt:i4>
      </vt:variant>
      <vt:variant>
        <vt:i4>761</vt:i4>
      </vt:variant>
      <vt:variant>
        <vt:i4>0</vt:i4>
      </vt:variant>
      <vt:variant>
        <vt:i4>5</vt:i4>
      </vt:variant>
      <vt:variant>
        <vt:lpwstr/>
      </vt:variant>
      <vt:variant>
        <vt:lpwstr>_Toc69919031</vt:lpwstr>
      </vt:variant>
      <vt:variant>
        <vt:i4>2031669</vt:i4>
      </vt:variant>
      <vt:variant>
        <vt:i4>755</vt:i4>
      </vt:variant>
      <vt:variant>
        <vt:i4>0</vt:i4>
      </vt:variant>
      <vt:variant>
        <vt:i4>5</vt:i4>
      </vt:variant>
      <vt:variant>
        <vt:lpwstr/>
      </vt:variant>
      <vt:variant>
        <vt:lpwstr>_Toc69919030</vt:lpwstr>
      </vt:variant>
      <vt:variant>
        <vt:i4>1441844</vt:i4>
      </vt:variant>
      <vt:variant>
        <vt:i4>749</vt:i4>
      </vt:variant>
      <vt:variant>
        <vt:i4>0</vt:i4>
      </vt:variant>
      <vt:variant>
        <vt:i4>5</vt:i4>
      </vt:variant>
      <vt:variant>
        <vt:lpwstr/>
      </vt:variant>
      <vt:variant>
        <vt:lpwstr>_Toc69919029</vt:lpwstr>
      </vt:variant>
      <vt:variant>
        <vt:i4>1507380</vt:i4>
      </vt:variant>
      <vt:variant>
        <vt:i4>743</vt:i4>
      </vt:variant>
      <vt:variant>
        <vt:i4>0</vt:i4>
      </vt:variant>
      <vt:variant>
        <vt:i4>5</vt:i4>
      </vt:variant>
      <vt:variant>
        <vt:lpwstr/>
      </vt:variant>
      <vt:variant>
        <vt:lpwstr>_Toc69919028</vt:lpwstr>
      </vt:variant>
      <vt:variant>
        <vt:i4>1572916</vt:i4>
      </vt:variant>
      <vt:variant>
        <vt:i4>737</vt:i4>
      </vt:variant>
      <vt:variant>
        <vt:i4>0</vt:i4>
      </vt:variant>
      <vt:variant>
        <vt:i4>5</vt:i4>
      </vt:variant>
      <vt:variant>
        <vt:lpwstr/>
      </vt:variant>
      <vt:variant>
        <vt:lpwstr>_Toc69919027</vt:lpwstr>
      </vt:variant>
      <vt:variant>
        <vt:i4>1638452</vt:i4>
      </vt:variant>
      <vt:variant>
        <vt:i4>731</vt:i4>
      </vt:variant>
      <vt:variant>
        <vt:i4>0</vt:i4>
      </vt:variant>
      <vt:variant>
        <vt:i4>5</vt:i4>
      </vt:variant>
      <vt:variant>
        <vt:lpwstr/>
      </vt:variant>
      <vt:variant>
        <vt:lpwstr>_Toc69919026</vt:lpwstr>
      </vt:variant>
      <vt:variant>
        <vt:i4>1703988</vt:i4>
      </vt:variant>
      <vt:variant>
        <vt:i4>725</vt:i4>
      </vt:variant>
      <vt:variant>
        <vt:i4>0</vt:i4>
      </vt:variant>
      <vt:variant>
        <vt:i4>5</vt:i4>
      </vt:variant>
      <vt:variant>
        <vt:lpwstr/>
      </vt:variant>
      <vt:variant>
        <vt:lpwstr>_Toc69919025</vt:lpwstr>
      </vt:variant>
      <vt:variant>
        <vt:i4>1769524</vt:i4>
      </vt:variant>
      <vt:variant>
        <vt:i4>719</vt:i4>
      </vt:variant>
      <vt:variant>
        <vt:i4>0</vt:i4>
      </vt:variant>
      <vt:variant>
        <vt:i4>5</vt:i4>
      </vt:variant>
      <vt:variant>
        <vt:lpwstr/>
      </vt:variant>
      <vt:variant>
        <vt:lpwstr>_Toc69919024</vt:lpwstr>
      </vt:variant>
      <vt:variant>
        <vt:i4>1835060</vt:i4>
      </vt:variant>
      <vt:variant>
        <vt:i4>713</vt:i4>
      </vt:variant>
      <vt:variant>
        <vt:i4>0</vt:i4>
      </vt:variant>
      <vt:variant>
        <vt:i4>5</vt:i4>
      </vt:variant>
      <vt:variant>
        <vt:lpwstr/>
      </vt:variant>
      <vt:variant>
        <vt:lpwstr>_Toc69919023</vt:lpwstr>
      </vt:variant>
      <vt:variant>
        <vt:i4>1900596</vt:i4>
      </vt:variant>
      <vt:variant>
        <vt:i4>707</vt:i4>
      </vt:variant>
      <vt:variant>
        <vt:i4>0</vt:i4>
      </vt:variant>
      <vt:variant>
        <vt:i4>5</vt:i4>
      </vt:variant>
      <vt:variant>
        <vt:lpwstr/>
      </vt:variant>
      <vt:variant>
        <vt:lpwstr>_Toc69919022</vt:lpwstr>
      </vt:variant>
      <vt:variant>
        <vt:i4>1966132</vt:i4>
      </vt:variant>
      <vt:variant>
        <vt:i4>701</vt:i4>
      </vt:variant>
      <vt:variant>
        <vt:i4>0</vt:i4>
      </vt:variant>
      <vt:variant>
        <vt:i4>5</vt:i4>
      </vt:variant>
      <vt:variant>
        <vt:lpwstr/>
      </vt:variant>
      <vt:variant>
        <vt:lpwstr>_Toc69919021</vt:lpwstr>
      </vt:variant>
      <vt:variant>
        <vt:i4>1966142</vt:i4>
      </vt:variant>
      <vt:variant>
        <vt:i4>692</vt:i4>
      </vt:variant>
      <vt:variant>
        <vt:i4>0</vt:i4>
      </vt:variant>
      <vt:variant>
        <vt:i4>5</vt:i4>
      </vt:variant>
      <vt:variant>
        <vt:lpwstr/>
      </vt:variant>
      <vt:variant>
        <vt:lpwstr>_Toc69918796</vt:lpwstr>
      </vt:variant>
      <vt:variant>
        <vt:i4>1900606</vt:i4>
      </vt:variant>
      <vt:variant>
        <vt:i4>686</vt:i4>
      </vt:variant>
      <vt:variant>
        <vt:i4>0</vt:i4>
      </vt:variant>
      <vt:variant>
        <vt:i4>5</vt:i4>
      </vt:variant>
      <vt:variant>
        <vt:lpwstr/>
      </vt:variant>
      <vt:variant>
        <vt:lpwstr>_Toc69918795</vt:lpwstr>
      </vt:variant>
      <vt:variant>
        <vt:i4>1835070</vt:i4>
      </vt:variant>
      <vt:variant>
        <vt:i4>680</vt:i4>
      </vt:variant>
      <vt:variant>
        <vt:i4>0</vt:i4>
      </vt:variant>
      <vt:variant>
        <vt:i4>5</vt:i4>
      </vt:variant>
      <vt:variant>
        <vt:lpwstr/>
      </vt:variant>
      <vt:variant>
        <vt:lpwstr>_Toc69918794</vt:lpwstr>
      </vt:variant>
      <vt:variant>
        <vt:i4>1769534</vt:i4>
      </vt:variant>
      <vt:variant>
        <vt:i4>674</vt:i4>
      </vt:variant>
      <vt:variant>
        <vt:i4>0</vt:i4>
      </vt:variant>
      <vt:variant>
        <vt:i4>5</vt:i4>
      </vt:variant>
      <vt:variant>
        <vt:lpwstr/>
      </vt:variant>
      <vt:variant>
        <vt:lpwstr>_Toc69918793</vt:lpwstr>
      </vt:variant>
      <vt:variant>
        <vt:i4>1572927</vt:i4>
      </vt:variant>
      <vt:variant>
        <vt:i4>668</vt:i4>
      </vt:variant>
      <vt:variant>
        <vt:i4>0</vt:i4>
      </vt:variant>
      <vt:variant>
        <vt:i4>5</vt:i4>
      </vt:variant>
      <vt:variant>
        <vt:lpwstr/>
      </vt:variant>
      <vt:variant>
        <vt:lpwstr>_Toc69918780</vt:lpwstr>
      </vt:variant>
      <vt:variant>
        <vt:i4>1114162</vt:i4>
      </vt:variant>
      <vt:variant>
        <vt:i4>662</vt:i4>
      </vt:variant>
      <vt:variant>
        <vt:i4>0</vt:i4>
      </vt:variant>
      <vt:variant>
        <vt:i4>5</vt:i4>
      </vt:variant>
      <vt:variant>
        <vt:lpwstr/>
      </vt:variant>
      <vt:variant>
        <vt:lpwstr>_Toc69918759</vt:lpwstr>
      </vt:variant>
      <vt:variant>
        <vt:i4>1048626</vt:i4>
      </vt:variant>
      <vt:variant>
        <vt:i4>656</vt:i4>
      </vt:variant>
      <vt:variant>
        <vt:i4>0</vt:i4>
      </vt:variant>
      <vt:variant>
        <vt:i4>5</vt:i4>
      </vt:variant>
      <vt:variant>
        <vt:lpwstr/>
      </vt:variant>
      <vt:variant>
        <vt:lpwstr>_Toc69918758</vt:lpwstr>
      </vt:variant>
      <vt:variant>
        <vt:i4>2031666</vt:i4>
      </vt:variant>
      <vt:variant>
        <vt:i4>650</vt:i4>
      </vt:variant>
      <vt:variant>
        <vt:i4>0</vt:i4>
      </vt:variant>
      <vt:variant>
        <vt:i4>5</vt:i4>
      </vt:variant>
      <vt:variant>
        <vt:lpwstr/>
      </vt:variant>
      <vt:variant>
        <vt:lpwstr>_Toc69918757</vt:lpwstr>
      </vt:variant>
      <vt:variant>
        <vt:i4>1966130</vt:i4>
      </vt:variant>
      <vt:variant>
        <vt:i4>644</vt:i4>
      </vt:variant>
      <vt:variant>
        <vt:i4>0</vt:i4>
      </vt:variant>
      <vt:variant>
        <vt:i4>5</vt:i4>
      </vt:variant>
      <vt:variant>
        <vt:lpwstr/>
      </vt:variant>
      <vt:variant>
        <vt:lpwstr>_Toc69918756</vt:lpwstr>
      </vt:variant>
      <vt:variant>
        <vt:i4>1900594</vt:i4>
      </vt:variant>
      <vt:variant>
        <vt:i4>638</vt:i4>
      </vt:variant>
      <vt:variant>
        <vt:i4>0</vt:i4>
      </vt:variant>
      <vt:variant>
        <vt:i4>5</vt:i4>
      </vt:variant>
      <vt:variant>
        <vt:lpwstr/>
      </vt:variant>
      <vt:variant>
        <vt:lpwstr>_Toc69918755</vt:lpwstr>
      </vt:variant>
      <vt:variant>
        <vt:i4>1835058</vt:i4>
      </vt:variant>
      <vt:variant>
        <vt:i4>632</vt:i4>
      </vt:variant>
      <vt:variant>
        <vt:i4>0</vt:i4>
      </vt:variant>
      <vt:variant>
        <vt:i4>5</vt:i4>
      </vt:variant>
      <vt:variant>
        <vt:lpwstr/>
      </vt:variant>
      <vt:variant>
        <vt:lpwstr>_Toc69918754</vt:lpwstr>
      </vt:variant>
      <vt:variant>
        <vt:i4>1769522</vt:i4>
      </vt:variant>
      <vt:variant>
        <vt:i4>626</vt:i4>
      </vt:variant>
      <vt:variant>
        <vt:i4>0</vt:i4>
      </vt:variant>
      <vt:variant>
        <vt:i4>5</vt:i4>
      </vt:variant>
      <vt:variant>
        <vt:lpwstr/>
      </vt:variant>
      <vt:variant>
        <vt:lpwstr>_Toc69918753</vt:lpwstr>
      </vt:variant>
      <vt:variant>
        <vt:i4>1703986</vt:i4>
      </vt:variant>
      <vt:variant>
        <vt:i4>620</vt:i4>
      </vt:variant>
      <vt:variant>
        <vt:i4>0</vt:i4>
      </vt:variant>
      <vt:variant>
        <vt:i4>5</vt:i4>
      </vt:variant>
      <vt:variant>
        <vt:lpwstr/>
      </vt:variant>
      <vt:variant>
        <vt:lpwstr>_Toc69918752</vt:lpwstr>
      </vt:variant>
      <vt:variant>
        <vt:i4>1638450</vt:i4>
      </vt:variant>
      <vt:variant>
        <vt:i4>614</vt:i4>
      </vt:variant>
      <vt:variant>
        <vt:i4>0</vt:i4>
      </vt:variant>
      <vt:variant>
        <vt:i4>5</vt:i4>
      </vt:variant>
      <vt:variant>
        <vt:lpwstr/>
      </vt:variant>
      <vt:variant>
        <vt:lpwstr>_Toc69918751</vt:lpwstr>
      </vt:variant>
      <vt:variant>
        <vt:i4>1572914</vt:i4>
      </vt:variant>
      <vt:variant>
        <vt:i4>608</vt:i4>
      </vt:variant>
      <vt:variant>
        <vt:i4>0</vt:i4>
      </vt:variant>
      <vt:variant>
        <vt:i4>5</vt:i4>
      </vt:variant>
      <vt:variant>
        <vt:lpwstr/>
      </vt:variant>
      <vt:variant>
        <vt:lpwstr>_Toc69918750</vt:lpwstr>
      </vt:variant>
      <vt:variant>
        <vt:i4>1114163</vt:i4>
      </vt:variant>
      <vt:variant>
        <vt:i4>602</vt:i4>
      </vt:variant>
      <vt:variant>
        <vt:i4>0</vt:i4>
      </vt:variant>
      <vt:variant>
        <vt:i4>5</vt:i4>
      </vt:variant>
      <vt:variant>
        <vt:lpwstr/>
      </vt:variant>
      <vt:variant>
        <vt:lpwstr>_Toc69918749</vt:lpwstr>
      </vt:variant>
      <vt:variant>
        <vt:i4>1048627</vt:i4>
      </vt:variant>
      <vt:variant>
        <vt:i4>596</vt:i4>
      </vt:variant>
      <vt:variant>
        <vt:i4>0</vt:i4>
      </vt:variant>
      <vt:variant>
        <vt:i4>5</vt:i4>
      </vt:variant>
      <vt:variant>
        <vt:lpwstr/>
      </vt:variant>
      <vt:variant>
        <vt:lpwstr>_Toc69918748</vt:lpwstr>
      </vt:variant>
      <vt:variant>
        <vt:i4>2031667</vt:i4>
      </vt:variant>
      <vt:variant>
        <vt:i4>590</vt:i4>
      </vt:variant>
      <vt:variant>
        <vt:i4>0</vt:i4>
      </vt:variant>
      <vt:variant>
        <vt:i4>5</vt:i4>
      </vt:variant>
      <vt:variant>
        <vt:lpwstr/>
      </vt:variant>
      <vt:variant>
        <vt:lpwstr>_Toc69918747</vt:lpwstr>
      </vt:variant>
      <vt:variant>
        <vt:i4>1966131</vt:i4>
      </vt:variant>
      <vt:variant>
        <vt:i4>584</vt:i4>
      </vt:variant>
      <vt:variant>
        <vt:i4>0</vt:i4>
      </vt:variant>
      <vt:variant>
        <vt:i4>5</vt:i4>
      </vt:variant>
      <vt:variant>
        <vt:lpwstr/>
      </vt:variant>
      <vt:variant>
        <vt:lpwstr>_Toc69918746</vt:lpwstr>
      </vt:variant>
      <vt:variant>
        <vt:i4>1900595</vt:i4>
      </vt:variant>
      <vt:variant>
        <vt:i4>578</vt:i4>
      </vt:variant>
      <vt:variant>
        <vt:i4>0</vt:i4>
      </vt:variant>
      <vt:variant>
        <vt:i4>5</vt:i4>
      </vt:variant>
      <vt:variant>
        <vt:lpwstr/>
      </vt:variant>
      <vt:variant>
        <vt:lpwstr>_Toc69918745</vt:lpwstr>
      </vt:variant>
      <vt:variant>
        <vt:i4>1835059</vt:i4>
      </vt:variant>
      <vt:variant>
        <vt:i4>572</vt:i4>
      </vt:variant>
      <vt:variant>
        <vt:i4>0</vt:i4>
      </vt:variant>
      <vt:variant>
        <vt:i4>5</vt:i4>
      </vt:variant>
      <vt:variant>
        <vt:lpwstr/>
      </vt:variant>
      <vt:variant>
        <vt:lpwstr>_Toc69918744</vt:lpwstr>
      </vt:variant>
      <vt:variant>
        <vt:i4>1769523</vt:i4>
      </vt:variant>
      <vt:variant>
        <vt:i4>566</vt:i4>
      </vt:variant>
      <vt:variant>
        <vt:i4>0</vt:i4>
      </vt:variant>
      <vt:variant>
        <vt:i4>5</vt:i4>
      </vt:variant>
      <vt:variant>
        <vt:lpwstr/>
      </vt:variant>
      <vt:variant>
        <vt:lpwstr>_Toc69918743</vt:lpwstr>
      </vt:variant>
      <vt:variant>
        <vt:i4>1703987</vt:i4>
      </vt:variant>
      <vt:variant>
        <vt:i4>560</vt:i4>
      </vt:variant>
      <vt:variant>
        <vt:i4>0</vt:i4>
      </vt:variant>
      <vt:variant>
        <vt:i4>5</vt:i4>
      </vt:variant>
      <vt:variant>
        <vt:lpwstr/>
      </vt:variant>
      <vt:variant>
        <vt:lpwstr>_Toc69918742</vt:lpwstr>
      </vt:variant>
      <vt:variant>
        <vt:i4>1638451</vt:i4>
      </vt:variant>
      <vt:variant>
        <vt:i4>554</vt:i4>
      </vt:variant>
      <vt:variant>
        <vt:i4>0</vt:i4>
      </vt:variant>
      <vt:variant>
        <vt:i4>5</vt:i4>
      </vt:variant>
      <vt:variant>
        <vt:lpwstr/>
      </vt:variant>
      <vt:variant>
        <vt:lpwstr>_Toc69918741</vt:lpwstr>
      </vt:variant>
      <vt:variant>
        <vt:i4>1572915</vt:i4>
      </vt:variant>
      <vt:variant>
        <vt:i4>548</vt:i4>
      </vt:variant>
      <vt:variant>
        <vt:i4>0</vt:i4>
      </vt:variant>
      <vt:variant>
        <vt:i4>5</vt:i4>
      </vt:variant>
      <vt:variant>
        <vt:lpwstr/>
      </vt:variant>
      <vt:variant>
        <vt:lpwstr>_Toc69918740</vt:lpwstr>
      </vt:variant>
      <vt:variant>
        <vt:i4>1114164</vt:i4>
      </vt:variant>
      <vt:variant>
        <vt:i4>542</vt:i4>
      </vt:variant>
      <vt:variant>
        <vt:i4>0</vt:i4>
      </vt:variant>
      <vt:variant>
        <vt:i4>5</vt:i4>
      </vt:variant>
      <vt:variant>
        <vt:lpwstr/>
      </vt:variant>
      <vt:variant>
        <vt:lpwstr>_Toc69918739</vt:lpwstr>
      </vt:variant>
      <vt:variant>
        <vt:i4>1048628</vt:i4>
      </vt:variant>
      <vt:variant>
        <vt:i4>536</vt:i4>
      </vt:variant>
      <vt:variant>
        <vt:i4>0</vt:i4>
      </vt:variant>
      <vt:variant>
        <vt:i4>5</vt:i4>
      </vt:variant>
      <vt:variant>
        <vt:lpwstr/>
      </vt:variant>
      <vt:variant>
        <vt:lpwstr>_Toc69918738</vt:lpwstr>
      </vt:variant>
      <vt:variant>
        <vt:i4>2031668</vt:i4>
      </vt:variant>
      <vt:variant>
        <vt:i4>530</vt:i4>
      </vt:variant>
      <vt:variant>
        <vt:i4>0</vt:i4>
      </vt:variant>
      <vt:variant>
        <vt:i4>5</vt:i4>
      </vt:variant>
      <vt:variant>
        <vt:lpwstr/>
      </vt:variant>
      <vt:variant>
        <vt:lpwstr>_Toc69918737</vt:lpwstr>
      </vt:variant>
      <vt:variant>
        <vt:i4>1966132</vt:i4>
      </vt:variant>
      <vt:variant>
        <vt:i4>524</vt:i4>
      </vt:variant>
      <vt:variant>
        <vt:i4>0</vt:i4>
      </vt:variant>
      <vt:variant>
        <vt:i4>5</vt:i4>
      </vt:variant>
      <vt:variant>
        <vt:lpwstr/>
      </vt:variant>
      <vt:variant>
        <vt:lpwstr>_Toc69918736</vt:lpwstr>
      </vt:variant>
      <vt:variant>
        <vt:i4>1900596</vt:i4>
      </vt:variant>
      <vt:variant>
        <vt:i4>518</vt:i4>
      </vt:variant>
      <vt:variant>
        <vt:i4>0</vt:i4>
      </vt:variant>
      <vt:variant>
        <vt:i4>5</vt:i4>
      </vt:variant>
      <vt:variant>
        <vt:lpwstr/>
      </vt:variant>
      <vt:variant>
        <vt:lpwstr>_Toc69918735</vt:lpwstr>
      </vt:variant>
      <vt:variant>
        <vt:i4>1835060</vt:i4>
      </vt:variant>
      <vt:variant>
        <vt:i4>512</vt:i4>
      </vt:variant>
      <vt:variant>
        <vt:i4>0</vt:i4>
      </vt:variant>
      <vt:variant>
        <vt:i4>5</vt:i4>
      </vt:variant>
      <vt:variant>
        <vt:lpwstr/>
      </vt:variant>
      <vt:variant>
        <vt:lpwstr>_Toc69918734</vt:lpwstr>
      </vt:variant>
      <vt:variant>
        <vt:i4>1769524</vt:i4>
      </vt:variant>
      <vt:variant>
        <vt:i4>506</vt:i4>
      </vt:variant>
      <vt:variant>
        <vt:i4>0</vt:i4>
      </vt:variant>
      <vt:variant>
        <vt:i4>5</vt:i4>
      </vt:variant>
      <vt:variant>
        <vt:lpwstr/>
      </vt:variant>
      <vt:variant>
        <vt:lpwstr>_Toc69918733</vt:lpwstr>
      </vt:variant>
      <vt:variant>
        <vt:i4>1703988</vt:i4>
      </vt:variant>
      <vt:variant>
        <vt:i4>500</vt:i4>
      </vt:variant>
      <vt:variant>
        <vt:i4>0</vt:i4>
      </vt:variant>
      <vt:variant>
        <vt:i4>5</vt:i4>
      </vt:variant>
      <vt:variant>
        <vt:lpwstr/>
      </vt:variant>
      <vt:variant>
        <vt:lpwstr>_Toc69918732</vt:lpwstr>
      </vt:variant>
      <vt:variant>
        <vt:i4>1638452</vt:i4>
      </vt:variant>
      <vt:variant>
        <vt:i4>494</vt:i4>
      </vt:variant>
      <vt:variant>
        <vt:i4>0</vt:i4>
      </vt:variant>
      <vt:variant>
        <vt:i4>5</vt:i4>
      </vt:variant>
      <vt:variant>
        <vt:lpwstr/>
      </vt:variant>
      <vt:variant>
        <vt:lpwstr>_Toc69918731</vt:lpwstr>
      </vt:variant>
      <vt:variant>
        <vt:i4>1572916</vt:i4>
      </vt:variant>
      <vt:variant>
        <vt:i4>488</vt:i4>
      </vt:variant>
      <vt:variant>
        <vt:i4>0</vt:i4>
      </vt:variant>
      <vt:variant>
        <vt:i4>5</vt:i4>
      </vt:variant>
      <vt:variant>
        <vt:lpwstr/>
      </vt:variant>
      <vt:variant>
        <vt:lpwstr>_Toc69918730</vt:lpwstr>
      </vt:variant>
      <vt:variant>
        <vt:i4>1114165</vt:i4>
      </vt:variant>
      <vt:variant>
        <vt:i4>482</vt:i4>
      </vt:variant>
      <vt:variant>
        <vt:i4>0</vt:i4>
      </vt:variant>
      <vt:variant>
        <vt:i4>5</vt:i4>
      </vt:variant>
      <vt:variant>
        <vt:lpwstr/>
      </vt:variant>
      <vt:variant>
        <vt:lpwstr>_Toc69918729</vt:lpwstr>
      </vt:variant>
      <vt:variant>
        <vt:i4>1048629</vt:i4>
      </vt:variant>
      <vt:variant>
        <vt:i4>476</vt:i4>
      </vt:variant>
      <vt:variant>
        <vt:i4>0</vt:i4>
      </vt:variant>
      <vt:variant>
        <vt:i4>5</vt:i4>
      </vt:variant>
      <vt:variant>
        <vt:lpwstr/>
      </vt:variant>
      <vt:variant>
        <vt:lpwstr>_Toc69918728</vt:lpwstr>
      </vt:variant>
      <vt:variant>
        <vt:i4>2031669</vt:i4>
      </vt:variant>
      <vt:variant>
        <vt:i4>470</vt:i4>
      </vt:variant>
      <vt:variant>
        <vt:i4>0</vt:i4>
      </vt:variant>
      <vt:variant>
        <vt:i4>5</vt:i4>
      </vt:variant>
      <vt:variant>
        <vt:lpwstr/>
      </vt:variant>
      <vt:variant>
        <vt:lpwstr>_Toc69918727</vt:lpwstr>
      </vt:variant>
      <vt:variant>
        <vt:i4>1966133</vt:i4>
      </vt:variant>
      <vt:variant>
        <vt:i4>464</vt:i4>
      </vt:variant>
      <vt:variant>
        <vt:i4>0</vt:i4>
      </vt:variant>
      <vt:variant>
        <vt:i4>5</vt:i4>
      </vt:variant>
      <vt:variant>
        <vt:lpwstr/>
      </vt:variant>
      <vt:variant>
        <vt:lpwstr>_Toc69918726</vt:lpwstr>
      </vt:variant>
      <vt:variant>
        <vt:i4>1900597</vt:i4>
      </vt:variant>
      <vt:variant>
        <vt:i4>458</vt:i4>
      </vt:variant>
      <vt:variant>
        <vt:i4>0</vt:i4>
      </vt:variant>
      <vt:variant>
        <vt:i4>5</vt:i4>
      </vt:variant>
      <vt:variant>
        <vt:lpwstr/>
      </vt:variant>
      <vt:variant>
        <vt:lpwstr>_Toc69918725</vt:lpwstr>
      </vt:variant>
      <vt:variant>
        <vt:i4>1835061</vt:i4>
      </vt:variant>
      <vt:variant>
        <vt:i4>452</vt:i4>
      </vt:variant>
      <vt:variant>
        <vt:i4>0</vt:i4>
      </vt:variant>
      <vt:variant>
        <vt:i4>5</vt:i4>
      </vt:variant>
      <vt:variant>
        <vt:lpwstr/>
      </vt:variant>
      <vt:variant>
        <vt:lpwstr>_Toc69918724</vt:lpwstr>
      </vt:variant>
      <vt:variant>
        <vt:i4>1769525</vt:i4>
      </vt:variant>
      <vt:variant>
        <vt:i4>446</vt:i4>
      </vt:variant>
      <vt:variant>
        <vt:i4>0</vt:i4>
      </vt:variant>
      <vt:variant>
        <vt:i4>5</vt:i4>
      </vt:variant>
      <vt:variant>
        <vt:lpwstr/>
      </vt:variant>
      <vt:variant>
        <vt:lpwstr>_Toc69918723</vt:lpwstr>
      </vt:variant>
      <vt:variant>
        <vt:i4>1703989</vt:i4>
      </vt:variant>
      <vt:variant>
        <vt:i4>440</vt:i4>
      </vt:variant>
      <vt:variant>
        <vt:i4>0</vt:i4>
      </vt:variant>
      <vt:variant>
        <vt:i4>5</vt:i4>
      </vt:variant>
      <vt:variant>
        <vt:lpwstr/>
      </vt:variant>
      <vt:variant>
        <vt:lpwstr>_Toc69918722</vt:lpwstr>
      </vt:variant>
      <vt:variant>
        <vt:i4>1638453</vt:i4>
      </vt:variant>
      <vt:variant>
        <vt:i4>434</vt:i4>
      </vt:variant>
      <vt:variant>
        <vt:i4>0</vt:i4>
      </vt:variant>
      <vt:variant>
        <vt:i4>5</vt:i4>
      </vt:variant>
      <vt:variant>
        <vt:lpwstr/>
      </vt:variant>
      <vt:variant>
        <vt:lpwstr>_Toc69918721</vt:lpwstr>
      </vt:variant>
      <vt:variant>
        <vt:i4>1572917</vt:i4>
      </vt:variant>
      <vt:variant>
        <vt:i4>428</vt:i4>
      </vt:variant>
      <vt:variant>
        <vt:i4>0</vt:i4>
      </vt:variant>
      <vt:variant>
        <vt:i4>5</vt:i4>
      </vt:variant>
      <vt:variant>
        <vt:lpwstr/>
      </vt:variant>
      <vt:variant>
        <vt:lpwstr>_Toc69918720</vt:lpwstr>
      </vt:variant>
      <vt:variant>
        <vt:i4>1114166</vt:i4>
      </vt:variant>
      <vt:variant>
        <vt:i4>422</vt:i4>
      </vt:variant>
      <vt:variant>
        <vt:i4>0</vt:i4>
      </vt:variant>
      <vt:variant>
        <vt:i4>5</vt:i4>
      </vt:variant>
      <vt:variant>
        <vt:lpwstr/>
      </vt:variant>
      <vt:variant>
        <vt:lpwstr>_Toc69918719</vt:lpwstr>
      </vt:variant>
      <vt:variant>
        <vt:i4>1048630</vt:i4>
      </vt:variant>
      <vt:variant>
        <vt:i4>416</vt:i4>
      </vt:variant>
      <vt:variant>
        <vt:i4>0</vt:i4>
      </vt:variant>
      <vt:variant>
        <vt:i4>5</vt:i4>
      </vt:variant>
      <vt:variant>
        <vt:lpwstr/>
      </vt:variant>
      <vt:variant>
        <vt:lpwstr>_Toc69918718</vt:lpwstr>
      </vt:variant>
      <vt:variant>
        <vt:i4>2031670</vt:i4>
      </vt:variant>
      <vt:variant>
        <vt:i4>410</vt:i4>
      </vt:variant>
      <vt:variant>
        <vt:i4>0</vt:i4>
      </vt:variant>
      <vt:variant>
        <vt:i4>5</vt:i4>
      </vt:variant>
      <vt:variant>
        <vt:lpwstr/>
      </vt:variant>
      <vt:variant>
        <vt:lpwstr>_Toc69918717</vt:lpwstr>
      </vt:variant>
      <vt:variant>
        <vt:i4>1966134</vt:i4>
      </vt:variant>
      <vt:variant>
        <vt:i4>404</vt:i4>
      </vt:variant>
      <vt:variant>
        <vt:i4>0</vt:i4>
      </vt:variant>
      <vt:variant>
        <vt:i4>5</vt:i4>
      </vt:variant>
      <vt:variant>
        <vt:lpwstr/>
      </vt:variant>
      <vt:variant>
        <vt:lpwstr>_Toc69918716</vt:lpwstr>
      </vt:variant>
      <vt:variant>
        <vt:i4>1900598</vt:i4>
      </vt:variant>
      <vt:variant>
        <vt:i4>398</vt:i4>
      </vt:variant>
      <vt:variant>
        <vt:i4>0</vt:i4>
      </vt:variant>
      <vt:variant>
        <vt:i4>5</vt:i4>
      </vt:variant>
      <vt:variant>
        <vt:lpwstr/>
      </vt:variant>
      <vt:variant>
        <vt:lpwstr>_Toc69918715</vt:lpwstr>
      </vt:variant>
      <vt:variant>
        <vt:i4>1835062</vt:i4>
      </vt:variant>
      <vt:variant>
        <vt:i4>392</vt:i4>
      </vt:variant>
      <vt:variant>
        <vt:i4>0</vt:i4>
      </vt:variant>
      <vt:variant>
        <vt:i4>5</vt:i4>
      </vt:variant>
      <vt:variant>
        <vt:lpwstr/>
      </vt:variant>
      <vt:variant>
        <vt:lpwstr>_Toc69918714</vt:lpwstr>
      </vt:variant>
      <vt:variant>
        <vt:i4>1769526</vt:i4>
      </vt:variant>
      <vt:variant>
        <vt:i4>386</vt:i4>
      </vt:variant>
      <vt:variant>
        <vt:i4>0</vt:i4>
      </vt:variant>
      <vt:variant>
        <vt:i4>5</vt:i4>
      </vt:variant>
      <vt:variant>
        <vt:lpwstr/>
      </vt:variant>
      <vt:variant>
        <vt:lpwstr>_Toc69918713</vt:lpwstr>
      </vt:variant>
      <vt:variant>
        <vt:i4>1703990</vt:i4>
      </vt:variant>
      <vt:variant>
        <vt:i4>380</vt:i4>
      </vt:variant>
      <vt:variant>
        <vt:i4>0</vt:i4>
      </vt:variant>
      <vt:variant>
        <vt:i4>5</vt:i4>
      </vt:variant>
      <vt:variant>
        <vt:lpwstr/>
      </vt:variant>
      <vt:variant>
        <vt:lpwstr>_Toc69918712</vt:lpwstr>
      </vt:variant>
      <vt:variant>
        <vt:i4>1638454</vt:i4>
      </vt:variant>
      <vt:variant>
        <vt:i4>374</vt:i4>
      </vt:variant>
      <vt:variant>
        <vt:i4>0</vt:i4>
      </vt:variant>
      <vt:variant>
        <vt:i4>5</vt:i4>
      </vt:variant>
      <vt:variant>
        <vt:lpwstr/>
      </vt:variant>
      <vt:variant>
        <vt:lpwstr>_Toc69918711</vt:lpwstr>
      </vt:variant>
      <vt:variant>
        <vt:i4>1572918</vt:i4>
      </vt:variant>
      <vt:variant>
        <vt:i4>368</vt:i4>
      </vt:variant>
      <vt:variant>
        <vt:i4>0</vt:i4>
      </vt:variant>
      <vt:variant>
        <vt:i4>5</vt:i4>
      </vt:variant>
      <vt:variant>
        <vt:lpwstr/>
      </vt:variant>
      <vt:variant>
        <vt:lpwstr>_Toc69918710</vt:lpwstr>
      </vt:variant>
      <vt:variant>
        <vt:i4>1114167</vt:i4>
      </vt:variant>
      <vt:variant>
        <vt:i4>362</vt:i4>
      </vt:variant>
      <vt:variant>
        <vt:i4>0</vt:i4>
      </vt:variant>
      <vt:variant>
        <vt:i4>5</vt:i4>
      </vt:variant>
      <vt:variant>
        <vt:lpwstr/>
      </vt:variant>
      <vt:variant>
        <vt:lpwstr>_Toc69918709</vt:lpwstr>
      </vt:variant>
      <vt:variant>
        <vt:i4>1048631</vt:i4>
      </vt:variant>
      <vt:variant>
        <vt:i4>356</vt:i4>
      </vt:variant>
      <vt:variant>
        <vt:i4>0</vt:i4>
      </vt:variant>
      <vt:variant>
        <vt:i4>5</vt:i4>
      </vt:variant>
      <vt:variant>
        <vt:lpwstr/>
      </vt:variant>
      <vt:variant>
        <vt:lpwstr>_Toc69918708</vt:lpwstr>
      </vt:variant>
      <vt:variant>
        <vt:i4>2031671</vt:i4>
      </vt:variant>
      <vt:variant>
        <vt:i4>350</vt:i4>
      </vt:variant>
      <vt:variant>
        <vt:i4>0</vt:i4>
      </vt:variant>
      <vt:variant>
        <vt:i4>5</vt:i4>
      </vt:variant>
      <vt:variant>
        <vt:lpwstr/>
      </vt:variant>
      <vt:variant>
        <vt:lpwstr>_Toc69918707</vt:lpwstr>
      </vt:variant>
      <vt:variant>
        <vt:i4>1966135</vt:i4>
      </vt:variant>
      <vt:variant>
        <vt:i4>344</vt:i4>
      </vt:variant>
      <vt:variant>
        <vt:i4>0</vt:i4>
      </vt:variant>
      <vt:variant>
        <vt:i4>5</vt:i4>
      </vt:variant>
      <vt:variant>
        <vt:lpwstr/>
      </vt:variant>
      <vt:variant>
        <vt:lpwstr>_Toc69918706</vt:lpwstr>
      </vt:variant>
      <vt:variant>
        <vt:i4>1900599</vt:i4>
      </vt:variant>
      <vt:variant>
        <vt:i4>338</vt:i4>
      </vt:variant>
      <vt:variant>
        <vt:i4>0</vt:i4>
      </vt:variant>
      <vt:variant>
        <vt:i4>5</vt:i4>
      </vt:variant>
      <vt:variant>
        <vt:lpwstr/>
      </vt:variant>
      <vt:variant>
        <vt:lpwstr>_Toc69918705</vt:lpwstr>
      </vt:variant>
      <vt:variant>
        <vt:i4>1835063</vt:i4>
      </vt:variant>
      <vt:variant>
        <vt:i4>332</vt:i4>
      </vt:variant>
      <vt:variant>
        <vt:i4>0</vt:i4>
      </vt:variant>
      <vt:variant>
        <vt:i4>5</vt:i4>
      </vt:variant>
      <vt:variant>
        <vt:lpwstr/>
      </vt:variant>
      <vt:variant>
        <vt:lpwstr>_Toc69918704</vt:lpwstr>
      </vt:variant>
      <vt:variant>
        <vt:i4>1769527</vt:i4>
      </vt:variant>
      <vt:variant>
        <vt:i4>326</vt:i4>
      </vt:variant>
      <vt:variant>
        <vt:i4>0</vt:i4>
      </vt:variant>
      <vt:variant>
        <vt:i4>5</vt:i4>
      </vt:variant>
      <vt:variant>
        <vt:lpwstr/>
      </vt:variant>
      <vt:variant>
        <vt:lpwstr>_Toc69918703</vt:lpwstr>
      </vt:variant>
      <vt:variant>
        <vt:i4>1703991</vt:i4>
      </vt:variant>
      <vt:variant>
        <vt:i4>320</vt:i4>
      </vt:variant>
      <vt:variant>
        <vt:i4>0</vt:i4>
      </vt:variant>
      <vt:variant>
        <vt:i4>5</vt:i4>
      </vt:variant>
      <vt:variant>
        <vt:lpwstr/>
      </vt:variant>
      <vt:variant>
        <vt:lpwstr>_Toc69918702</vt:lpwstr>
      </vt:variant>
      <vt:variant>
        <vt:i4>1638455</vt:i4>
      </vt:variant>
      <vt:variant>
        <vt:i4>314</vt:i4>
      </vt:variant>
      <vt:variant>
        <vt:i4>0</vt:i4>
      </vt:variant>
      <vt:variant>
        <vt:i4>5</vt:i4>
      </vt:variant>
      <vt:variant>
        <vt:lpwstr/>
      </vt:variant>
      <vt:variant>
        <vt:lpwstr>_Toc69918701</vt:lpwstr>
      </vt:variant>
      <vt:variant>
        <vt:i4>1572919</vt:i4>
      </vt:variant>
      <vt:variant>
        <vt:i4>308</vt:i4>
      </vt:variant>
      <vt:variant>
        <vt:i4>0</vt:i4>
      </vt:variant>
      <vt:variant>
        <vt:i4>5</vt:i4>
      </vt:variant>
      <vt:variant>
        <vt:lpwstr/>
      </vt:variant>
      <vt:variant>
        <vt:lpwstr>_Toc69918700</vt:lpwstr>
      </vt:variant>
      <vt:variant>
        <vt:i4>1048638</vt:i4>
      </vt:variant>
      <vt:variant>
        <vt:i4>302</vt:i4>
      </vt:variant>
      <vt:variant>
        <vt:i4>0</vt:i4>
      </vt:variant>
      <vt:variant>
        <vt:i4>5</vt:i4>
      </vt:variant>
      <vt:variant>
        <vt:lpwstr/>
      </vt:variant>
      <vt:variant>
        <vt:lpwstr>_Toc69918699</vt:lpwstr>
      </vt:variant>
      <vt:variant>
        <vt:i4>1114174</vt:i4>
      </vt:variant>
      <vt:variant>
        <vt:i4>296</vt:i4>
      </vt:variant>
      <vt:variant>
        <vt:i4>0</vt:i4>
      </vt:variant>
      <vt:variant>
        <vt:i4>5</vt:i4>
      </vt:variant>
      <vt:variant>
        <vt:lpwstr/>
      </vt:variant>
      <vt:variant>
        <vt:lpwstr>_Toc69918698</vt:lpwstr>
      </vt:variant>
      <vt:variant>
        <vt:i4>1966142</vt:i4>
      </vt:variant>
      <vt:variant>
        <vt:i4>290</vt:i4>
      </vt:variant>
      <vt:variant>
        <vt:i4>0</vt:i4>
      </vt:variant>
      <vt:variant>
        <vt:i4>5</vt:i4>
      </vt:variant>
      <vt:variant>
        <vt:lpwstr/>
      </vt:variant>
      <vt:variant>
        <vt:lpwstr>_Toc69918697</vt:lpwstr>
      </vt:variant>
      <vt:variant>
        <vt:i4>2031678</vt:i4>
      </vt:variant>
      <vt:variant>
        <vt:i4>284</vt:i4>
      </vt:variant>
      <vt:variant>
        <vt:i4>0</vt:i4>
      </vt:variant>
      <vt:variant>
        <vt:i4>5</vt:i4>
      </vt:variant>
      <vt:variant>
        <vt:lpwstr/>
      </vt:variant>
      <vt:variant>
        <vt:lpwstr>_Toc69918696</vt:lpwstr>
      </vt:variant>
      <vt:variant>
        <vt:i4>1835070</vt:i4>
      </vt:variant>
      <vt:variant>
        <vt:i4>278</vt:i4>
      </vt:variant>
      <vt:variant>
        <vt:i4>0</vt:i4>
      </vt:variant>
      <vt:variant>
        <vt:i4>5</vt:i4>
      </vt:variant>
      <vt:variant>
        <vt:lpwstr/>
      </vt:variant>
      <vt:variant>
        <vt:lpwstr>_Toc69918695</vt:lpwstr>
      </vt:variant>
      <vt:variant>
        <vt:i4>1900606</vt:i4>
      </vt:variant>
      <vt:variant>
        <vt:i4>272</vt:i4>
      </vt:variant>
      <vt:variant>
        <vt:i4>0</vt:i4>
      </vt:variant>
      <vt:variant>
        <vt:i4>5</vt:i4>
      </vt:variant>
      <vt:variant>
        <vt:lpwstr/>
      </vt:variant>
      <vt:variant>
        <vt:lpwstr>_Toc69918694</vt:lpwstr>
      </vt:variant>
      <vt:variant>
        <vt:i4>1703998</vt:i4>
      </vt:variant>
      <vt:variant>
        <vt:i4>266</vt:i4>
      </vt:variant>
      <vt:variant>
        <vt:i4>0</vt:i4>
      </vt:variant>
      <vt:variant>
        <vt:i4>5</vt:i4>
      </vt:variant>
      <vt:variant>
        <vt:lpwstr/>
      </vt:variant>
      <vt:variant>
        <vt:lpwstr>_Toc69918693</vt:lpwstr>
      </vt:variant>
      <vt:variant>
        <vt:i4>1769534</vt:i4>
      </vt:variant>
      <vt:variant>
        <vt:i4>260</vt:i4>
      </vt:variant>
      <vt:variant>
        <vt:i4>0</vt:i4>
      </vt:variant>
      <vt:variant>
        <vt:i4>5</vt:i4>
      </vt:variant>
      <vt:variant>
        <vt:lpwstr/>
      </vt:variant>
      <vt:variant>
        <vt:lpwstr>_Toc69918692</vt:lpwstr>
      </vt:variant>
      <vt:variant>
        <vt:i4>1572926</vt:i4>
      </vt:variant>
      <vt:variant>
        <vt:i4>254</vt:i4>
      </vt:variant>
      <vt:variant>
        <vt:i4>0</vt:i4>
      </vt:variant>
      <vt:variant>
        <vt:i4>5</vt:i4>
      </vt:variant>
      <vt:variant>
        <vt:lpwstr/>
      </vt:variant>
      <vt:variant>
        <vt:lpwstr>_Toc69918691</vt:lpwstr>
      </vt:variant>
      <vt:variant>
        <vt:i4>1638462</vt:i4>
      </vt:variant>
      <vt:variant>
        <vt:i4>248</vt:i4>
      </vt:variant>
      <vt:variant>
        <vt:i4>0</vt:i4>
      </vt:variant>
      <vt:variant>
        <vt:i4>5</vt:i4>
      </vt:variant>
      <vt:variant>
        <vt:lpwstr/>
      </vt:variant>
      <vt:variant>
        <vt:lpwstr>_Toc69918690</vt:lpwstr>
      </vt:variant>
      <vt:variant>
        <vt:i4>1048639</vt:i4>
      </vt:variant>
      <vt:variant>
        <vt:i4>242</vt:i4>
      </vt:variant>
      <vt:variant>
        <vt:i4>0</vt:i4>
      </vt:variant>
      <vt:variant>
        <vt:i4>5</vt:i4>
      </vt:variant>
      <vt:variant>
        <vt:lpwstr/>
      </vt:variant>
      <vt:variant>
        <vt:lpwstr>_Toc69918689</vt:lpwstr>
      </vt:variant>
      <vt:variant>
        <vt:i4>1114175</vt:i4>
      </vt:variant>
      <vt:variant>
        <vt:i4>236</vt:i4>
      </vt:variant>
      <vt:variant>
        <vt:i4>0</vt:i4>
      </vt:variant>
      <vt:variant>
        <vt:i4>5</vt:i4>
      </vt:variant>
      <vt:variant>
        <vt:lpwstr/>
      </vt:variant>
      <vt:variant>
        <vt:lpwstr>_Toc69918688</vt:lpwstr>
      </vt:variant>
      <vt:variant>
        <vt:i4>1966143</vt:i4>
      </vt:variant>
      <vt:variant>
        <vt:i4>230</vt:i4>
      </vt:variant>
      <vt:variant>
        <vt:i4>0</vt:i4>
      </vt:variant>
      <vt:variant>
        <vt:i4>5</vt:i4>
      </vt:variant>
      <vt:variant>
        <vt:lpwstr/>
      </vt:variant>
      <vt:variant>
        <vt:lpwstr>_Toc69918687</vt:lpwstr>
      </vt:variant>
      <vt:variant>
        <vt:i4>2031679</vt:i4>
      </vt:variant>
      <vt:variant>
        <vt:i4>224</vt:i4>
      </vt:variant>
      <vt:variant>
        <vt:i4>0</vt:i4>
      </vt:variant>
      <vt:variant>
        <vt:i4>5</vt:i4>
      </vt:variant>
      <vt:variant>
        <vt:lpwstr/>
      </vt:variant>
      <vt:variant>
        <vt:lpwstr>_Toc69918686</vt:lpwstr>
      </vt:variant>
      <vt:variant>
        <vt:i4>1835071</vt:i4>
      </vt:variant>
      <vt:variant>
        <vt:i4>218</vt:i4>
      </vt:variant>
      <vt:variant>
        <vt:i4>0</vt:i4>
      </vt:variant>
      <vt:variant>
        <vt:i4>5</vt:i4>
      </vt:variant>
      <vt:variant>
        <vt:lpwstr/>
      </vt:variant>
      <vt:variant>
        <vt:lpwstr>_Toc69918685</vt:lpwstr>
      </vt:variant>
      <vt:variant>
        <vt:i4>56557633</vt:i4>
      </vt:variant>
      <vt:variant>
        <vt:i4>212</vt:i4>
      </vt:variant>
      <vt:variant>
        <vt:i4>0</vt:i4>
      </vt:variant>
      <vt:variant>
        <vt:i4>5</vt:i4>
      </vt:variant>
      <vt:variant>
        <vt:lpwstr>\\Users\pape\Documents\RAPPORT PUSA CGES PROVISOIRE V.02  CORRIGE-mrs_YSM (Enregistré automatiquement).docx</vt:lpwstr>
      </vt:variant>
      <vt:variant>
        <vt:lpwstr>_Toc69918684</vt:lpwstr>
      </vt:variant>
      <vt:variant>
        <vt:i4>1703999</vt:i4>
      </vt:variant>
      <vt:variant>
        <vt:i4>206</vt:i4>
      </vt:variant>
      <vt:variant>
        <vt:i4>0</vt:i4>
      </vt:variant>
      <vt:variant>
        <vt:i4>5</vt:i4>
      </vt:variant>
      <vt:variant>
        <vt:lpwstr/>
      </vt:variant>
      <vt:variant>
        <vt:lpwstr>_Toc69918683</vt:lpwstr>
      </vt:variant>
      <vt:variant>
        <vt:i4>1769535</vt:i4>
      </vt:variant>
      <vt:variant>
        <vt:i4>200</vt:i4>
      </vt:variant>
      <vt:variant>
        <vt:i4>0</vt:i4>
      </vt:variant>
      <vt:variant>
        <vt:i4>5</vt:i4>
      </vt:variant>
      <vt:variant>
        <vt:lpwstr/>
      </vt:variant>
      <vt:variant>
        <vt:lpwstr>_Toc69918682</vt:lpwstr>
      </vt:variant>
      <vt:variant>
        <vt:i4>1572927</vt:i4>
      </vt:variant>
      <vt:variant>
        <vt:i4>194</vt:i4>
      </vt:variant>
      <vt:variant>
        <vt:i4>0</vt:i4>
      </vt:variant>
      <vt:variant>
        <vt:i4>5</vt:i4>
      </vt:variant>
      <vt:variant>
        <vt:lpwstr/>
      </vt:variant>
      <vt:variant>
        <vt:lpwstr>_Toc69918681</vt:lpwstr>
      </vt:variant>
      <vt:variant>
        <vt:i4>1638463</vt:i4>
      </vt:variant>
      <vt:variant>
        <vt:i4>188</vt:i4>
      </vt:variant>
      <vt:variant>
        <vt:i4>0</vt:i4>
      </vt:variant>
      <vt:variant>
        <vt:i4>5</vt:i4>
      </vt:variant>
      <vt:variant>
        <vt:lpwstr/>
      </vt:variant>
      <vt:variant>
        <vt:lpwstr>_Toc69918680</vt:lpwstr>
      </vt:variant>
      <vt:variant>
        <vt:i4>1048624</vt:i4>
      </vt:variant>
      <vt:variant>
        <vt:i4>182</vt:i4>
      </vt:variant>
      <vt:variant>
        <vt:i4>0</vt:i4>
      </vt:variant>
      <vt:variant>
        <vt:i4>5</vt:i4>
      </vt:variant>
      <vt:variant>
        <vt:lpwstr/>
      </vt:variant>
      <vt:variant>
        <vt:lpwstr>_Toc69918679</vt:lpwstr>
      </vt:variant>
      <vt:variant>
        <vt:i4>1114160</vt:i4>
      </vt:variant>
      <vt:variant>
        <vt:i4>176</vt:i4>
      </vt:variant>
      <vt:variant>
        <vt:i4>0</vt:i4>
      </vt:variant>
      <vt:variant>
        <vt:i4>5</vt:i4>
      </vt:variant>
      <vt:variant>
        <vt:lpwstr/>
      </vt:variant>
      <vt:variant>
        <vt:lpwstr>_Toc69918678</vt:lpwstr>
      </vt:variant>
      <vt:variant>
        <vt:i4>1966128</vt:i4>
      </vt:variant>
      <vt:variant>
        <vt:i4>170</vt:i4>
      </vt:variant>
      <vt:variant>
        <vt:i4>0</vt:i4>
      </vt:variant>
      <vt:variant>
        <vt:i4>5</vt:i4>
      </vt:variant>
      <vt:variant>
        <vt:lpwstr/>
      </vt:variant>
      <vt:variant>
        <vt:lpwstr>_Toc69918677</vt:lpwstr>
      </vt:variant>
      <vt:variant>
        <vt:i4>2031664</vt:i4>
      </vt:variant>
      <vt:variant>
        <vt:i4>164</vt:i4>
      </vt:variant>
      <vt:variant>
        <vt:i4>0</vt:i4>
      </vt:variant>
      <vt:variant>
        <vt:i4>5</vt:i4>
      </vt:variant>
      <vt:variant>
        <vt:lpwstr/>
      </vt:variant>
      <vt:variant>
        <vt:lpwstr>_Toc69918676</vt:lpwstr>
      </vt:variant>
      <vt:variant>
        <vt:i4>1835056</vt:i4>
      </vt:variant>
      <vt:variant>
        <vt:i4>158</vt:i4>
      </vt:variant>
      <vt:variant>
        <vt:i4>0</vt:i4>
      </vt:variant>
      <vt:variant>
        <vt:i4>5</vt:i4>
      </vt:variant>
      <vt:variant>
        <vt:lpwstr/>
      </vt:variant>
      <vt:variant>
        <vt:lpwstr>_Toc69918675</vt:lpwstr>
      </vt:variant>
      <vt:variant>
        <vt:i4>1703984</vt:i4>
      </vt:variant>
      <vt:variant>
        <vt:i4>152</vt:i4>
      </vt:variant>
      <vt:variant>
        <vt:i4>0</vt:i4>
      </vt:variant>
      <vt:variant>
        <vt:i4>5</vt:i4>
      </vt:variant>
      <vt:variant>
        <vt:lpwstr/>
      </vt:variant>
      <vt:variant>
        <vt:lpwstr>_Toc69918673</vt:lpwstr>
      </vt:variant>
      <vt:variant>
        <vt:i4>1769520</vt:i4>
      </vt:variant>
      <vt:variant>
        <vt:i4>146</vt:i4>
      </vt:variant>
      <vt:variant>
        <vt:i4>0</vt:i4>
      </vt:variant>
      <vt:variant>
        <vt:i4>5</vt:i4>
      </vt:variant>
      <vt:variant>
        <vt:lpwstr/>
      </vt:variant>
      <vt:variant>
        <vt:lpwstr>_Toc69918672</vt:lpwstr>
      </vt:variant>
      <vt:variant>
        <vt:i4>1572912</vt:i4>
      </vt:variant>
      <vt:variant>
        <vt:i4>140</vt:i4>
      </vt:variant>
      <vt:variant>
        <vt:i4>0</vt:i4>
      </vt:variant>
      <vt:variant>
        <vt:i4>5</vt:i4>
      </vt:variant>
      <vt:variant>
        <vt:lpwstr/>
      </vt:variant>
      <vt:variant>
        <vt:lpwstr>_Toc69918671</vt:lpwstr>
      </vt:variant>
      <vt:variant>
        <vt:i4>1638448</vt:i4>
      </vt:variant>
      <vt:variant>
        <vt:i4>134</vt:i4>
      </vt:variant>
      <vt:variant>
        <vt:i4>0</vt:i4>
      </vt:variant>
      <vt:variant>
        <vt:i4>5</vt:i4>
      </vt:variant>
      <vt:variant>
        <vt:lpwstr/>
      </vt:variant>
      <vt:variant>
        <vt:lpwstr>_Toc69918670</vt:lpwstr>
      </vt:variant>
      <vt:variant>
        <vt:i4>1048625</vt:i4>
      </vt:variant>
      <vt:variant>
        <vt:i4>128</vt:i4>
      </vt:variant>
      <vt:variant>
        <vt:i4>0</vt:i4>
      </vt:variant>
      <vt:variant>
        <vt:i4>5</vt:i4>
      </vt:variant>
      <vt:variant>
        <vt:lpwstr/>
      </vt:variant>
      <vt:variant>
        <vt:lpwstr>_Toc69918669</vt:lpwstr>
      </vt:variant>
      <vt:variant>
        <vt:i4>1835057</vt:i4>
      </vt:variant>
      <vt:variant>
        <vt:i4>122</vt:i4>
      </vt:variant>
      <vt:variant>
        <vt:i4>0</vt:i4>
      </vt:variant>
      <vt:variant>
        <vt:i4>5</vt:i4>
      </vt:variant>
      <vt:variant>
        <vt:lpwstr/>
      </vt:variant>
      <vt:variant>
        <vt:lpwstr>_Toc69918665</vt:lpwstr>
      </vt:variant>
      <vt:variant>
        <vt:i4>1900593</vt:i4>
      </vt:variant>
      <vt:variant>
        <vt:i4>116</vt:i4>
      </vt:variant>
      <vt:variant>
        <vt:i4>0</vt:i4>
      </vt:variant>
      <vt:variant>
        <vt:i4>5</vt:i4>
      </vt:variant>
      <vt:variant>
        <vt:lpwstr/>
      </vt:variant>
      <vt:variant>
        <vt:lpwstr>_Toc69918664</vt:lpwstr>
      </vt:variant>
      <vt:variant>
        <vt:i4>1703985</vt:i4>
      </vt:variant>
      <vt:variant>
        <vt:i4>110</vt:i4>
      </vt:variant>
      <vt:variant>
        <vt:i4>0</vt:i4>
      </vt:variant>
      <vt:variant>
        <vt:i4>5</vt:i4>
      </vt:variant>
      <vt:variant>
        <vt:lpwstr/>
      </vt:variant>
      <vt:variant>
        <vt:lpwstr>_Toc69918663</vt:lpwstr>
      </vt:variant>
      <vt:variant>
        <vt:i4>1769521</vt:i4>
      </vt:variant>
      <vt:variant>
        <vt:i4>104</vt:i4>
      </vt:variant>
      <vt:variant>
        <vt:i4>0</vt:i4>
      </vt:variant>
      <vt:variant>
        <vt:i4>5</vt:i4>
      </vt:variant>
      <vt:variant>
        <vt:lpwstr/>
      </vt:variant>
      <vt:variant>
        <vt:lpwstr>_Toc69918662</vt:lpwstr>
      </vt:variant>
      <vt:variant>
        <vt:i4>1572913</vt:i4>
      </vt:variant>
      <vt:variant>
        <vt:i4>98</vt:i4>
      </vt:variant>
      <vt:variant>
        <vt:i4>0</vt:i4>
      </vt:variant>
      <vt:variant>
        <vt:i4>5</vt:i4>
      </vt:variant>
      <vt:variant>
        <vt:lpwstr/>
      </vt:variant>
      <vt:variant>
        <vt:lpwstr>_Toc69918661</vt:lpwstr>
      </vt:variant>
      <vt:variant>
        <vt:i4>1638449</vt:i4>
      </vt:variant>
      <vt:variant>
        <vt:i4>92</vt:i4>
      </vt:variant>
      <vt:variant>
        <vt:i4>0</vt:i4>
      </vt:variant>
      <vt:variant>
        <vt:i4>5</vt:i4>
      </vt:variant>
      <vt:variant>
        <vt:lpwstr/>
      </vt:variant>
      <vt:variant>
        <vt:lpwstr>_Toc69918660</vt:lpwstr>
      </vt:variant>
      <vt:variant>
        <vt:i4>1048626</vt:i4>
      </vt:variant>
      <vt:variant>
        <vt:i4>86</vt:i4>
      </vt:variant>
      <vt:variant>
        <vt:i4>0</vt:i4>
      </vt:variant>
      <vt:variant>
        <vt:i4>5</vt:i4>
      </vt:variant>
      <vt:variant>
        <vt:lpwstr/>
      </vt:variant>
      <vt:variant>
        <vt:lpwstr>_Toc69918659</vt:lpwstr>
      </vt:variant>
      <vt:variant>
        <vt:i4>1114162</vt:i4>
      </vt:variant>
      <vt:variant>
        <vt:i4>80</vt:i4>
      </vt:variant>
      <vt:variant>
        <vt:i4>0</vt:i4>
      </vt:variant>
      <vt:variant>
        <vt:i4>5</vt:i4>
      </vt:variant>
      <vt:variant>
        <vt:lpwstr/>
      </vt:variant>
      <vt:variant>
        <vt:lpwstr>_Toc69918658</vt:lpwstr>
      </vt:variant>
      <vt:variant>
        <vt:i4>1966130</vt:i4>
      </vt:variant>
      <vt:variant>
        <vt:i4>74</vt:i4>
      </vt:variant>
      <vt:variant>
        <vt:i4>0</vt:i4>
      </vt:variant>
      <vt:variant>
        <vt:i4>5</vt:i4>
      </vt:variant>
      <vt:variant>
        <vt:lpwstr/>
      </vt:variant>
      <vt:variant>
        <vt:lpwstr>_Toc69918657</vt:lpwstr>
      </vt:variant>
      <vt:variant>
        <vt:i4>2031666</vt:i4>
      </vt:variant>
      <vt:variant>
        <vt:i4>68</vt:i4>
      </vt:variant>
      <vt:variant>
        <vt:i4>0</vt:i4>
      </vt:variant>
      <vt:variant>
        <vt:i4>5</vt:i4>
      </vt:variant>
      <vt:variant>
        <vt:lpwstr/>
      </vt:variant>
      <vt:variant>
        <vt:lpwstr>_Toc69918656</vt:lpwstr>
      </vt:variant>
      <vt:variant>
        <vt:i4>1835058</vt:i4>
      </vt:variant>
      <vt:variant>
        <vt:i4>62</vt:i4>
      </vt:variant>
      <vt:variant>
        <vt:i4>0</vt:i4>
      </vt:variant>
      <vt:variant>
        <vt:i4>5</vt:i4>
      </vt:variant>
      <vt:variant>
        <vt:lpwstr/>
      </vt:variant>
      <vt:variant>
        <vt:lpwstr>_Toc69918655</vt:lpwstr>
      </vt:variant>
      <vt:variant>
        <vt:i4>1900594</vt:i4>
      </vt:variant>
      <vt:variant>
        <vt:i4>56</vt:i4>
      </vt:variant>
      <vt:variant>
        <vt:i4>0</vt:i4>
      </vt:variant>
      <vt:variant>
        <vt:i4>5</vt:i4>
      </vt:variant>
      <vt:variant>
        <vt:lpwstr/>
      </vt:variant>
      <vt:variant>
        <vt:lpwstr>_Toc69918654</vt:lpwstr>
      </vt:variant>
      <vt:variant>
        <vt:i4>1703986</vt:i4>
      </vt:variant>
      <vt:variant>
        <vt:i4>50</vt:i4>
      </vt:variant>
      <vt:variant>
        <vt:i4>0</vt:i4>
      </vt:variant>
      <vt:variant>
        <vt:i4>5</vt:i4>
      </vt:variant>
      <vt:variant>
        <vt:lpwstr/>
      </vt:variant>
      <vt:variant>
        <vt:lpwstr>_Toc69918653</vt:lpwstr>
      </vt:variant>
      <vt:variant>
        <vt:i4>1769522</vt:i4>
      </vt:variant>
      <vt:variant>
        <vt:i4>44</vt:i4>
      </vt:variant>
      <vt:variant>
        <vt:i4>0</vt:i4>
      </vt:variant>
      <vt:variant>
        <vt:i4>5</vt:i4>
      </vt:variant>
      <vt:variant>
        <vt:lpwstr/>
      </vt:variant>
      <vt:variant>
        <vt:lpwstr>_Toc69918652</vt:lpwstr>
      </vt:variant>
      <vt:variant>
        <vt:i4>1572914</vt:i4>
      </vt:variant>
      <vt:variant>
        <vt:i4>38</vt:i4>
      </vt:variant>
      <vt:variant>
        <vt:i4>0</vt:i4>
      </vt:variant>
      <vt:variant>
        <vt:i4>5</vt:i4>
      </vt:variant>
      <vt:variant>
        <vt:lpwstr/>
      </vt:variant>
      <vt:variant>
        <vt:lpwstr>_Toc69918651</vt:lpwstr>
      </vt:variant>
      <vt:variant>
        <vt:i4>1638450</vt:i4>
      </vt:variant>
      <vt:variant>
        <vt:i4>32</vt:i4>
      </vt:variant>
      <vt:variant>
        <vt:i4>0</vt:i4>
      </vt:variant>
      <vt:variant>
        <vt:i4>5</vt:i4>
      </vt:variant>
      <vt:variant>
        <vt:lpwstr/>
      </vt:variant>
      <vt:variant>
        <vt:lpwstr>_Toc69918650</vt:lpwstr>
      </vt:variant>
      <vt:variant>
        <vt:i4>1048627</vt:i4>
      </vt:variant>
      <vt:variant>
        <vt:i4>26</vt:i4>
      </vt:variant>
      <vt:variant>
        <vt:i4>0</vt:i4>
      </vt:variant>
      <vt:variant>
        <vt:i4>5</vt:i4>
      </vt:variant>
      <vt:variant>
        <vt:lpwstr/>
      </vt:variant>
      <vt:variant>
        <vt:lpwstr>_Toc69918649</vt:lpwstr>
      </vt:variant>
      <vt:variant>
        <vt:i4>1114163</vt:i4>
      </vt:variant>
      <vt:variant>
        <vt:i4>20</vt:i4>
      </vt:variant>
      <vt:variant>
        <vt:i4>0</vt:i4>
      </vt:variant>
      <vt:variant>
        <vt:i4>5</vt:i4>
      </vt:variant>
      <vt:variant>
        <vt:lpwstr/>
      </vt:variant>
      <vt:variant>
        <vt:lpwstr>_Toc69918648</vt:lpwstr>
      </vt:variant>
      <vt:variant>
        <vt:i4>1966131</vt:i4>
      </vt:variant>
      <vt:variant>
        <vt:i4>14</vt:i4>
      </vt:variant>
      <vt:variant>
        <vt:i4>0</vt:i4>
      </vt:variant>
      <vt:variant>
        <vt:i4>5</vt:i4>
      </vt:variant>
      <vt:variant>
        <vt:lpwstr/>
      </vt:variant>
      <vt:variant>
        <vt:lpwstr>_Toc69918647</vt:lpwstr>
      </vt:variant>
      <vt:variant>
        <vt:i4>2031667</vt:i4>
      </vt:variant>
      <vt:variant>
        <vt:i4>8</vt:i4>
      </vt:variant>
      <vt:variant>
        <vt:i4>0</vt:i4>
      </vt:variant>
      <vt:variant>
        <vt:i4>5</vt:i4>
      </vt:variant>
      <vt:variant>
        <vt:lpwstr/>
      </vt:variant>
      <vt:variant>
        <vt:lpwstr>_Toc69918646</vt:lpwstr>
      </vt:variant>
      <vt:variant>
        <vt:i4>1835059</vt:i4>
      </vt:variant>
      <vt:variant>
        <vt:i4>2</vt:i4>
      </vt:variant>
      <vt:variant>
        <vt:i4>0</vt:i4>
      </vt:variant>
      <vt:variant>
        <vt:i4>5</vt:i4>
      </vt:variant>
      <vt:variant>
        <vt:lpwstr/>
      </vt:variant>
      <vt:variant>
        <vt:lpwstr>_Toc69918645</vt:lpwstr>
      </vt:variant>
      <vt:variant>
        <vt:i4>1179652</vt:i4>
      </vt:variant>
      <vt:variant>
        <vt:i4>0</vt:i4>
      </vt:variant>
      <vt:variant>
        <vt:i4>0</vt:i4>
      </vt:variant>
      <vt:variant>
        <vt:i4>5</vt:i4>
      </vt:variant>
      <vt:variant>
        <vt:lpwstr>http://documents1.worldbank.org/curated/en/509041468321553133/pdf/929700WP0Box380Soc0Protection0Brief.pdf</vt:lpwstr>
      </vt:variant>
      <vt:variant>
        <vt:lpwstr/>
      </vt:variant>
      <vt:variant>
        <vt:i4>8257620</vt:i4>
      </vt:variant>
      <vt:variant>
        <vt:i4>0</vt:i4>
      </vt:variant>
      <vt:variant>
        <vt:i4>0</vt:i4>
      </vt:variant>
      <vt:variant>
        <vt:i4>5</vt:i4>
      </vt:variant>
      <vt:variant>
        <vt:lpwstr>https://www.ifc.org/wps/wcm/connect/d4260b19-30f2-466d-9c7e-86ac0ece7e89/010_General%2BGuidelines.pdf?MOD=AJPERES&amp;CVID=jkD2Am7&amp;ContentCache=NONE&amp;CACHE=NONE</vt:lpwstr>
      </vt:variant>
      <vt:variant>
        <vt:lpwstr/>
      </vt:variant>
      <vt:variant>
        <vt:i4>1900607</vt:i4>
      </vt:variant>
      <vt:variant>
        <vt:i4>3</vt:i4>
      </vt:variant>
      <vt:variant>
        <vt:i4>0</vt:i4>
      </vt:variant>
      <vt:variant>
        <vt:i4>5</vt:i4>
      </vt:variant>
      <vt:variant>
        <vt:lpwstr>mailto:beroubaguisse@yahoo.fr</vt:lpwstr>
      </vt:variant>
      <vt:variant>
        <vt:lpwstr/>
      </vt:variant>
      <vt:variant>
        <vt:i4>7209051</vt:i4>
      </vt:variant>
      <vt:variant>
        <vt:i4>0</vt:i4>
      </vt:variant>
      <vt:variant>
        <vt:i4>0</vt:i4>
      </vt:variant>
      <vt:variant>
        <vt:i4>5</vt:i4>
      </vt:variant>
      <vt:variant>
        <vt:lpwstr>mailto:ecienvironnement@gmail.com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AMADOU</dc:creator>
  <cp:lastModifiedBy>HP</cp:lastModifiedBy>
  <cp:revision>2</cp:revision>
  <cp:lastPrinted>2021-03-25T12:01:00Z</cp:lastPrinted>
  <dcterms:created xsi:type="dcterms:W3CDTF">2021-08-02T21:36:00Z</dcterms:created>
  <dcterms:modified xsi:type="dcterms:W3CDTF">2021-08-02T21:36:00Z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0x0101005A93BD3B723F434AB28B02DE2F3358A2</vt:lpwstr>
  </property>
</Properties>
</file>